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D0E8" w14:textId="77777777" w:rsidR="00CA5D39" w:rsidRPr="00CA5D39" w:rsidRDefault="00CA5D39" w:rsidP="00CA5D39">
      <w:pPr>
        <w:contextualSpacing/>
        <w:rPr>
          <w:rFonts w:ascii="Helvetica" w:hAnsi="Helvetica"/>
          <w:b/>
          <w:bCs/>
          <w:color w:val="000000" w:themeColor="text1"/>
          <w:sz w:val="20"/>
          <w:szCs w:val="20"/>
        </w:rPr>
      </w:pPr>
      <w:r w:rsidRPr="00CA5D39">
        <w:rPr>
          <w:rFonts w:ascii="Helvetica" w:hAnsi="Helvetica"/>
          <w:b/>
          <w:bCs/>
          <w:color w:val="000000" w:themeColor="text1"/>
          <w:sz w:val="20"/>
          <w:szCs w:val="20"/>
        </w:rPr>
        <w:t>Figure Legends</w:t>
      </w:r>
    </w:p>
    <w:p w14:paraId="3FE5D5CD" w14:textId="77777777" w:rsidR="00CA5D39" w:rsidRDefault="00CA5D39" w:rsidP="00CA5D39">
      <w:pPr>
        <w:contextualSpacing/>
        <w:rPr>
          <w:rFonts w:ascii="Helvetica" w:hAnsi="Helvetica"/>
          <w:color w:val="000000" w:themeColor="text1"/>
          <w:sz w:val="20"/>
          <w:szCs w:val="20"/>
        </w:rPr>
      </w:pPr>
    </w:p>
    <w:p w14:paraId="1E7B9F1B" w14:textId="73C82807"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Supplement Fig 1. Sequences of</w:t>
      </w:r>
      <w:r w:rsidRPr="002C5B69">
        <w:rPr>
          <w:rFonts w:ascii="Helvetica" w:hAnsi="Helvetica"/>
          <w:i/>
          <w:iCs/>
          <w:color w:val="000000" w:themeColor="text1"/>
          <w:sz w:val="20"/>
          <w:szCs w:val="20"/>
        </w:rPr>
        <w:t xml:space="preserve"> </w:t>
      </w:r>
      <w:proofErr w:type="gramStart"/>
      <w:r w:rsidRPr="002C5B69">
        <w:rPr>
          <w:rFonts w:ascii="Helvetica" w:hAnsi="Helvetica"/>
          <w:i/>
          <w:iCs/>
          <w:color w:val="000000" w:themeColor="text1"/>
          <w:sz w:val="20"/>
          <w:szCs w:val="20"/>
        </w:rPr>
        <w:t>BCR</w:t>
      </w:r>
      <w:r w:rsidR="00AD60D3">
        <w:rPr>
          <w:rFonts w:ascii="Helvetica" w:hAnsi="Helvetica"/>
          <w:i/>
          <w:iCs/>
          <w:color w:val="000000" w:themeColor="text1"/>
          <w:sz w:val="20"/>
          <w:szCs w:val="20"/>
        </w:rPr>
        <w:t>::</w:t>
      </w:r>
      <w:proofErr w:type="gramEnd"/>
      <w:r w:rsidRPr="002C5B69">
        <w:rPr>
          <w:rFonts w:ascii="Helvetica" w:hAnsi="Helvetica"/>
          <w:i/>
          <w:iCs/>
          <w:color w:val="000000" w:themeColor="text1"/>
          <w:sz w:val="20"/>
          <w:szCs w:val="20"/>
        </w:rPr>
        <w:t>ABL1</w:t>
      </w:r>
      <w:r w:rsidRPr="002C5B69">
        <w:rPr>
          <w:rFonts w:ascii="Helvetica" w:hAnsi="Helvetica"/>
          <w:color w:val="000000" w:themeColor="text1"/>
          <w:sz w:val="20"/>
          <w:szCs w:val="20"/>
        </w:rPr>
        <w:t> (a) and </w:t>
      </w:r>
      <w:r w:rsidRPr="002C5B69">
        <w:rPr>
          <w:rFonts w:ascii="Helvetica" w:hAnsi="Helvetica"/>
          <w:i/>
          <w:iCs/>
          <w:color w:val="000000" w:themeColor="text1"/>
          <w:sz w:val="20"/>
          <w:szCs w:val="20"/>
        </w:rPr>
        <w:t>ABL1</w:t>
      </w:r>
      <w:r w:rsidR="00AD60D3">
        <w:rPr>
          <w:rFonts w:ascii="Helvetica" w:hAnsi="Helvetica"/>
          <w:i/>
          <w:iCs/>
          <w:color w:val="000000" w:themeColor="text1"/>
          <w:sz w:val="20"/>
          <w:szCs w:val="20"/>
        </w:rPr>
        <w:t>::</w:t>
      </w:r>
      <w:r w:rsidRPr="002C5B69">
        <w:rPr>
          <w:rFonts w:ascii="Helvetica" w:hAnsi="Helvetica"/>
          <w:i/>
          <w:iCs/>
          <w:color w:val="000000" w:themeColor="text1"/>
          <w:sz w:val="20"/>
          <w:szCs w:val="20"/>
        </w:rPr>
        <w:t>BCR</w:t>
      </w:r>
      <w:r w:rsidRPr="002C5B69">
        <w:rPr>
          <w:rFonts w:ascii="Helvetica" w:hAnsi="Helvetica"/>
          <w:color w:val="000000" w:themeColor="text1"/>
          <w:sz w:val="20"/>
          <w:szCs w:val="20"/>
        </w:rPr>
        <w:t> (b) fusion sites of genomic PCR products after TA-cloning in the p210 BCR</w:t>
      </w:r>
      <w:r w:rsidR="00AD60D3" w:rsidRPr="00F02FD7">
        <w:rPr>
          <w:rFonts w:ascii="Helvetica" w:hAnsi="Helvetica"/>
          <w:color w:val="000000" w:themeColor="text1"/>
          <w:sz w:val="20"/>
          <w:szCs w:val="20"/>
        </w:rPr>
        <w:t>::</w:t>
      </w:r>
      <w:r w:rsidRPr="002C5B69">
        <w:rPr>
          <w:rFonts w:ascii="Helvetica" w:hAnsi="Helvetica"/>
          <w:color w:val="000000" w:themeColor="text1"/>
          <w:sz w:val="20"/>
          <w:szCs w:val="20"/>
        </w:rPr>
        <w:t>ABL1 sublines. Upper panel indicates original </w:t>
      </w:r>
      <w:r w:rsidRPr="002C5B69">
        <w:rPr>
          <w:rFonts w:ascii="Helvetica" w:hAnsi="Helvetica"/>
          <w:i/>
          <w:iCs/>
          <w:color w:val="000000" w:themeColor="text1"/>
          <w:sz w:val="20"/>
          <w:szCs w:val="20"/>
        </w:rPr>
        <w:t>BCR </w:t>
      </w:r>
      <w:r w:rsidRPr="002C5B69">
        <w:rPr>
          <w:rFonts w:ascii="Helvetica" w:hAnsi="Helvetica"/>
          <w:color w:val="000000" w:themeColor="text1"/>
          <w:sz w:val="20"/>
          <w:szCs w:val="20"/>
        </w:rPr>
        <w:t>and </w:t>
      </w:r>
      <w:r w:rsidRPr="002C5B69">
        <w:rPr>
          <w:rFonts w:ascii="Helvetica" w:hAnsi="Helvetica"/>
          <w:i/>
          <w:iCs/>
          <w:color w:val="000000" w:themeColor="text1"/>
          <w:sz w:val="20"/>
          <w:szCs w:val="20"/>
        </w:rPr>
        <w:t>ABL1</w:t>
      </w:r>
      <w:r w:rsidRPr="002C5B69">
        <w:rPr>
          <w:rFonts w:ascii="Helvetica" w:hAnsi="Helvetica"/>
          <w:color w:val="000000" w:themeColor="text1"/>
          <w:sz w:val="20"/>
          <w:szCs w:val="20"/>
        </w:rPr>
        <w:t> genomic sequences. Targeted PAM site is highlighted in orange. Arrows and arrowheads indicate sequences of sgRNA and Cas9 cleavage sites, respectively. Lower panel indicates alignment of sequences in eight clones. In each sequence, the variant nucleotide is indicated with an orange letter. </w:t>
      </w:r>
      <w:r w:rsidRPr="002C5B69">
        <w:rPr>
          <w:rFonts w:ascii="Calibri" w:hAnsi="Calibri" w:cs="Calibri"/>
          <w:color w:val="000000" w:themeColor="text1"/>
          <w:sz w:val="20"/>
          <w:szCs w:val="20"/>
        </w:rPr>
        <w:t> </w:t>
      </w:r>
    </w:p>
    <w:p w14:paraId="07939339" w14:textId="77777777"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 </w:t>
      </w:r>
    </w:p>
    <w:p w14:paraId="43839EF7" w14:textId="0AE93311"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Supplement Fig 2. STR analysis of parental cells (upper panel) and the p210 </w:t>
      </w:r>
      <w:proofErr w:type="gramStart"/>
      <w:r w:rsidRPr="002C5B69">
        <w:rPr>
          <w:rFonts w:ascii="Helvetica" w:hAnsi="Helvetica"/>
          <w:i/>
          <w:iCs/>
          <w:color w:val="000000" w:themeColor="text1"/>
          <w:sz w:val="20"/>
          <w:szCs w:val="20"/>
        </w:rPr>
        <w:t>BCR</w:t>
      </w:r>
      <w:r w:rsidR="00AD60D3">
        <w:rPr>
          <w:rFonts w:ascii="Helvetica" w:hAnsi="Helvetica"/>
          <w:i/>
          <w:iCs/>
          <w:color w:val="000000" w:themeColor="text1"/>
          <w:sz w:val="20"/>
          <w:szCs w:val="20"/>
        </w:rPr>
        <w:t>::</w:t>
      </w:r>
      <w:proofErr w:type="gramEnd"/>
      <w:r w:rsidRPr="002C5B69">
        <w:rPr>
          <w:rFonts w:ascii="Helvetica" w:hAnsi="Helvetica"/>
          <w:i/>
          <w:iCs/>
          <w:color w:val="000000" w:themeColor="text1"/>
          <w:sz w:val="20"/>
          <w:szCs w:val="20"/>
        </w:rPr>
        <w:t>ABL1</w:t>
      </w:r>
      <w:r w:rsidRPr="002C5B69">
        <w:rPr>
          <w:rFonts w:ascii="Helvetica" w:hAnsi="Helvetica"/>
          <w:color w:val="000000" w:themeColor="text1"/>
          <w:sz w:val="20"/>
          <w:szCs w:val="20"/>
        </w:rPr>
        <w:t> subline (lower panel). Peaks corresponding to</w:t>
      </w:r>
      <w:r w:rsidRPr="002C5B69">
        <w:rPr>
          <w:rFonts w:ascii="Helvetica" w:hAnsi="Helvetica"/>
          <w:i/>
          <w:iCs/>
          <w:color w:val="000000" w:themeColor="text1"/>
          <w:sz w:val="20"/>
          <w:szCs w:val="20"/>
        </w:rPr>
        <w:t xml:space="preserve"> ACTBP2</w:t>
      </w:r>
      <w:r w:rsidRPr="002C5B69">
        <w:rPr>
          <w:rFonts w:ascii="Helvetica" w:hAnsi="Helvetica"/>
          <w:color w:val="000000" w:themeColor="text1"/>
          <w:sz w:val="20"/>
          <w:szCs w:val="20"/>
        </w:rPr>
        <w:t>, </w:t>
      </w:r>
      <w:r w:rsidRPr="002C5B69">
        <w:rPr>
          <w:rFonts w:ascii="Helvetica" w:hAnsi="Helvetica"/>
          <w:i/>
          <w:iCs/>
          <w:color w:val="000000" w:themeColor="text1"/>
          <w:sz w:val="20"/>
          <w:szCs w:val="20"/>
        </w:rPr>
        <w:t>HGH</w:t>
      </w:r>
      <w:r w:rsidRPr="002C5B69">
        <w:rPr>
          <w:rFonts w:ascii="Helvetica" w:hAnsi="Helvetica"/>
          <w:color w:val="000000" w:themeColor="text1"/>
          <w:sz w:val="20"/>
          <w:szCs w:val="20"/>
        </w:rPr>
        <w:t>, </w:t>
      </w:r>
      <w:r w:rsidRPr="002C5B69">
        <w:rPr>
          <w:rFonts w:ascii="Helvetica" w:hAnsi="Helvetica"/>
          <w:i/>
          <w:iCs/>
          <w:color w:val="000000" w:themeColor="text1"/>
          <w:sz w:val="20"/>
          <w:szCs w:val="20"/>
        </w:rPr>
        <w:t>D3S1359</w:t>
      </w:r>
      <w:r w:rsidRPr="002C5B69">
        <w:rPr>
          <w:rFonts w:ascii="Helvetica" w:hAnsi="Helvetica"/>
          <w:color w:val="000000" w:themeColor="text1"/>
          <w:sz w:val="20"/>
          <w:szCs w:val="20"/>
        </w:rPr>
        <w:t>, and </w:t>
      </w:r>
      <w:r w:rsidRPr="002C5B69">
        <w:rPr>
          <w:rFonts w:ascii="Helvetica" w:hAnsi="Helvetica"/>
          <w:i/>
          <w:iCs/>
          <w:color w:val="000000" w:themeColor="text1"/>
          <w:sz w:val="20"/>
          <w:szCs w:val="20"/>
        </w:rPr>
        <w:t>D18S51</w:t>
      </w:r>
      <w:r w:rsidRPr="002C5B69">
        <w:rPr>
          <w:rFonts w:ascii="Helvetica" w:hAnsi="Helvetica"/>
          <w:color w:val="000000" w:themeColor="text1"/>
          <w:sz w:val="20"/>
          <w:szCs w:val="20"/>
        </w:rPr>
        <w:t> STRs are indicated.  </w:t>
      </w:r>
    </w:p>
    <w:p w14:paraId="2B76387B" w14:textId="77777777"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 </w:t>
      </w:r>
    </w:p>
    <w:p w14:paraId="71619CD9" w14:textId="77777777"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Supplement Fig 3. Schematic representation of genomic location of FISH probes. </w:t>
      </w:r>
    </w:p>
    <w:p w14:paraId="48CB2CB0" w14:textId="77777777"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 </w:t>
      </w:r>
    </w:p>
    <w:p w14:paraId="357E3F85" w14:textId="2536E100"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Supplement Fig 4. FISH analysis of parental cells (left panel) and p210 </w:t>
      </w:r>
      <w:proofErr w:type="gramStart"/>
      <w:r w:rsidRPr="002C5B69">
        <w:rPr>
          <w:rFonts w:ascii="Helvetica" w:hAnsi="Helvetica"/>
          <w:i/>
          <w:iCs/>
          <w:color w:val="000000" w:themeColor="text1"/>
          <w:sz w:val="20"/>
          <w:szCs w:val="20"/>
        </w:rPr>
        <w:t>BCR</w:t>
      </w:r>
      <w:r w:rsidR="00AD60D3">
        <w:rPr>
          <w:rFonts w:ascii="Helvetica" w:hAnsi="Helvetica"/>
          <w:i/>
          <w:iCs/>
          <w:color w:val="000000" w:themeColor="text1"/>
          <w:sz w:val="20"/>
          <w:szCs w:val="20"/>
        </w:rPr>
        <w:t>::</w:t>
      </w:r>
      <w:proofErr w:type="gramEnd"/>
      <w:r w:rsidRPr="002C5B69">
        <w:rPr>
          <w:rFonts w:ascii="Helvetica" w:hAnsi="Helvetica"/>
          <w:i/>
          <w:iCs/>
          <w:color w:val="000000" w:themeColor="text1"/>
          <w:sz w:val="20"/>
          <w:szCs w:val="20"/>
        </w:rPr>
        <w:t>ABL1 </w:t>
      </w:r>
      <w:r w:rsidRPr="002C5B69">
        <w:rPr>
          <w:rFonts w:ascii="Helvetica" w:hAnsi="Helvetica"/>
          <w:color w:val="000000" w:themeColor="text1"/>
          <w:sz w:val="20"/>
          <w:szCs w:val="20"/>
        </w:rPr>
        <w:t>subline (right panel) in metaphase. Merged yellow signals for </w:t>
      </w:r>
      <w:proofErr w:type="gramStart"/>
      <w:r w:rsidRPr="002C5B69">
        <w:rPr>
          <w:rFonts w:ascii="Helvetica" w:hAnsi="Helvetica"/>
          <w:i/>
          <w:iCs/>
          <w:color w:val="000000" w:themeColor="text1"/>
          <w:sz w:val="20"/>
          <w:szCs w:val="20"/>
        </w:rPr>
        <w:t>BCR</w:t>
      </w:r>
      <w:r w:rsidR="00AD60D3">
        <w:rPr>
          <w:rFonts w:ascii="Helvetica" w:hAnsi="Helvetica"/>
          <w:i/>
          <w:iCs/>
          <w:color w:val="000000" w:themeColor="text1"/>
          <w:sz w:val="20"/>
          <w:szCs w:val="20"/>
        </w:rPr>
        <w:t>::</w:t>
      </w:r>
      <w:proofErr w:type="gramEnd"/>
      <w:r w:rsidRPr="002C5B69">
        <w:rPr>
          <w:rFonts w:ascii="Helvetica" w:hAnsi="Helvetica"/>
          <w:i/>
          <w:iCs/>
          <w:color w:val="000000" w:themeColor="text1"/>
          <w:sz w:val="20"/>
          <w:szCs w:val="20"/>
        </w:rPr>
        <w:t>ABL1</w:t>
      </w:r>
      <w:r w:rsidRPr="002C5B69">
        <w:rPr>
          <w:rFonts w:ascii="Helvetica" w:hAnsi="Helvetica"/>
          <w:color w:val="000000" w:themeColor="text1"/>
          <w:sz w:val="20"/>
          <w:szCs w:val="20"/>
        </w:rPr>
        <w:t> and/or reciprocal </w:t>
      </w:r>
      <w:r w:rsidRPr="002C5B69">
        <w:rPr>
          <w:rFonts w:ascii="Helvetica" w:hAnsi="Helvetica"/>
          <w:i/>
          <w:iCs/>
          <w:color w:val="000000" w:themeColor="text1"/>
          <w:sz w:val="20"/>
          <w:szCs w:val="20"/>
        </w:rPr>
        <w:t>ABL1</w:t>
      </w:r>
      <w:r w:rsidR="00AD60D3">
        <w:rPr>
          <w:rFonts w:ascii="Helvetica" w:hAnsi="Helvetica"/>
          <w:i/>
          <w:iCs/>
          <w:color w:val="000000" w:themeColor="text1"/>
          <w:sz w:val="20"/>
          <w:szCs w:val="20"/>
        </w:rPr>
        <w:t>::</w:t>
      </w:r>
      <w:r w:rsidRPr="002C5B69">
        <w:rPr>
          <w:rFonts w:ascii="Helvetica" w:hAnsi="Helvetica"/>
          <w:i/>
          <w:iCs/>
          <w:color w:val="000000" w:themeColor="text1"/>
          <w:sz w:val="20"/>
          <w:szCs w:val="20"/>
        </w:rPr>
        <w:t>BCR</w:t>
      </w:r>
      <w:r w:rsidRPr="002C5B69">
        <w:rPr>
          <w:rFonts w:ascii="Helvetica" w:hAnsi="Helvetica"/>
          <w:color w:val="000000" w:themeColor="text1"/>
          <w:sz w:val="20"/>
          <w:szCs w:val="20"/>
        </w:rPr>
        <w:t> fusion genes are indicated by arrowheads. </w:t>
      </w:r>
    </w:p>
    <w:p w14:paraId="47579427" w14:textId="77777777"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 </w:t>
      </w:r>
    </w:p>
    <w:p w14:paraId="05DB76E9" w14:textId="343C728F"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Supplement Fig 5. Sequences of genomic PCR products for </w:t>
      </w:r>
      <w:proofErr w:type="gramStart"/>
      <w:r w:rsidRPr="002C5B69">
        <w:rPr>
          <w:rFonts w:ascii="Helvetica" w:hAnsi="Helvetica"/>
          <w:i/>
          <w:iCs/>
          <w:color w:val="000000" w:themeColor="text1"/>
          <w:sz w:val="20"/>
          <w:szCs w:val="20"/>
        </w:rPr>
        <w:t>BCR</w:t>
      </w:r>
      <w:r w:rsidR="00AD60D3">
        <w:rPr>
          <w:rFonts w:ascii="Helvetica" w:hAnsi="Helvetica"/>
          <w:i/>
          <w:iCs/>
          <w:color w:val="000000" w:themeColor="text1"/>
          <w:sz w:val="20"/>
          <w:szCs w:val="20"/>
        </w:rPr>
        <w:t>::</w:t>
      </w:r>
      <w:proofErr w:type="gramEnd"/>
      <w:r w:rsidRPr="002C5B69">
        <w:rPr>
          <w:rFonts w:ascii="Helvetica" w:hAnsi="Helvetica"/>
          <w:i/>
          <w:iCs/>
          <w:color w:val="000000" w:themeColor="text1"/>
          <w:sz w:val="20"/>
          <w:szCs w:val="20"/>
        </w:rPr>
        <w:t>ABL1</w:t>
      </w:r>
      <w:r w:rsidRPr="002C5B69">
        <w:rPr>
          <w:rFonts w:ascii="Helvetica" w:hAnsi="Helvetica"/>
          <w:color w:val="000000" w:themeColor="text1"/>
          <w:sz w:val="20"/>
          <w:szCs w:val="20"/>
        </w:rPr>
        <w:t> (a) and </w:t>
      </w:r>
      <w:r w:rsidRPr="002C5B69">
        <w:rPr>
          <w:rFonts w:ascii="Helvetica" w:hAnsi="Helvetica"/>
          <w:i/>
          <w:iCs/>
          <w:color w:val="000000" w:themeColor="text1"/>
          <w:sz w:val="20"/>
          <w:szCs w:val="20"/>
        </w:rPr>
        <w:t>ABL1</w:t>
      </w:r>
      <w:r w:rsidR="00AD60D3">
        <w:rPr>
          <w:rFonts w:ascii="Helvetica" w:hAnsi="Helvetica"/>
          <w:i/>
          <w:iCs/>
          <w:color w:val="000000" w:themeColor="text1"/>
          <w:sz w:val="20"/>
          <w:szCs w:val="20"/>
        </w:rPr>
        <w:t>::</w:t>
      </w:r>
      <w:r w:rsidRPr="002C5B69">
        <w:rPr>
          <w:rFonts w:ascii="Helvetica" w:hAnsi="Helvetica"/>
          <w:i/>
          <w:iCs/>
          <w:color w:val="000000" w:themeColor="text1"/>
          <w:sz w:val="20"/>
          <w:szCs w:val="20"/>
        </w:rPr>
        <w:t>BCR</w:t>
      </w:r>
      <w:r w:rsidRPr="002C5B69">
        <w:rPr>
          <w:rFonts w:ascii="Helvetica" w:hAnsi="Helvetica"/>
          <w:color w:val="000000" w:themeColor="text1"/>
          <w:sz w:val="20"/>
          <w:szCs w:val="20"/>
        </w:rPr>
        <w:t> (b) fusion sites of genomic PCR products after TA-cloning in the p190 BCR</w:t>
      </w:r>
      <w:r w:rsidR="00AD60D3" w:rsidRPr="00F02FD7">
        <w:rPr>
          <w:rFonts w:ascii="Helvetica" w:hAnsi="Helvetica"/>
          <w:color w:val="000000" w:themeColor="text1"/>
          <w:sz w:val="20"/>
          <w:szCs w:val="20"/>
        </w:rPr>
        <w:t>::</w:t>
      </w:r>
      <w:r w:rsidRPr="002C5B69">
        <w:rPr>
          <w:rFonts w:ascii="Helvetica" w:hAnsi="Helvetica"/>
          <w:color w:val="000000" w:themeColor="text1"/>
          <w:sz w:val="20"/>
          <w:szCs w:val="20"/>
        </w:rPr>
        <w:t xml:space="preserve">ABL1 sublines. Upper panel indicates original </w:t>
      </w:r>
      <w:r w:rsidRPr="002C5B69">
        <w:rPr>
          <w:rFonts w:ascii="Helvetica" w:hAnsi="Helvetica"/>
          <w:i/>
          <w:iCs/>
          <w:color w:val="000000" w:themeColor="text1"/>
          <w:sz w:val="20"/>
          <w:szCs w:val="20"/>
        </w:rPr>
        <w:t xml:space="preserve">BCR </w:t>
      </w:r>
      <w:r w:rsidRPr="002C5B69">
        <w:rPr>
          <w:rFonts w:ascii="Helvetica" w:hAnsi="Helvetica"/>
          <w:color w:val="000000" w:themeColor="text1"/>
          <w:sz w:val="20"/>
          <w:szCs w:val="20"/>
        </w:rPr>
        <w:t xml:space="preserve">and </w:t>
      </w:r>
      <w:r w:rsidRPr="002C5B69">
        <w:rPr>
          <w:rFonts w:ascii="Helvetica" w:hAnsi="Helvetica"/>
          <w:i/>
          <w:iCs/>
          <w:color w:val="000000" w:themeColor="text1"/>
          <w:sz w:val="20"/>
          <w:szCs w:val="20"/>
        </w:rPr>
        <w:t>ABL1</w:t>
      </w:r>
      <w:r w:rsidRPr="002C5B69">
        <w:rPr>
          <w:rFonts w:ascii="Helvetica" w:hAnsi="Helvetica"/>
          <w:color w:val="000000" w:themeColor="text1"/>
          <w:sz w:val="20"/>
          <w:szCs w:val="20"/>
        </w:rPr>
        <w:t xml:space="preserve"> genomic sequences. Targeted PAM site is highlighted in orange. Arrows and arrowheads indicate sequences of sgRNA and Cas9 cleavage sites, respectively. Lower panel indicates alignment of sequences in seven clones. In each sequence, the variant nucleotide is indicated with an orange letter. </w:t>
      </w:r>
      <w:r w:rsidRPr="002C5B69">
        <w:rPr>
          <w:rFonts w:ascii="Calibri" w:hAnsi="Calibri" w:cs="Calibri"/>
          <w:color w:val="000000" w:themeColor="text1"/>
          <w:sz w:val="20"/>
          <w:szCs w:val="20"/>
        </w:rPr>
        <w:t> </w:t>
      </w:r>
    </w:p>
    <w:p w14:paraId="4F6D7AD9" w14:textId="77777777"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 </w:t>
      </w:r>
    </w:p>
    <w:p w14:paraId="360EA522" w14:textId="055B7D3B"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Supplement Fig 6. Heatmap of differentially regulated genes (FDR &lt; 10</w:t>
      </w:r>
      <w:r w:rsidRPr="002C5B69">
        <w:rPr>
          <w:rFonts w:ascii="Helvetica" w:hAnsi="Helvetica"/>
          <w:color w:val="000000" w:themeColor="text1"/>
          <w:sz w:val="20"/>
          <w:szCs w:val="20"/>
          <w:vertAlign w:val="superscript"/>
        </w:rPr>
        <w:t>-13</w:t>
      </w:r>
      <w:r w:rsidRPr="002C5B69">
        <w:rPr>
          <w:rFonts w:ascii="Helvetica" w:hAnsi="Helvetica"/>
          <w:color w:val="000000" w:themeColor="text1"/>
          <w:sz w:val="20"/>
          <w:szCs w:val="20"/>
        </w:rPr>
        <w:t xml:space="preserve">) based on unsupervised hierarchical clustering in four samples: gray and </w:t>
      </w:r>
      <w:r w:rsidR="003408D3">
        <w:rPr>
          <w:rFonts w:ascii="Helvetica" w:hAnsi="Helvetica"/>
          <w:color w:val="000000" w:themeColor="text1"/>
          <w:sz w:val="20"/>
          <w:szCs w:val="20"/>
        </w:rPr>
        <w:t>green</w:t>
      </w:r>
      <w:r w:rsidRPr="002C5B69">
        <w:rPr>
          <w:rFonts w:ascii="Helvetica" w:hAnsi="Helvetica"/>
          <w:color w:val="000000" w:themeColor="text1"/>
          <w:sz w:val="20"/>
          <w:szCs w:val="20"/>
        </w:rPr>
        <w:t xml:space="preserve"> columns indicate parental cells cultured without and with GM-CSF, respectively; red and blue columns indicate</w:t>
      </w:r>
      <w:r w:rsidRPr="002C5B69">
        <w:rPr>
          <w:rFonts w:ascii="Helvetica" w:hAnsi="Helvetica"/>
          <w:color w:val="000000" w:themeColor="text1"/>
          <w:sz w:val="20"/>
          <w:szCs w:val="20"/>
          <w:shd w:val="clear" w:color="auto" w:fill="FFFFFF"/>
        </w:rPr>
        <w:t xml:space="preserve"> p210 </w:t>
      </w:r>
      <w:proofErr w:type="gramStart"/>
      <w:r w:rsidRPr="002C5B69">
        <w:rPr>
          <w:rFonts w:ascii="Helvetica" w:hAnsi="Helvetica"/>
          <w:color w:val="000000" w:themeColor="text1"/>
          <w:sz w:val="20"/>
          <w:szCs w:val="20"/>
          <w:shd w:val="clear" w:color="auto" w:fill="FFFFFF"/>
        </w:rPr>
        <w:t>BCR</w:t>
      </w:r>
      <w:r w:rsidR="00AD60D3" w:rsidRPr="00F02FD7">
        <w:rPr>
          <w:rFonts w:ascii="Helvetica" w:hAnsi="Helvetica"/>
          <w:color w:val="000000" w:themeColor="text1"/>
          <w:sz w:val="20"/>
          <w:szCs w:val="20"/>
        </w:rPr>
        <w:t>::</w:t>
      </w:r>
      <w:proofErr w:type="gramEnd"/>
      <w:r w:rsidRPr="002C5B69">
        <w:rPr>
          <w:rFonts w:ascii="Helvetica" w:hAnsi="Helvetica"/>
          <w:color w:val="000000" w:themeColor="text1"/>
          <w:sz w:val="20"/>
          <w:szCs w:val="20"/>
          <w:shd w:val="clear" w:color="auto" w:fill="FFFFFF"/>
        </w:rPr>
        <w:t>ABL1 and p190 BCR</w:t>
      </w:r>
      <w:r w:rsidR="00AD60D3" w:rsidRPr="00F02FD7">
        <w:rPr>
          <w:rFonts w:ascii="Helvetica" w:hAnsi="Helvetica"/>
          <w:color w:val="000000" w:themeColor="text1"/>
          <w:sz w:val="20"/>
          <w:szCs w:val="20"/>
        </w:rPr>
        <w:t>::</w:t>
      </w:r>
      <w:r w:rsidRPr="002C5B69">
        <w:rPr>
          <w:rFonts w:ascii="Helvetica" w:hAnsi="Helvetica"/>
          <w:color w:val="000000" w:themeColor="text1"/>
          <w:sz w:val="20"/>
          <w:szCs w:val="20"/>
          <w:shd w:val="clear" w:color="auto" w:fill="FFFFFF"/>
        </w:rPr>
        <w:t>ABL1 sublines</w:t>
      </w:r>
      <w:r w:rsidRPr="002C5B69">
        <w:rPr>
          <w:rFonts w:ascii="Helvetica" w:hAnsi="Helvetica"/>
          <w:color w:val="000000" w:themeColor="text1"/>
          <w:sz w:val="20"/>
          <w:szCs w:val="20"/>
        </w:rPr>
        <w:t xml:space="preserve"> cultured</w:t>
      </w:r>
      <w:r w:rsidRPr="002C5B69">
        <w:rPr>
          <w:rFonts w:ascii="Helvetica" w:hAnsi="Helvetica"/>
          <w:color w:val="000000" w:themeColor="text1"/>
          <w:sz w:val="20"/>
          <w:szCs w:val="20"/>
          <w:shd w:val="clear" w:color="auto" w:fill="FFFFFF"/>
        </w:rPr>
        <w:t xml:space="preserve"> without</w:t>
      </w:r>
      <w:r w:rsidRPr="002C5B69">
        <w:rPr>
          <w:rFonts w:ascii="Helvetica" w:hAnsi="Helvetica"/>
          <w:color w:val="000000" w:themeColor="text1"/>
          <w:sz w:val="20"/>
          <w:szCs w:val="20"/>
        </w:rPr>
        <w:t xml:space="preserve"> GM-CSF, respectively. Red and blue color scaling indicates degrees of upregulation and downregulation to the mean expression across samples, respectively.  </w:t>
      </w:r>
    </w:p>
    <w:p w14:paraId="6AE1DC12" w14:textId="77777777" w:rsidR="00CA5D39" w:rsidRPr="002C5B69" w:rsidRDefault="00CA5D39" w:rsidP="00CA5D39">
      <w:pPr>
        <w:contextualSpacing/>
        <w:rPr>
          <w:color w:val="000000" w:themeColor="text1"/>
          <w:sz w:val="27"/>
          <w:szCs w:val="27"/>
        </w:rPr>
      </w:pPr>
      <w:r w:rsidRPr="002C5B69">
        <w:rPr>
          <w:rFonts w:ascii="Helvetica" w:hAnsi="Helvetica"/>
          <w:color w:val="000000" w:themeColor="text1"/>
          <w:sz w:val="20"/>
          <w:szCs w:val="20"/>
        </w:rPr>
        <w:t> </w:t>
      </w:r>
    </w:p>
    <w:p w14:paraId="0017808A" w14:textId="2B106AD2" w:rsidR="009A64DB" w:rsidRDefault="00CA5D39" w:rsidP="00CA5D39">
      <w:r w:rsidRPr="002C5B69">
        <w:rPr>
          <w:rFonts w:ascii="Helvetica" w:hAnsi="Helvetica"/>
          <w:color w:val="000000" w:themeColor="text1"/>
          <w:sz w:val="20"/>
          <w:szCs w:val="20"/>
        </w:rPr>
        <w:t>Supplement Fig 7. GO analysis of differentially expressed genes (FDR &lt; 0.01, Log2 fold change &lt; 1 or &gt; -1) between</w:t>
      </w:r>
      <w:r w:rsidRPr="002C5B69">
        <w:rPr>
          <w:rFonts w:ascii="Helvetica" w:hAnsi="Helvetica"/>
          <w:color w:val="000000" w:themeColor="text1"/>
          <w:sz w:val="20"/>
          <w:szCs w:val="20"/>
          <w:shd w:val="clear" w:color="auto" w:fill="FFFFFF"/>
        </w:rPr>
        <w:t xml:space="preserve"> p210 </w:t>
      </w:r>
      <w:proofErr w:type="gramStart"/>
      <w:r w:rsidRPr="002C5B69">
        <w:rPr>
          <w:rFonts w:ascii="Helvetica" w:hAnsi="Helvetica"/>
          <w:color w:val="000000" w:themeColor="text1"/>
          <w:sz w:val="20"/>
          <w:szCs w:val="20"/>
          <w:shd w:val="clear" w:color="auto" w:fill="FFFFFF"/>
        </w:rPr>
        <w:t>BCR</w:t>
      </w:r>
      <w:r w:rsidR="00AD60D3" w:rsidRPr="00F02FD7">
        <w:rPr>
          <w:rFonts w:ascii="Helvetica" w:hAnsi="Helvetica"/>
          <w:color w:val="000000" w:themeColor="text1"/>
          <w:sz w:val="20"/>
          <w:szCs w:val="20"/>
        </w:rPr>
        <w:t>::</w:t>
      </w:r>
      <w:proofErr w:type="gramEnd"/>
      <w:r w:rsidRPr="002C5B69">
        <w:rPr>
          <w:rFonts w:ascii="Helvetica" w:hAnsi="Helvetica"/>
          <w:color w:val="000000" w:themeColor="text1"/>
          <w:sz w:val="20"/>
          <w:szCs w:val="20"/>
          <w:shd w:val="clear" w:color="auto" w:fill="FFFFFF"/>
        </w:rPr>
        <w:t>ABL1 and p190 BCR</w:t>
      </w:r>
      <w:r w:rsidR="00AD60D3" w:rsidRPr="00F02FD7">
        <w:rPr>
          <w:rFonts w:ascii="Helvetica" w:hAnsi="Helvetica"/>
          <w:color w:val="000000" w:themeColor="text1"/>
          <w:sz w:val="20"/>
          <w:szCs w:val="20"/>
        </w:rPr>
        <w:t>::</w:t>
      </w:r>
      <w:r w:rsidRPr="002C5B69">
        <w:rPr>
          <w:rFonts w:ascii="Helvetica" w:hAnsi="Helvetica"/>
          <w:color w:val="000000" w:themeColor="text1"/>
          <w:sz w:val="20"/>
          <w:szCs w:val="20"/>
          <w:shd w:val="clear" w:color="auto" w:fill="FFFFFF"/>
        </w:rPr>
        <w:t>ABL1 sublines (Supplement Table 7)</w:t>
      </w:r>
      <w:r w:rsidRPr="002C5B69">
        <w:rPr>
          <w:rFonts w:ascii="Helvetica" w:hAnsi="Helvetica"/>
          <w:color w:val="000000" w:themeColor="text1"/>
          <w:sz w:val="20"/>
          <w:szCs w:val="20"/>
        </w:rPr>
        <w:t>.</w:t>
      </w:r>
    </w:p>
    <w:sectPr w:rsidR="009A64DB" w:rsidSect="003304B6">
      <w:pgSz w:w="11906" w:h="16838"/>
      <w:pgMar w:top="720" w:right="720" w:bottom="81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39"/>
    <w:rsid w:val="000009BE"/>
    <w:rsid w:val="00014E1C"/>
    <w:rsid w:val="000231F0"/>
    <w:rsid w:val="00027D0B"/>
    <w:rsid w:val="00045719"/>
    <w:rsid w:val="00057A9E"/>
    <w:rsid w:val="00070A86"/>
    <w:rsid w:val="00075D1A"/>
    <w:rsid w:val="00091D90"/>
    <w:rsid w:val="00096AAE"/>
    <w:rsid w:val="000A5EEC"/>
    <w:rsid w:val="000D24BF"/>
    <w:rsid w:val="0012585F"/>
    <w:rsid w:val="00142EAD"/>
    <w:rsid w:val="001510CA"/>
    <w:rsid w:val="0017505E"/>
    <w:rsid w:val="00195617"/>
    <w:rsid w:val="001A4DC0"/>
    <w:rsid w:val="001D25CA"/>
    <w:rsid w:val="002074E1"/>
    <w:rsid w:val="002200ED"/>
    <w:rsid w:val="002521E0"/>
    <w:rsid w:val="00256ACF"/>
    <w:rsid w:val="00265241"/>
    <w:rsid w:val="002746F2"/>
    <w:rsid w:val="00280174"/>
    <w:rsid w:val="002A414E"/>
    <w:rsid w:val="002B31F9"/>
    <w:rsid w:val="002B4FFA"/>
    <w:rsid w:val="002B7EFF"/>
    <w:rsid w:val="003234CF"/>
    <w:rsid w:val="00324146"/>
    <w:rsid w:val="003241F0"/>
    <w:rsid w:val="003304B6"/>
    <w:rsid w:val="003408D3"/>
    <w:rsid w:val="00364BDE"/>
    <w:rsid w:val="00393A14"/>
    <w:rsid w:val="0041502A"/>
    <w:rsid w:val="00417EB5"/>
    <w:rsid w:val="0043195C"/>
    <w:rsid w:val="00466EB2"/>
    <w:rsid w:val="004850B8"/>
    <w:rsid w:val="004B4794"/>
    <w:rsid w:val="004F5364"/>
    <w:rsid w:val="00533839"/>
    <w:rsid w:val="00534B11"/>
    <w:rsid w:val="00544ABA"/>
    <w:rsid w:val="00560D33"/>
    <w:rsid w:val="0058657B"/>
    <w:rsid w:val="005A2F02"/>
    <w:rsid w:val="005A735A"/>
    <w:rsid w:val="005C22F8"/>
    <w:rsid w:val="005D4483"/>
    <w:rsid w:val="005F6BF2"/>
    <w:rsid w:val="00602169"/>
    <w:rsid w:val="00617997"/>
    <w:rsid w:val="00623912"/>
    <w:rsid w:val="006253F4"/>
    <w:rsid w:val="00637644"/>
    <w:rsid w:val="00661860"/>
    <w:rsid w:val="00697658"/>
    <w:rsid w:val="006D0330"/>
    <w:rsid w:val="006D70DF"/>
    <w:rsid w:val="006E18C0"/>
    <w:rsid w:val="00754D0D"/>
    <w:rsid w:val="007A3A65"/>
    <w:rsid w:val="007B3D2B"/>
    <w:rsid w:val="007B7CED"/>
    <w:rsid w:val="007C1325"/>
    <w:rsid w:val="00814507"/>
    <w:rsid w:val="00837F88"/>
    <w:rsid w:val="008407E5"/>
    <w:rsid w:val="008521EE"/>
    <w:rsid w:val="00871D69"/>
    <w:rsid w:val="008914E7"/>
    <w:rsid w:val="00901F81"/>
    <w:rsid w:val="00905E70"/>
    <w:rsid w:val="009179CB"/>
    <w:rsid w:val="009252C5"/>
    <w:rsid w:val="009708C0"/>
    <w:rsid w:val="00982580"/>
    <w:rsid w:val="009944F5"/>
    <w:rsid w:val="009B2F7F"/>
    <w:rsid w:val="009C7AA4"/>
    <w:rsid w:val="00A02C21"/>
    <w:rsid w:val="00A26E39"/>
    <w:rsid w:val="00A314DC"/>
    <w:rsid w:val="00A339BA"/>
    <w:rsid w:val="00A34803"/>
    <w:rsid w:val="00A37D99"/>
    <w:rsid w:val="00A448FD"/>
    <w:rsid w:val="00A6630B"/>
    <w:rsid w:val="00A81FF1"/>
    <w:rsid w:val="00A974D9"/>
    <w:rsid w:val="00A977FC"/>
    <w:rsid w:val="00AA4F9A"/>
    <w:rsid w:val="00AC2C94"/>
    <w:rsid w:val="00AD052B"/>
    <w:rsid w:val="00AD60D3"/>
    <w:rsid w:val="00AE60CA"/>
    <w:rsid w:val="00AE7F0C"/>
    <w:rsid w:val="00B1068E"/>
    <w:rsid w:val="00B2440A"/>
    <w:rsid w:val="00B32A0A"/>
    <w:rsid w:val="00B345F6"/>
    <w:rsid w:val="00B424C0"/>
    <w:rsid w:val="00B645B4"/>
    <w:rsid w:val="00B720D5"/>
    <w:rsid w:val="00B94E4C"/>
    <w:rsid w:val="00B97240"/>
    <w:rsid w:val="00C50256"/>
    <w:rsid w:val="00C66102"/>
    <w:rsid w:val="00C73976"/>
    <w:rsid w:val="00CA5D39"/>
    <w:rsid w:val="00CE1454"/>
    <w:rsid w:val="00CF3939"/>
    <w:rsid w:val="00D01BCC"/>
    <w:rsid w:val="00D24A46"/>
    <w:rsid w:val="00D27B86"/>
    <w:rsid w:val="00D40A5E"/>
    <w:rsid w:val="00D86B16"/>
    <w:rsid w:val="00DC35FC"/>
    <w:rsid w:val="00DD3A8F"/>
    <w:rsid w:val="00E1256D"/>
    <w:rsid w:val="00E25B3C"/>
    <w:rsid w:val="00E2768B"/>
    <w:rsid w:val="00E36FBE"/>
    <w:rsid w:val="00E519C0"/>
    <w:rsid w:val="00E8338C"/>
    <w:rsid w:val="00EA077A"/>
    <w:rsid w:val="00EB3BB8"/>
    <w:rsid w:val="00EB4805"/>
    <w:rsid w:val="00EB66B2"/>
    <w:rsid w:val="00EC0D19"/>
    <w:rsid w:val="00F02FD7"/>
    <w:rsid w:val="00F04881"/>
    <w:rsid w:val="00F11CA0"/>
    <w:rsid w:val="00F15E53"/>
    <w:rsid w:val="00F7376A"/>
    <w:rsid w:val="00F834B0"/>
    <w:rsid w:val="00F9072F"/>
    <w:rsid w:val="00FF0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58CDBA1"/>
  <w15:chartTrackingRefBased/>
  <w15:docId w15:val="{42295FC6-832D-BD4E-A502-E5268B01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D39"/>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tamaim-as</dc:creator>
  <cp:keywords/>
  <dc:description/>
  <cp:lastModifiedBy>tamaim-as</cp:lastModifiedBy>
  <cp:revision>4</cp:revision>
  <dcterms:created xsi:type="dcterms:W3CDTF">2022-02-25T22:07:00Z</dcterms:created>
  <dcterms:modified xsi:type="dcterms:W3CDTF">2022-03-17T11:41:00Z</dcterms:modified>
</cp:coreProperties>
</file>