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89EE1" w14:textId="77777777" w:rsidR="00E170FE" w:rsidRDefault="00E170FE" w:rsidP="00E170FE">
      <w:pPr>
        <w:spacing w:line="480" w:lineRule="auto"/>
        <w:rPr>
          <w:b/>
          <w:sz w:val="32"/>
          <w:szCs w:val="32"/>
        </w:rPr>
      </w:pPr>
      <w:r>
        <w:rPr>
          <w:b/>
          <w:sz w:val="32"/>
          <w:szCs w:val="32"/>
        </w:rPr>
        <w:t>Individually optimal choices can be collectively disastrous in COVID-19 disease control</w:t>
      </w:r>
    </w:p>
    <w:p w14:paraId="4183CAEC" w14:textId="77777777" w:rsidR="00E170FE" w:rsidRPr="002A1CF1" w:rsidRDefault="00E170FE" w:rsidP="00E170FE">
      <w:pPr>
        <w:spacing w:line="480" w:lineRule="auto"/>
        <w:rPr>
          <w:bCs/>
        </w:rPr>
      </w:pPr>
      <w:r w:rsidRPr="00AA6839">
        <w:rPr>
          <w:b/>
        </w:rPr>
        <w:t>Authors:</w:t>
      </w:r>
      <w:r>
        <w:rPr>
          <w:b/>
        </w:rPr>
        <w:t xml:space="preserve"> </w:t>
      </w:r>
      <w:r w:rsidRPr="00B95D33">
        <w:rPr>
          <w:bCs/>
        </w:rPr>
        <w:t>Madison Stoddard</w:t>
      </w:r>
      <w:r>
        <w:rPr>
          <w:bCs/>
          <w:vertAlign w:val="superscript"/>
        </w:rPr>
        <w:t>1</w:t>
      </w:r>
      <w:r w:rsidRPr="00B95D33">
        <w:rPr>
          <w:bCs/>
        </w:rPr>
        <w:t xml:space="preserve">, </w:t>
      </w:r>
      <w:r>
        <w:rPr>
          <w:bCs/>
        </w:rPr>
        <w:t>Debra Van Egeren</w:t>
      </w:r>
      <w:r>
        <w:rPr>
          <w:bCs/>
          <w:vertAlign w:val="superscript"/>
        </w:rPr>
        <w:t>2,3,4</w:t>
      </w:r>
      <w:r w:rsidRPr="00B95D33">
        <w:rPr>
          <w:bCs/>
        </w:rPr>
        <w:t xml:space="preserve">, </w:t>
      </w:r>
      <w:r>
        <w:rPr>
          <w:bCs/>
        </w:rPr>
        <w:t>Kaitlyn Johnson</w:t>
      </w:r>
      <w:r>
        <w:rPr>
          <w:bCs/>
          <w:vertAlign w:val="superscript"/>
        </w:rPr>
        <w:t>5</w:t>
      </w:r>
      <w:r>
        <w:rPr>
          <w:bCs/>
        </w:rPr>
        <w:t>, Smriti Rao</w:t>
      </w:r>
      <w:r>
        <w:rPr>
          <w:bCs/>
          <w:vertAlign w:val="superscript"/>
        </w:rPr>
        <w:t>6</w:t>
      </w:r>
      <w:r>
        <w:rPr>
          <w:bCs/>
        </w:rPr>
        <w:t>, Josh Furgeson</w:t>
      </w:r>
      <w:r w:rsidRPr="003746AD">
        <w:rPr>
          <w:bCs/>
          <w:vertAlign w:val="superscript"/>
        </w:rPr>
        <w:t>7</w:t>
      </w:r>
      <w:r>
        <w:rPr>
          <w:bCs/>
        </w:rPr>
        <w:t>, Douglas E. White</w:t>
      </w:r>
      <w:r w:rsidRPr="003746AD">
        <w:rPr>
          <w:bCs/>
          <w:vertAlign w:val="superscript"/>
        </w:rPr>
        <w:t>8</w:t>
      </w:r>
      <w:r>
        <w:rPr>
          <w:bCs/>
        </w:rPr>
        <w:t>, Ryan P. Nolan</w:t>
      </w:r>
      <w:r w:rsidRPr="003746AD">
        <w:rPr>
          <w:bCs/>
          <w:vertAlign w:val="superscript"/>
        </w:rPr>
        <w:t>9</w:t>
      </w:r>
      <w:r>
        <w:rPr>
          <w:bCs/>
        </w:rPr>
        <w:t>, Natasha Hochberg</w:t>
      </w:r>
      <w:r w:rsidRPr="003746AD">
        <w:rPr>
          <w:bCs/>
          <w:vertAlign w:val="superscript"/>
        </w:rPr>
        <w:t>10,11</w:t>
      </w:r>
      <w:r>
        <w:rPr>
          <w:bCs/>
          <w:vertAlign w:val="superscript"/>
        </w:rPr>
        <w:t>,12</w:t>
      </w:r>
      <w:r w:rsidRPr="00B95D33">
        <w:rPr>
          <w:bCs/>
        </w:rPr>
        <w:t>, Arijit Chakravarty</w:t>
      </w:r>
      <w:r>
        <w:rPr>
          <w:bCs/>
          <w:vertAlign w:val="superscript"/>
        </w:rPr>
        <w:t>1,*</w:t>
      </w:r>
    </w:p>
    <w:p w14:paraId="780C8783" w14:textId="77777777" w:rsidR="00E170FE" w:rsidRDefault="00E170FE" w:rsidP="00E170FE">
      <w:pPr>
        <w:spacing w:line="480" w:lineRule="auto"/>
        <w:rPr>
          <w:b/>
        </w:rPr>
      </w:pPr>
      <w:r>
        <w:rPr>
          <w:b/>
        </w:rPr>
        <w:t>Affiliations:</w:t>
      </w:r>
    </w:p>
    <w:p w14:paraId="13B7AD3F" w14:textId="77777777" w:rsidR="00E170FE" w:rsidRDefault="00E170FE" w:rsidP="00E170FE">
      <w:pPr>
        <w:spacing w:line="480" w:lineRule="auto"/>
      </w:pPr>
      <w:r w:rsidRPr="00B55A4F">
        <w:rPr>
          <w:vertAlign w:val="superscript"/>
        </w:rPr>
        <w:t>1</w:t>
      </w:r>
      <w:r w:rsidRPr="008D6ADE">
        <w:rPr>
          <w:bCs/>
        </w:rPr>
        <w:t xml:space="preserve"> </w:t>
      </w:r>
      <w:r w:rsidRPr="00D7220E">
        <w:rPr>
          <w:bCs/>
        </w:rPr>
        <w:t>Fractal Therapeutics, Cambridge</w:t>
      </w:r>
      <w:r w:rsidRPr="00264513">
        <w:t xml:space="preserve">, </w:t>
      </w:r>
      <w:r>
        <w:t xml:space="preserve">MA, </w:t>
      </w:r>
      <w:r w:rsidRPr="00264513">
        <w:t xml:space="preserve">USA </w:t>
      </w:r>
    </w:p>
    <w:p w14:paraId="087DF8B8" w14:textId="77777777" w:rsidR="00E170FE" w:rsidRDefault="00E170FE" w:rsidP="00E170FE">
      <w:pPr>
        <w:spacing w:line="480" w:lineRule="auto"/>
      </w:pPr>
      <w:r w:rsidRPr="00A35B07">
        <w:rPr>
          <w:vertAlign w:val="superscript"/>
        </w:rPr>
        <w:t>2</w:t>
      </w:r>
      <w:r>
        <w:t xml:space="preserve">Department of Systems Biology, </w:t>
      </w:r>
      <w:r w:rsidRPr="00264513">
        <w:t>Harvard Medical School, Boston,</w:t>
      </w:r>
      <w:r>
        <w:t xml:space="preserve"> MA,</w:t>
      </w:r>
      <w:r w:rsidRPr="00264513">
        <w:t xml:space="preserve"> USA.</w:t>
      </w:r>
      <w:r>
        <w:t xml:space="preserve"> </w:t>
      </w:r>
    </w:p>
    <w:p w14:paraId="63BB7279" w14:textId="77777777" w:rsidR="00E170FE" w:rsidRPr="002E316A" w:rsidRDefault="00E170FE" w:rsidP="00E170FE">
      <w:pPr>
        <w:spacing w:line="480" w:lineRule="auto"/>
        <w:rPr>
          <w:bCs/>
        </w:rPr>
      </w:pPr>
      <w:r w:rsidRPr="002E316A">
        <w:rPr>
          <w:vertAlign w:val="superscript"/>
        </w:rPr>
        <w:t>3</w:t>
      </w:r>
      <w:r w:rsidRPr="002E316A">
        <w:t xml:space="preserve">Department of Data Science, Dana-Farber Cancer Institute, Boston, MA, USA. </w:t>
      </w:r>
    </w:p>
    <w:p w14:paraId="29237EAD" w14:textId="77777777" w:rsidR="00E170FE" w:rsidRPr="00B55A4F" w:rsidRDefault="00E170FE" w:rsidP="00E170FE">
      <w:pPr>
        <w:spacing w:line="480" w:lineRule="auto"/>
        <w:rPr>
          <w:bCs/>
        </w:rPr>
      </w:pPr>
      <w:r w:rsidRPr="00D7220E">
        <w:rPr>
          <w:vertAlign w:val="superscript"/>
        </w:rPr>
        <w:t>4</w:t>
      </w:r>
      <w:r>
        <w:t xml:space="preserve">Stem Cell Program, </w:t>
      </w:r>
      <w:r w:rsidRPr="00264513">
        <w:t xml:space="preserve">Boston Children’s Hospital, Boston, </w:t>
      </w:r>
      <w:r>
        <w:t xml:space="preserve">MA, </w:t>
      </w:r>
      <w:r w:rsidRPr="00264513">
        <w:t>USA.</w:t>
      </w:r>
      <w:r>
        <w:t xml:space="preserve"> </w:t>
      </w:r>
    </w:p>
    <w:p w14:paraId="51BF69D8" w14:textId="77777777" w:rsidR="00E170FE" w:rsidRDefault="00E170FE" w:rsidP="00E170FE">
      <w:pPr>
        <w:spacing w:line="480" w:lineRule="auto"/>
        <w:rPr>
          <w:vertAlign w:val="superscript"/>
        </w:rPr>
      </w:pPr>
      <w:r>
        <w:rPr>
          <w:vertAlign w:val="superscript"/>
        </w:rPr>
        <w:t>5</w:t>
      </w:r>
      <w:r w:rsidRPr="00B95D33">
        <w:rPr>
          <w:bCs/>
        </w:rPr>
        <w:t>Department of Biomedical Engineering</w:t>
      </w:r>
      <w:r>
        <w:rPr>
          <w:bCs/>
        </w:rPr>
        <w:t>, University of Texas</w:t>
      </w:r>
      <w:r w:rsidRPr="00B95D33">
        <w:rPr>
          <w:bCs/>
        </w:rPr>
        <w:t xml:space="preserve">, </w:t>
      </w:r>
      <w:r>
        <w:rPr>
          <w:bCs/>
        </w:rPr>
        <w:t>Austin, TX, USA</w:t>
      </w:r>
      <w:r w:rsidRPr="00D7220E">
        <w:rPr>
          <w:vertAlign w:val="superscript"/>
        </w:rPr>
        <w:t xml:space="preserve"> </w:t>
      </w:r>
    </w:p>
    <w:p w14:paraId="374C69BF" w14:textId="77777777" w:rsidR="00E170FE" w:rsidRDefault="00E170FE" w:rsidP="00E170FE">
      <w:pPr>
        <w:spacing w:line="480" w:lineRule="auto"/>
      </w:pPr>
      <w:r>
        <w:rPr>
          <w:vertAlign w:val="superscript"/>
        </w:rPr>
        <w:t>6</w:t>
      </w:r>
      <w:r>
        <w:t>Department of Economics, Assumption College, Worcester, MA, USA</w:t>
      </w:r>
    </w:p>
    <w:p w14:paraId="09819BE8" w14:textId="77777777" w:rsidR="00E170FE" w:rsidRDefault="00E170FE" w:rsidP="00E170FE">
      <w:pPr>
        <w:spacing w:line="480" w:lineRule="auto"/>
      </w:pPr>
      <w:r>
        <w:rPr>
          <w:vertAlign w:val="superscript"/>
        </w:rPr>
        <w:t>7</w:t>
      </w:r>
      <w:r>
        <w:t>International Initiative for Impact Evaluation, Cambridge, MA, USA</w:t>
      </w:r>
    </w:p>
    <w:p w14:paraId="4C46CCC0" w14:textId="7FC7C56F" w:rsidR="00E170FE" w:rsidRPr="00026CE0" w:rsidRDefault="00E170FE" w:rsidP="00E170FE">
      <w:pPr>
        <w:spacing w:line="480" w:lineRule="auto"/>
        <w:rPr>
          <w:bCs/>
        </w:rPr>
      </w:pPr>
      <w:r w:rsidRPr="00026CE0">
        <w:rPr>
          <w:bCs/>
          <w:vertAlign w:val="superscript"/>
        </w:rPr>
        <w:t>8</w:t>
      </w:r>
      <w:r w:rsidR="006F3014" w:rsidRPr="00026CE0">
        <w:rPr>
          <w:bCs/>
        </w:rPr>
        <w:t>Georgia Institute of Technology,</w:t>
      </w:r>
      <w:r w:rsidRPr="00026CE0">
        <w:rPr>
          <w:bCs/>
        </w:rPr>
        <w:t xml:space="preserve"> </w:t>
      </w:r>
      <w:r w:rsidR="00026CE0" w:rsidRPr="00026CE0">
        <w:rPr>
          <w:bCs/>
        </w:rPr>
        <w:t>A</w:t>
      </w:r>
      <w:r w:rsidR="00026CE0">
        <w:rPr>
          <w:bCs/>
        </w:rPr>
        <w:t>tlanta, GA, USA</w:t>
      </w:r>
    </w:p>
    <w:p w14:paraId="5329C7CD" w14:textId="77777777" w:rsidR="00E170FE" w:rsidRPr="00E170FE" w:rsidRDefault="00E170FE" w:rsidP="00E170FE">
      <w:pPr>
        <w:spacing w:line="480" w:lineRule="auto"/>
        <w:rPr>
          <w:bCs/>
          <w:lang w:val="it-IT"/>
        </w:rPr>
      </w:pPr>
      <w:r w:rsidRPr="00E170FE">
        <w:rPr>
          <w:bCs/>
          <w:vertAlign w:val="superscript"/>
          <w:lang w:val="it-IT"/>
        </w:rPr>
        <w:t>9</w:t>
      </w:r>
      <w:r w:rsidRPr="00E170FE">
        <w:rPr>
          <w:bCs/>
          <w:lang w:val="it-IT"/>
        </w:rPr>
        <w:t xml:space="preserve">Halozyme </w:t>
      </w:r>
      <w:proofErr w:type="spellStart"/>
      <w:r w:rsidRPr="00E170FE">
        <w:rPr>
          <w:bCs/>
          <w:lang w:val="it-IT"/>
        </w:rPr>
        <w:t>Therapeutics</w:t>
      </w:r>
      <w:proofErr w:type="spellEnd"/>
      <w:r w:rsidRPr="00E170FE">
        <w:rPr>
          <w:bCs/>
          <w:lang w:val="it-IT"/>
        </w:rPr>
        <w:t>, San Diego, CA, USA</w:t>
      </w:r>
    </w:p>
    <w:p w14:paraId="04E2EC73" w14:textId="77777777" w:rsidR="00E170FE" w:rsidRPr="00191228" w:rsidRDefault="00E170FE" w:rsidP="00E170FE">
      <w:pPr>
        <w:spacing w:line="480" w:lineRule="auto"/>
        <w:rPr>
          <w:bCs/>
          <w:vertAlign w:val="superscript"/>
          <w:lang w:val="it-IT"/>
        </w:rPr>
      </w:pPr>
      <w:r w:rsidRPr="00191228">
        <w:rPr>
          <w:bCs/>
          <w:vertAlign w:val="superscript"/>
          <w:lang w:val="it-IT"/>
        </w:rPr>
        <w:t>10</w:t>
      </w:r>
      <w:r w:rsidRPr="00191228">
        <w:rPr>
          <w:bCs/>
          <w:lang w:val="it-IT"/>
        </w:rPr>
        <w:t xml:space="preserve">Boston </w:t>
      </w:r>
      <w:proofErr w:type="spellStart"/>
      <w:r w:rsidRPr="00191228">
        <w:rPr>
          <w:bCs/>
          <w:lang w:val="it-IT"/>
        </w:rPr>
        <w:t>Medical</w:t>
      </w:r>
      <w:proofErr w:type="spellEnd"/>
      <w:r w:rsidRPr="00191228">
        <w:rPr>
          <w:bCs/>
          <w:lang w:val="it-IT"/>
        </w:rPr>
        <w:t xml:space="preserve"> Center, Boston, MA, USA</w:t>
      </w:r>
    </w:p>
    <w:p w14:paraId="1095BD9D" w14:textId="77777777" w:rsidR="00E170FE" w:rsidRDefault="00E170FE" w:rsidP="00E170FE">
      <w:pPr>
        <w:spacing w:line="480" w:lineRule="auto"/>
        <w:rPr>
          <w:bCs/>
        </w:rPr>
      </w:pPr>
      <w:r w:rsidRPr="003746AD">
        <w:rPr>
          <w:bCs/>
          <w:vertAlign w:val="superscript"/>
        </w:rPr>
        <w:t>11</w:t>
      </w:r>
      <w:r>
        <w:rPr>
          <w:bCs/>
        </w:rPr>
        <w:t xml:space="preserve">Department of Epidemiology, </w:t>
      </w:r>
      <w:r w:rsidRPr="00B95D33">
        <w:rPr>
          <w:bCs/>
        </w:rPr>
        <w:t>Boston University School of</w:t>
      </w:r>
      <w:r>
        <w:rPr>
          <w:bCs/>
        </w:rPr>
        <w:t xml:space="preserve"> Public Health</w:t>
      </w:r>
      <w:r w:rsidRPr="00264513">
        <w:t>, Boston,</w:t>
      </w:r>
      <w:r>
        <w:t xml:space="preserve"> MA,</w:t>
      </w:r>
      <w:r w:rsidRPr="00264513">
        <w:t xml:space="preserve"> USA.</w:t>
      </w:r>
    </w:p>
    <w:p w14:paraId="5B97EE99" w14:textId="77777777" w:rsidR="00E170FE" w:rsidRPr="00AB5CA1" w:rsidRDefault="00E170FE" w:rsidP="00E170FE">
      <w:pPr>
        <w:spacing w:line="480" w:lineRule="auto"/>
        <w:rPr>
          <w:bCs/>
        </w:rPr>
      </w:pPr>
      <w:r w:rsidRPr="003746AD">
        <w:rPr>
          <w:bCs/>
          <w:vertAlign w:val="superscript"/>
        </w:rPr>
        <w:t>1</w:t>
      </w:r>
      <w:r>
        <w:rPr>
          <w:bCs/>
          <w:vertAlign w:val="superscript"/>
        </w:rPr>
        <w:t>2</w:t>
      </w:r>
      <w:r>
        <w:rPr>
          <w:bCs/>
        </w:rPr>
        <w:t>Department of Medicine, Boston University School of Medicine</w:t>
      </w:r>
      <w:r w:rsidRPr="00264513">
        <w:t>, Boston,</w:t>
      </w:r>
      <w:r>
        <w:t xml:space="preserve"> MA,</w:t>
      </w:r>
      <w:r w:rsidRPr="00264513">
        <w:t xml:space="preserve"> USA.</w:t>
      </w:r>
    </w:p>
    <w:p w14:paraId="6EA9571E" w14:textId="77777777" w:rsidR="00E170FE" w:rsidRPr="00893274" w:rsidRDefault="00E170FE" w:rsidP="00E170FE">
      <w:pPr>
        <w:spacing w:line="480" w:lineRule="auto"/>
      </w:pPr>
      <w:r>
        <w:t xml:space="preserve">*Correspondence to: </w:t>
      </w:r>
      <w:r w:rsidRPr="00C771D7">
        <w:t>arijit@fract</w:t>
      </w:r>
      <w:r>
        <w:t xml:space="preserve">altx.com </w:t>
      </w:r>
    </w:p>
    <w:p w14:paraId="51F37307" w14:textId="71801D8B" w:rsidR="00E170FE" w:rsidRDefault="00E170FE" w:rsidP="00C57D01">
      <w:pPr>
        <w:rPr>
          <w:b/>
          <w:bCs/>
        </w:rPr>
      </w:pPr>
    </w:p>
    <w:p w14:paraId="5AFA633E" w14:textId="52BE2434" w:rsidR="00E170FE" w:rsidRDefault="00E170FE" w:rsidP="00C57D01">
      <w:pPr>
        <w:rPr>
          <w:b/>
          <w:bCs/>
        </w:rPr>
      </w:pPr>
    </w:p>
    <w:p w14:paraId="637FC132" w14:textId="372380FE" w:rsidR="00E170FE" w:rsidRDefault="00E170FE" w:rsidP="00C57D01">
      <w:pPr>
        <w:rPr>
          <w:b/>
          <w:bCs/>
        </w:rPr>
      </w:pPr>
    </w:p>
    <w:p w14:paraId="68186457" w14:textId="0ACE562B" w:rsidR="00E170FE" w:rsidRDefault="00E170FE" w:rsidP="00C57D01">
      <w:pPr>
        <w:rPr>
          <w:b/>
          <w:bCs/>
        </w:rPr>
      </w:pPr>
    </w:p>
    <w:p w14:paraId="28CC6D10" w14:textId="77777777" w:rsidR="00E170FE" w:rsidRDefault="00E170FE" w:rsidP="00C57D01">
      <w:pPr>
        <w:rPr>
          <w:b/>
          <w:bCs/>
        </w:rPr>
      </w:pPr>
    </w:p>
    <w:p w14:paraId="62CDDDF3" w14:textId="77777777" w:rsidR="00E170FE" w:rsidRDefault="00E170FE" w:rsidP="00C57D01">
      <w:pPr>
        <w:rPr>
          <w:b/>
          <w:bCs/>
        </w:rPr>
      </w:pPr>
    </w:p>
    <w:p w14:paraId="4A4CC2CF" w14:textId="0390BDCC" w:rsidR="00C57D01" w:rsidRDefault="00C57D01" w:rsidP="00C57D01">
      <w:r w:rsidRPr="00EF7456">
        <w:rPr>
          <w:b/>
          <w:bCs/>
        </w:rPr>
        <w:lastRenderedPageBreak/>
        <w:t>Table S1.</w:t>
      </w:r>
      <w:r>
        <w:t xml:space="preserve"> COVID-19 Death Risk Assessment for </w:t>
      </w:r>
      <w:r w:rsidRPr="00EF7456">
        <w:t>South Dakota</w:t>
      </w:r>
      <w:r>
        <w:t xml:space="preserve"> in</w:t>
      </w:r>
      <w:r w:rsidRPr="00EF7456">
        <w:t xml:space="preserve"> August 2020</w:t>
      </w:r>
      <w:r>
        <w:t xml:space="preserve">. </w:t>
      </w:r>
    </w:p>
    <w:tbl>
      <w:tblPr>
        <w:tblW w:w="8905" w:type="dxa"/>
        <w:tblLook w:val="04A0" w:firstRow="1" w:lastRow="0" w:firstColumn="1" w:lastColumn="0" w:noHBand="0" w:noVBand="1"/>
      </w:tblPr>
      <w:tblGrid>
        <w:gridCol w:w="445"/>
        <w:gridCol w:w="3623"/>
        <w:gridCol w:w="1867"/>
        <w:gridCol w:w="2970"/>
      </w:tblGrid>
      <w:tr w:rsidR="00C57D01" w:rsidRPr="00833637" w14:paraId="2E9EBD07" w14:textId="77777777" w:rsidTr="00945402">
        <w:trPr>
          <w:trHeight w:val="261"/>
        </w:trPr>
        <w:tc>
          <w:tcPr>
            <w:tcW w:w="4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DA5A4F"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(1)</w:t>
            </w:r>
          </w:p>
        </w:tc>
        <w:tc>
          <w:tcPr>
            <w:tcW w:w="3623" w:type="dxa"/>
            <w:tcBorders>
              <w:top w:val="single" w:sz="4" w:space="0" w:color="auto"/>
              <w:left w:val="nil"/>
              <w:bottom w:val="single" w:sz="4" w:space="0" w:color="auto"/>
              <w:right w:val="single" w:sz="4" w:space="0" w:color="auto"/>
            </w:tcBorders>
            <w:shd w:val="clear" w:color="auto" w:fill="auto"/>
            <w:noWrap/>
            <w:vAlign w:val="bottom"/>
            <w:hideMark/>
          </w:tcPr>
          <w:p w14:paraId="3CC7841B"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active cases</w:t>
            </w:r>
          </w:p>
        </w:tc>
        <w:tc>
          <w:tcPr>
            <w:tcW w:w="1867" w:type="dxa"/>
            <w:tcBorders>
              <w:top w:val="single" w:sz="4" w:space="0" w:color="auto"/>
              <w:left w:val="nil"/>
              <w:bottom w:val="single" w:sz="4" w:space="0" w:color="auto"/>
              <w:right w:val="single" w:sz="4" w:space="0" w:color="auto"/>
            </w:tcBorders>
            <w:shd w:val="clear" w:color="auto" w:fill="auto"/>
            <w:noWrap/>
            <w:vAlign w:val="bottom"/>
            <w:hideMark/>
          </w:tcPr>
          <w:p w14:paraId="4D23DFF1"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 xml:space="preserve">                         1,358 </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7452FC1C" w14:textId="51E3A4E0"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active cases as of 8/16/2020</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KEynX8AP","properties":{"formattedCitation":"[1]","plainCitation":"[1]","noteIndex":0},"citationItems":[{"id":5856,"uris":["http://zotero.org/users/3776105/items/VPU9GYRA"],"uri":["http://zotero.org/users/3776105/items/VPU9GYRA"],"itemData":{"id":5856,"type":"webpage","abstract":"South Dakota COVID-19 Coronavirus update by county with statistics and graphs: total and new cases, deaths per day, current active cases, recoveries, historical data, trends, projections, and timeline.","language":"en","title":"South Dakota Coronavirus: 76,142 Cases and 849 Deaths (COVID-19 ) - Worldometer","title-short":"South Dakota Coronavirus","URL":"https://www.worldometers.info/coronavirus/usa/south-dakota/","accessed":{"date-parts":[["2020",11,26]]}}}],"schema":"https://github.com/citation-style-language/schema/raw/master/csl-citation.json"} </w:instrText>
            </w:r>
            <w:r>
              <w:rPr>
                <w:rFonts w:eastAsia="Times New Roman"/>
                <w:i/>
                <w:iCs/>
                <w:color w:val="000000"/>
                <w:sz w:val="22"/>
                <w:szCs w:val="22"/>
              </w:rPr>
              <w:fldChar w:fldCharType="separate"/>
            </w:r>
            <w:r w:rsidR="00B25CE3">
              <w:rPr>
                <w:color w:val="000000"/>
                <w:sz w:val="22"/>
              </w:rPr>
              <w:t>[1]</w:t>
            </w:r>
            <w:r>
              <w:rPr>
                <w:rFonts w:eastAsia="Times New Roman"/>
                <w:i/>
                <w:iCs/>
                <w:color w:val="000000"/>
                <w:sz w:val="22"/>
                <w:szCs w:val="22"/>
              </w:rPr>
              <w:fldChar w:fldCharType="end"/>
            </w:r>
          </w:p>
        </w:tc>
      </w:tr>
      <w:tr w:rsidR="00C57D01" w:rsidRPr="00833637" w14:paraId="4ED0D6EF"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1AC67CF4"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(2)</w:t>
            </w:r>
          </w:p>
        </w:tc>
        <w:tc>
          <w:tcPr>
            <w:tcW w:w="3623" w:type="dxa"/>
            <w:tcBorders>
              <w:top w:val="nil"/>
              <w:left w:val="nil"/>
              <w:bottom w:val="single" w:sz="4" w:space="0" w:color="auto"/>
              <w:right w:val="single" w:sz="4" w:space="0" w:color="auto"/>
            </w:tcBorders>
            <w:shd w:val="clear" w:color="auto" w:fill="auto"/>
            <w:noWrap/>
            <w:vAlign w:val="bottom"/>
            <w:hideMark/>
          </w:tcPr>
          <w:p w14:paraId="4BB45416"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population</w:t>
            </w:r>
          </w:p>
        </w:tc>
        <w:tc>
          <w:tcPr>
            <w:tcW w:w="1867" w:type="dxa"/>
            <w:tcBorders>
              <w:top w:val="nil"/>
              <w:left w:val="nil"/>
              <w:bottom w:val="single" w:sz="4" w:space="0" w:color="auto"/>
              <w:right w:val="single" w:sz="4" w:space="0" w:color="auto"/>
            </w:tcBorders>
            <w:shd w:val="clear" w:color="auto" w:fill="auto"/>
            <w:noWrap/>
            <w:vAlign w:val="bottom"/>
            <w:hideMark/>
          </w:tcPr>
          <w:p w14:paraId="600AB9B7"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 xml:space="preserve">                   903,027 </w:t>
            </w:r>
          </w:p>
        </w:tc>
        <w:tc>
          <w:tcPr>
            <w:tcW w:w="2970" w:type="dxa"/>
            <w:tcBorders>
              <w:top w:val="nil"/>
              <w:left w:val="nil"/>
              <w:bottom w:val="single" w:sz="4" w:space="0" w:color="auto"/>
              <w:right w:val="single" w:sz="4" w:space="0" w:color="auto"/>
            </w:tcBorders>
            <w:shd w:val="clear" w:color="auto" w:fill="auto"/>
            <w:noWrap/>
            <w:vAlign w:val="bottom"/>
            <w:hideMark/>
          </w:tcPr>
          <w:p w14:paraId="168386A3" w14:textId="77777777" w:rsidR="00C57D01" w:rsidRPr="00C8500C" w:rsidRDefault="00C57D01" w:rsidP="00945402">
            <w:pPr>
              <w:ind w:firstLineChars="200" w:firstLine="440"/>
              <w:rPr>
                <w:rFonts w:eastAsia="Times New Roman"/>
                <w:color w:val="0563C1"/>
                <w:sz w:val="22"/>
                <w:szCs w:val="22"/>
                <w:u w:val="single"/>
              </w:rPr>
            </w:pPr>
            <w:r w:rsidRPr="00C8500C">
              <w:rPr>
                <w:rFonts w:eastAsia="Times New Roman"/>
                <w:color w:val="0563C1"/>
                <w:sz w:val="22"/>
                <w:szCs w:val="22"/>
                <w:u w:val="single"/>
              </w:rPr>
              <w:t> </w:t>
            </w:r>
          </w:p>
        </w:tc>
      </w:tr>
      <w:tr w:rsidR="00C57D01" w:rsidRPr="00833637" w14:paraId="35B9CA52"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3CD25FBF"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(3)</w:t>
            </w:r>
          </w:p>
        </w:tc>
        <w:tc>
          <w:tcPr>
            <w:tcW w:w="3623" w:type="dxa"/>
            <w:tcBorders>
              <w:top w:val="nil"/>
              <w:left w:val="nil"/>
              <w:bottom w:val="single" w:sz="4" w:space="0" w:color="auto"/>
              <w:right w:val="single" w:sz="4" w:space="0" w:color="auto"/>
            </w:tcBorders>
            <w:shd w:val="clear" w:color="auto" w:fill="auto"/>
            <w:noWrap/>
            <w:vAlign w:val="bottom"/>
            <w:hideMark/>
          </w:tcPr>
          <w:p w14:paraId="6DB002D1"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population confirmed cases</w:t>
            </w:r>
          </w:p>
        </w:tc>
        <w:tc>
          <w:tcPr>
            <w:tcW w:w="1867" w:type="dxa"/>
            <w:tcBorders>
              <w:top w:val="nil"/>
              <w:left w:val="nil"/>
              <w:bottom w:val="single" w:sz="4" w:space="0" w:color="auto"/>
              <w:right w:val="single" w:sz="4" w:space="0" w:color="auto"/>
            </w:tcBorders>
            <w:shd w:val="clear" w:color="auto" w:fill="auto"/>
            <w:noWrap/>
            <w:vAlign w:val="bottom"/>
            <w:hideMark/>
          </w:tcPr>
          <w:p w14:paraId="1469035D"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0.15%</w:t>
            </w:r>
          </w:p>
        </w:tc>
        <w:tc>
          <w:tcPr>
            <w:tcW w:w="2970" w:type="dxa"/>
            <w:tcBorders>
              <w:top w:val="nil"/>
              <w:left w:val="nil"/>
              <w:bottom w:val="single" w:sz="4" w:space="0" w:color="auto"/>
              <w:right w:val="single" w:sz="4" w:space="0" w:color="auto"/>
            </w:tcBorders>
            <w:shd w:val="clear" w:color="auto" w:fill="auto"/>
            <w:noWrap/>
            <w:vAlign w:val="bottom"/>
            <w:hideMark/>
          </w:tcPr>
          <w:p w14:paraId="1BB2CEF2"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(1) / (2)</w:t>
            </w:r>
          </w:p>
        </w:tc>
      </w:tr>
      <w:tr w:rsidR="00C57D01" w:rsidRPr="00833637" w14:paraId="72CBD391"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33936C4E"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(4)</w:t>
            </w:r>
          </w:p>
        </w:tc>
        <w:tc>
          <w:tcPr>
            <w:tcW w:w="3623" w:type="dxa"/>
            <w:tcBorders>
              <w:top w:val="nil"/>
              <w:left w:val="nil"/>
              <w:bottom w:val="single" w:sz="4" w:space="0" w:color="auto"/>
              <w:right w:val="single" w:sz="4" w:space="0" w:color="auto"/>
            </w:tcBorders>
            <w:shd w:val="clear" w:color="auto" w:fill="auto"/>
            <w:noWrap/>
            <w:vAlign w:val="bottom"/>
            <w:hideMark/>
          </w:tcPr>
          <w:p w14:paraId="39AEAEDF"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population infected</w:t>
            </w:r>
          </w:p>
        </w:tc>
        <w:tc>
          <w:tcPr>
            <w:tcW w:w="1867" w:type="dxa"/>
            <w:tcBorders>
              <w:top w:val="nil"/>
              <w:left w:val="nil"/>
              <w:bottom w:val="single" w:sz="4" w:space="0" w:color="auto"/>
              <w:right w:val="single" w:sz="4" w:space="0" w:color="auto"/>
            </w:tcBorders>
            <w:shd w:val="clear" w:color="auto" w:fill="auto"/>
            <w:noWrap/>
            <w:vAlign w:val="bottom"/>
            <w:hideMark/>
          </w:tcPr>
          <w:p w14:paraId="7D77863D"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1.09%</w:t>
            </w:r>
          </w:p>
        </w:tc>
        <w:tc>
          <w:tcPr>
            <w:tcW w:w="2970" w:type="dxa"/>
            <w:tcBorders>
              <w:top w:val="nil"/>
              <w:left w:val="nil"/>
              <w:bottom w:val="single" w:sz="4" w:space="0" w:color="auto"/>
              <w:right w:val="single" w:sz="4" w:space="0" w:color="auto"/>
            </w:tcBorders>
            <w:shd w:val="clear" w:color="auto" w:fill="auto"/>
            <w:noWrap/>
            <w:vAlign w:val="bottom"/>
            <w:hideMark/>
          </w:tcPr>
          <w:p w14:paraId="6D65BB35" w14:textId="35AD6DD0"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(3) x 7.22 (ratio of infections to cases) (p)</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BIYtexxV","properties":{"formattedCitation":"[2]","plainCitation":"[2]","noteIndex":0},"citationItems":[{"id":5858,"uris":["http://zotero.org/users/3776105/items/Z7W8TPWZ"],"uri":["http://zotero.org/users/3776105/items/Z7W8TPWZ"],"itemData":{"id":5858,"type":"webpage","title":"South Dakota Population 2020 (Demographics, Maps, Graphs)","URL":"https://worldpopulationreview.com/states/south-dakota-population","accessed":{"date-parts":[["2020",11,26]]}}}],"schema":"https://github.com/citation-style-language/schema/raw/master/csl-citation.json"} </w:instrText>
            </w:r>
            <w:r>
              <w:rPr>
                <w:rFonts w:eastAsia="Times New Roman"/>
                <w:i/>
                <w:iCs/>
                <w:color w:val="000000"/>
                <w:sz w:val="22"/>
                <w:szCs w:val="22"/>
              </w:rPr>
              <w:fldChar w:fldCharType="separate"/>
            </w:r>
            <w:r w:rsidR="00B25CE3">
              <w:rPr>
                <w:color w:val="000000"/>
                <w:sz w:val="22"/>
              </w:rPr>
              <w:t>[2]</w:t>
            </w:r>
            <w:r>
              <w:rPr>
                <w:rFonts w:eastAsia="Times New Roman"/>
                <w:i/>
                <w:iCs/>
                <w:color w:val="000000"/>
                <w:sz w:val="22"/>
                <w:szCs w:val="22"/>
              </w:rPr>
              <w:fldChar w:fldCharType="end"/>
            </w:r>
          </w:p>
        </w:tc>
      </w:tr>
      <w:tr w:rsidR="00C57D01" w:rsidRPr="00833637" w14:paraId="06AEE0FD"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1080507F"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(5)</w:t>
            </w:r>
          </w:p>
        </w:tc>
        <w:tc>
          <w:tcPr>
            <w:tcW w:w="3623" w:type="dxa"/>
            <w:tcBorders>
              <w:top w:val="nil"/>
              <w:left w:val="nil"/>
              <w:bottom w:val="single" w:sz="4" w:space="0" w:color="auto"/>
              <w:right w:val="single" w:sz="4" w:space="0" w:color="auto"/>
            </w:tcBorders>
            <w:shd w:val="clear" w:color="auto" w:fill="auto"/>
            <w:noWrap/>
            <w:vAlign w:val="bottom"/>
            <w:hideMark/>
          </w:tcPr>
          <w:p w14:paraId="259CE47E"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interactions</w:t>
            </w:r>
          </w:p>
        </w:tc>
        <w:tc>
          <w:tcPr>
            <w:tcW w:w="1867" w:type="dxa"/>
            <w:tcBorders>
              <w:top w:val="nil"/>
              <w:left w:val="nil"/>
              <w:bottom w:val="single" w:sz="4" w:space="0" w:color="auto"/>
              <w:right w:val="single" w:sz="4" w:space="0" w:color="auto"/>
            </w:tcBorders>
            <w:shd w:val="clear" w:color="000000" w:fill="B4C6E7"/>
            <w:noWrap/>
            <w:vAlign w:val="bottom"/>
            <w:hideMark/>
          </w:tcPr>
          <w:p w14:paraId="0EF66CC6"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100</w:t>
            </w:r>
          </w:p>
        </w:tc>
        <w:tc>
          <w:tcPr>
            <w:tcW w:w="2970" w:type="dxa"/>
            <w:tcBorders>
              <w:top w:val="nil"/>
              <w:left w:val="nil"/>
              <w:bottom w:val="single" w:sz="4" w:space="0" w:color="auto"/>
              <w:right w:val="single" w:sz="4" w:space="0" w:color="auto"/>
            </w:tcBorders>
            <w:shd w:val="clear" w:color="auto" w:fill="auto"/>
            <w:noWrap/>
            <w:vAlign w:val="bottom"/>
            <w:hideMark/>
          </w:tcPr>
          <w:p w14:paraId="1EB7A7D9"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user-defined parameter (n)</w:t>
            </w:r>
          </w:p>
        </w:tc>
      </w:tr>
      <w:tr w:rsidR="00C57D01" w:rsidRPr="00833637" w14:paraId="231202B2"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7DFA0360"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(6)</w:t>
            </w:r>
          </w:p>
        </w:tc>
        <w:tc>
          <w:tcPr>
            <w:tcW w:w="3623" w:type="dxa"/>
            <w:tcBorders>
              <w:top w:val="nil"/>
              <w:left w:val="nil"/>
              <w:bottom w:val="single" w:sz="4" w:space="0" w:color="auto"/>
              <w:right w:val="single" w:sz="4" w:space="0" w:color="auto"/>
            </w:tcBorders>
            <w:shd w:val="clear" w:color="auto" w:fill="auto"/>
            <w:noWrap/>
            <w:vAlign w:val="bottom"/>
            <w:hideMark/>
          </w:tcPr>
          <w:p w14:paraId="7B60864A"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number of expected exposures</w:t>
            </w:r>
          </w:p>
        </w:tc>
        <w:tc>
          <w:tcPr>
            <w:tcW w:w="1867" w:type="dxa"/>
            <w:tcBorders>
              <w:top w:val="nil"/>
              <w:left w:val="nil"/>
              <w:bottom w:val="single" w:sz="4" w:space="0" w:color="auto"/>
              <w:right w:val="single" w:sz="4" w:space="0" w:color="auto"/>
            </w:tcBorders>
            <w:shd w:val="clear" w:color="auto" w:fill="auto"/>
            <w:noWrap/>
            <w:vAlign w:val="bottom"/>
            <w:hideMark/>
          </w:tcPr>
          <w:p w14:paraId="410CAE02"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1</w:t>
            </w:r>
          </w:p>
        </w:tc>
        <w:tc>
          <w:tcPr>
            <w:tcW w:w="2970" w:type="dxa"/>
            <w:tcBorders>
              <w:top w:val="nil"/>
              <w:left w:val="nil"/>
              <w:bottom w:val="single" w:sz="4" w:space="0" w:color="auto"/>
              <w:right w:val="single" w:sz="4" w:space="0" w:color="auto"/>
            </w:tcBorders>
            <w:shd w:val="clear" w:color="auto" w:fill="auto"/>
            <w:noWrap/>
            <w:vAlign w:val="bottom"/>
            <w:hideMark/>
          </w:tcPr>
          <w:p w14:paraId="1E7C5693"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calculated from (4) &amp; (5)</w:t>
            </w:r>
          </w:p>
        </w:tc>
      </w:tr>
      <w:tr w:rsidR="00C57D01" w:rsidRPr="00833637" w14:paraId="5E06D633"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04FE3079"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(7)</w:t>
            </w:r>
          </w:p>
        </w:tc>
        <w:tc>
          <w:tcPr>
            <w:tcW w:w="3623" w:type="dxa"/>
            <w:tcBorders>
              <w:top w:val="nil"/>
              <w:left w:val="nil"/>
              <w:bottom w:val="single" w:sz="4" w:space="0" w:color="auto"/>
              <w:right w:val="single" w:sz="4" w:space="0" w:color="auto"/>
            </w:tcBorders>
            <w:shd w:val="clear" w:color="auto" w:fill="auto"/>
            <w:noWrap/>
            <w:vAlign w:val="bottom"/>
            <w:hideMark/>
          </w:tcPr>
          <w:p w14:paraId="26964236"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p(infection | exposure)</w:t>
            </w:r>
          </w:p>
        </w:tc>
        <w:tc>
          <w:tcPr>
            <w:tcW w:w="1867" w:type="dxa"/>
            <w:tcBorders>
              <w:top w:val="nil"/>
              <w:left w:val="nil"/>
              <w:bottom w:val="single" w:sz="4" w:space="0" w:color="auto"/>
              <w:right w:val="single" w:sz="4" w:space="0" w:color="auto"/>
            </w:tcBorders>
            <w:shd w:val="clear" w:color="auto" w:fill="auto"/>
            <w:noWrap/>
            <w:vAlign w:val="bottom"/>
            <w:hideMark/>
          </w:tcPr>
          <w:p w14:paraId="6D76EA8E"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4.70%</w:t>
            </w:r>
          </w:p>
        </w:tc>
        <w:tc>
          <w:tcPr>
            <w:tcW w:w="2970" w:type="dxa"/>
            <w:tcBorders>
              <w:top w:val="nil"/>
              <w:left w:val="nil"/>
              <w:bottom w:val="single" w:sz="4" w:space="0" w:color="auto"/>
              <w:right w:val="single" w:sz="4" w:space="0" w:color="auto"/>
            </w:tcBorders>
            <w:shd w:val="clear" w:color="auto" w:fill="auto"/>
            <w:noWrap/>
            <w:vAlign w:val="bottom"/>
            <w:hideMark/>
          </w:tcPr>
          <w:p w14:paraId="06113ABB" w14:textId="792D7ECD"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for low-risk contacts</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ZEPYNQqv","properties":{"formattedCitation":"[3]","plainCitation":"[3]","noteIndex":0},"citationItems":[{"id":5975,"uris":["http://zotero.org/users/3776105/items/KIJISEIE"],"uri":["http://zotero.org/users/3776105/items/KIJISEIE"],"itemData":{"id":5975,"type":"article-journal","abstract":"Epidemiology in southern India\nBy August 2020, India had reported several million cases of severe acute respiratory syndrome coronavirus 2 (SARS-CoV-2), with cases tending to show a younger age distribution than has been reported in higher-income countries. Laxminarayan et al. analyzed data from the Indian states of Tamil Nadu and Andhra Pradesh, which have developed rigorous contact tracing and testing systems (see the Perspective by John and Kang). Superspreading predominated, with 5% of infected individuals accounting for 80% of cases. Enhanced transmission risk was apparent among children and young adults, who accounted for one-third of cases. Deaths were concentrated in 50- to 64-year-olds. Incidence did not change in older age groups, possibly because of effective stay-at-home orders and social welfare programs or socioeconomic status. As in other settings, however, mortality rates were associated with older age, comorbidities, and being male.\nScience, this issue p. 691; see also p. 663\nAlthough most cases of coronavirus disease 2019 (COVID-19) have occurred in low-resource countries, little is known about the epidemiology of the disease in such contexts. Data from the Indian states of Tamil Nadu and Andhra Pradesh provide a detailed view into severe acute respiratory syndrome coronavirus 2 (SARS-CoV-2) transmission pathways and mortality in a high-incidence setting. Reported cases and deaths have been concentrated in younger cohorts than would be expected from observations in higher-income countries, even after accounting for demographic differences across settings. Among 575,071 individuals exposed to 84,965 confirmed cases, infection probabilities ranged from 4.7 to 10.7% for low-risk and high-risk contact types, respectively. Same-age contacts were associated with the greatest infection risk. Case fatality ratios spanned 0.05% at ages of 5 to 17 years to 16.6% at ages of 85 years or more. Primary data from low-resource countries are urgently needed to guide control measures.\nThe epidemiology of SARS-CoV-2 in southern India shows marked differences from that observed in higher-income countries.\nThe epidemiology of SARS-CoV-2 in southern India shows marked differences from that observed in higher-income countries.","container-title":"Science","DOI":"10.1126/science.abd7672","ISSN":"0036-8075, 1095-9203","issue":"6517","language":"en","note":"publisher: American Association for the Advancement of Science\nsection: Research Article\nPMID: 33154136","page":"691-697","source":"science.sciencemag.org","title":"Epidemiology and transmission dynamics of COVID-19 in two Indian states","volume":"370","author":[{"family":"Laxminarayan","given":"Ramanan"},{"family":"Wahl","given":"Brian"},{"family":"Dudala","given":"Shankar Reddy"},{"family":"Gopal","given":"K."},{"family":"B","given":"Chandra Mohan"},{"family":"Neelima","given":"S."},{"family":"Reddy","given":"K. S. Jawahar"},{"family":"Radhakrishnan","given":"J."},{"family":"Lewnard","given":"Joseph A."}],"issued":{"date-parts":[["2020",11,6]]}}}],"schema":"https://github.com/citation-style-language/schema/raw/master/csl-citation.json"} </w:instrText>
            </w:r>
            <w:r>
              <w:rPr>
                <w:rFonts w:eastAsia="Times New Roman"/>
                <w:i/>
                <w:iCs/>
                <w:color w:val="000000"/>
                <w:sz w:val="22"/>
                <w:szCs w:val="22"/>
              </w:rPr>
              <w:fldChar w:fldCharType="separate"/>
            </w:r>
            <w:r w:rsidR="00B25CE3">
              <w:rPr>
                <w:color w:val="000000"/>
                <w:sz w:val="22"/>
              </w:rPr>
              <w:t>[3]</w:t>
            </w:r>
            <w:r>
              <w:rPr>
                <w:rFonts w:eastAsia="Times New Roman"/>
                <w:i/>
                <w:iCs/>
                <w:color w:val="000000"/>
                <w:sz w:val="22"/>
                <w:szCs w:val="22"/>
              </w:rPr>
              <w:fldChar w:fldCharType="end"/>
            </w:r>
          </w:p>
        </w:tc>
      </w:tr>
      <w:tr w:rsidR="00C57D01" w:rsidRPr="00833637" w14:paraId="0AEB03BE"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tcPr>
          <w:p w14:paraId="47543A31" w14:textId="77777777" w:rsidR="00C57D01" w:rsidRPr="00833637" w:rsidRDefault="00C57D01" w:rsidP="00945402">
            <w:pPr>
              <w:ind w:left="-583"/>
              <w:jc w:val="right"/>
              <w:rPr>
                <w:rFonts w:eastAsia="Times New Roman"/>
                <w:color w:val="000000"/>
                <w:sz w:val="22"/>
                <w:szCs w:val="22"/>
              </w:rPr>
            </w:pPr>
            <w:r>
              <w:rPr>
                <w:rFonts w:eastAsia="Times New Roman"/>
                <w:color w:val="000000"/>
                <w:sz w:val="22"/>
                <w:szCs w:val="22"/>
              </w:rPr>
              <w:t>(8)</w:t>
            </w:r>
          </w:p>
        </w:tc>
        <w:tc>
          <w:tcPr>
            <w:tcW w:w="3623" w:type="dxa"/>
            <w:tcBorders>
              <w:top w:val="nil"/>
              <w:left w:val="nil"/>
              <w:bottom w:val="single" w:sz="4" w:space="0" w:color="auto"/>
              <w:right w:val="single" w:sz="4" w:space="0" w:color="auto"/>
            </w:tcBorders>
            <w:shd w:val="clear" w:color="auto" w:fill="auto"/>
            <w:noWrap/>
            <w:vAlign w:val="bottom"/>
          </w:tcPr>
          <w:p w14:paraId="05495793" w14:textId="77777777" w:rsidR="00C57D01" w:rsidRPr="00833637" w:rsidRDefault="00C57D01" w:rsidP="00945402">
            <w:pPr>
              <w:ind w:firstLineChars="25" w:firstLine="55"/>
              <w:rPr>
                <w:rFonts w:eastAsia="Times New Roman"/>
                <w:color w:val="000000"/>
                <w:sz w:val="22"/>
                <w:szCs w:val="22"/>
              </w:rPr>
            </w:pPr>
            <w:r>
              <w:rPr>
                <w:rFonts w:eastAsia="Times New Roman"/>
                <w:color w:val="000000"/>
                <w:sz w:val="22"/>
                <w:szCs w:val="22"/>
              </w:rPr>
              <w:t>Mask reduction in risk</w:t>
            </w:r>
          </w:p>
        </w:tc>
        <w:tc>
          <w:tcPr>
            <w:tcW w:w="1867" w:type="dxa"/>
            <w:tcBorders>
              <w:top w:val="nil"/>
              <w:left w:val="nil"/>
              <w:bottom w:val="single" w:sz="4" w:space="0" w:color="auto"/>
              <w:right w:val="single" w:sz="4" w:space="0" w:color="auto"/>
            </w:tcBorders>
            <w:shd w:val="clear" w:color="auto" w:fill="auto"/>
            <w:noWrap/>
            <w:vAlign w:val="bottom"/>
          </w:tcPr>
          <w:p w14:paraId="69B159D9" w14:textId="77777777" w:rsidR="00C57D01" w:rsidRPr="00833637" w:rsidRDefault="00C57D01" w:rsidP="00945402">
            <w:pPr>
              <w:jc w:val="right"/>
              <w:rPr>
                <w:rFonts w:eastAsia="Times New Roman"/>
                <w:color w:val="000000"/>
                <w:sz w:val="22"/>
                <w:szCs w:val="22"/>
              </w:rPr>
            </w:pPr>
            <w:r>
              <w:rPr>
                <w:rFonts w:eastAsia="Times New Roman"/>
                <w:color w:val="000000"/>
                <w:sz w:val="22"/>
                <w:szCs w:val="22"/>
              </w:rPr>
              <w:t>85%</w:t>
            </w:r>
          </w:p>
        </w:tc>
        <w:tc>
          <w:tcPr>
            <w:tcW w:w="2970" w:type="dxa"/>
            <w:tcBorders>
              <w:top w:val="nil"/>
              <w:left w:val="nil"/>
              <w:bottom w:val="single" w:sz="4" w:space="0" w:color="auto"/>
              <w:right w:val="single" w:sz="4" w:space="0" w:color="auto"/>
            </w:tcBorders>
            <w:shd w:val="clear" w:color="auto" w:fill="auto"/>
            <w:noWrap/>
            <w:vAlign w:val="bottom"/>
          </w:tcPr>
          <w:p w14:paraId="53D0C38E" w14:textId="1073E156" w:rsidR="00C57D01" w:rsidRPr="00C8500C" w:rsidRDefault="00C57D01" w:rsidP="00945402">
            <w:pPr>
              <w:rPr>
                <w:rFonts w:eastAsia="Times New Roman"/>
                <w:color w:val="000000"/>
                <w:sz w:val="22"/>
                <w:szCs w:val="22"/>
              </w:rPr>
            </w:pPr>
            <w:proofErr w:type="spellStart"/>
            <w:r>
              <w:rPr>
                <w:rFonts w:eastAsia="Times New Roman"/>
                <w:color w:val="000000"/>
                <w:sz w:val="22"/>
                <w:szCs w:val="22"/>
              </w:rPr>
              <w:t>aOR</w:t>
            </w:r>
            <w:proofErr w:type="spellEnd"/>
            <w:r>
              <w:rPr>
                <w:rFonts w:eastAsia="Times New Roman"/>
                <w:color w:val="000000"/>
                <w:sz w:val="22"/>
                <w:szCs w:val="22"/>
              </w:rPr>
              <w:t xml:space="preserve"> = 0.15 </w:t>
            </w:r>
            <w:r>
              <w:rPr>
                <w:rFonts w:eastAsia="Times New Roman"/>
                <w:color w:val="000000"/>
                <w:sz w:val="22"/>
                <w:szCs w:val="22"/>
              </w:rPr>
              <w:fldChar w:fldCharType="begin"/>
            </w:r>
            <w:r w:rsidR="00B25CE3">
              <w:rPr>
                <w:rFonts w:eastAsia="Times New Roman"/>
                <w:color w:val="000000"/>
                <w:sz w:val="22"/>
                <w:szCs w:val="22"/>
              </w:rPr>
              <w:instrText xml:space="preserve"> ADDIN ZOTERO_ITEM CSL_CITATION {"citationID":"5Cvb1t9D","properties":{"formattedCitation":"[4]","plainCitation":"[4]","noteIndex":0},"citationItems":[{"id":5876,"uris":["http://zotero.org/users/3776105/items/7SA3WGFI"],"uri":["http://zotero.org/users/3776105/items/7SA3WGFI"],"itemData":{"id":5876,"type":"article-journal","abstract":"Background\nSevere acute respiratory syndrome coronavirus 2 (SARS-CoV-2) causes COVID-19 and is spread person-to-person through close contact. We aimed to investigate the effects of physical distance, face masks, and eye protection on virus transmission in health-care and non-health-care (eg, community) settings.\n\nMethods\nWe did a systematic review and meta-analysis to investigate the optimum distance for avoiding person-to-person virus transmission and to assess the use of face masks and eye protection to prevent transmission of viruses. We obtained data for SARS-CoV-2 and the betacoronaviruses that cause severe acute respiratory syndrome, and Middle East respiratory syndrome from 21 standard WHO-specific and COVID-19-specific sources. We searched these data sources from database inception to May 3, 2020, with no restriction by language, for comparative studies and for contextual factors of acceptability, feasibility, resource use, and equity. We screened records, extracted data, and assessed risk of bias in duplicate. We did frequentist and Bayesian meta-analyses and random-effects meta-regressions. We rated the certainty of evidence according to Cochrane methods and the GRADE approach. This study is registered with PROSPERO, CRD42020177047.\n\nFindings\nOur search identified 172 observational studies across 16 countries and six continents, with no randomised controlled trials and 44 relevant comparative studies in health-care and non-health-care settings (n=25 697 patients). Transmission of viruses was lower with physical distancing of 1 m or more, compared with a distance of less than 1 m (n=10 736, pooled adjusted odds ratio [aOR] 0·18, 95% CI 0·09 to 0·38; risk difference [RD] −10·2%, 95% CI −11·5 to −7·5; moderate certainty); protection was increased as distance was lengthened (change in relative risk [RR] 2·02 per m; pinteraction=0·041; moderate certainty). Face mask use could result in a large reduction in risk of infection (n=2647; aOR 0·15, 95% CI 0·07 to 0·34, RD −14·3%, −15·9 to −10·7; low certainty), with stronger associations with N95 or similar respirators compared with disposable surgical masks or similar (eg, reusable 12–16-layer cotton masks; pinteraction=0·090; posterior probability &gt;95%, low certainty). Eye protection also was associated with less infection (n=3713; aOR 0·22, 95% CI 0·12 to 0·39, RD −10·6%, 95% CI −12·5 to −7·7; low certainty). Unadjusted studies and subgroup and sensitivity analyses showed similar findings.\n\nInterpretation\nThe findings of this systematic review and meta-analysis support physical distancing of 1 m or more and provide quantitative estimates for models and contact tracing to inform policy. Optimum use of face masks, respirators, and eye protection in public and health-care settings should be informed by these findings and contextual factors. Robust randomised trials are needed to better inform the evidence for these interventions, but this systematic appraisal of currently best available evidence might inform interim guidance.\n\nFunding\nWorld Health Organization.","container-title":"Lancet (London, England)","DOI":"10.1016/S0140-6736(20)31142-9","ISSN":"0140-6736","issue":"10242","journalAbbreviation":"Lancet","note":"PMID: 32497510\nPMCID: PMC7263814","page":"1973-1987","source":"PubMed Central","title":"Physical distancing, face masks, and eye protection to prevent person-to-person transmission of SARS-CoV-2 and COVID-19: a systematic review and meta-analysis","title-short":"Physical distancing, face masks, and eye protection to prevent person-to-person transmission of SARS-CoV-2 and COVID-19","volume":"395","author":[{"family":"Chu","given":"Derek K"},{"family":"Akl","given":"Elie A"},{"family":"Duda","given":"Stephanie"},{"family":"Solo","given":"Karla"},{"family":"Yaacoub","given":"Sally"},{"family":"Schünemann","given":"Holger J"}],"issued":{"date-parts":[["2020"]]}}}],"schema":"https://github.com/citation-style-language/schema/raw/master/csl-citation.json"} </w:instrText>
            </w:r>
            <w:r>
              <w:rPr>
                <w:rFonts w:eastAsia="Times New Roman"/>
                <w:color w:val="000000"/>
                <w:sz w:val="22"/>
                <w:szCs w:val="22"/>
              </w:rPr>
              <w:fldChar w:fldCharType="separate"/>
            </w:r>
            <w:r w:rsidR="00B25CE3">
              <w:rPr>
                <w:color w:val="000000"/>
                <w:sz w:val="22"/>
              </w:rPr>
              <w:t>[4]</w:t>
            </w:r>
            <w:r>
              <w:rPr>
                <w:rFonts w:eastAsia="Times New Roman"/>
                <w:color w:val="000000"/>
                <w:sz w:val="22"/>
                <w:szCs w:val="22"/>
              </w:rPr>
              <w:fldChar w:fldCharType="end"/>
            </w:r>
          </w:p>
        </w:tc>
      </w:tr>
      <w:tr w:rsidR="00C57D01" w:rsidRPr="00833637" w14:paraId="42BB74F0" w14:textId="77777777" w:rsidTr="00945402">
        <w:trPr>
          <w:trHeight w:val="261"/>
        </w:trPr>
        <w:tc>
          <w:tcPr>
            <w:tcW w:w="445" w:type="dxa"/>
            <w:tcBorders>
              <w:top w:val="nil"/>
              <w:left w:val="single" w:sz="4" w:space="0" w:color="auto"/>
              <w:bottom w:val="single" w:sz="4" w:space="0" w:color="auto"/>
              <w:right w:val="single" w:sz="4" w:space="0" w:color="auto"/>
            </w:tcBorders>
            <w:shd w:val="clear" w:color="auto" w:fill="auto"/>
            <w:noWrap/>
            <w:vAlign w:val="bottom"/>
            <w:hideMark/>
          </w:tcPr>
          <w:p w14:paraId="74FB4BBD"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w:t>
            </w:r>
            <w:r>
              <w:rPr>
                <w:rFonts w:eastAsia="Times New Roman"/>
                <w:color w:val="000000"/>
                <w:sz w:val="22"/>
                <w:szCs w:val="22"/>
              </w:rPr>
              <w:t>9</w:t>
            </w:r>
            <w:r w:rsidRPr="00833637">
              <w:rPr>
                <w:rFonts w:eastAsia="Times New Roman"/>
                <w:color w:val="000000"/>
                <w:sz w:val="22"/>
                <w:szCs w:val="22"/>
              </w:rPr>
              <w:t>)</w:t>
            </w:r>
          </w:p>
        </w:tc>
        <w:tc>
          <w:tcPr>
            <w:tcW w:w="3623" w:type="dxa"/>
            <w:tcBorders>
              <w:top w:val="nil"/>
              <w:left w:val="nil"/>
              <w:bottom w:val="single" w:sz="4" w:space="0" w:color="auto"/>
              <w:right w:val="single" w:sz="4" w:space="0" w:color="auto"/>
            </w:tcBorders>
            <w:shd w:val="clear" w:color="auto" w:fill="auto"/>
            <w:noWrap/>
            <w:vAlign w:val="bottom"/>
            <w:hideMark/>
          </w:tcPr>
          <w:p w14:paraId="679588F2" w14:textId="77777777" w:rsidR="00C57D01" w:rsidRPr="00833637" w:rsidRDefault="00C57D01" w:rsidP="00945402">
            <w:pPr>
              <w:rPr>
                <w:rFonts w:eastAsia="Times New Roman"/>
                <w:color w:val="000000"/>
                <w:sz w:val="22"/>
                <w:szCs w:val="22"/>
              </w:rPr>
            </w:pPr>
            <w:r w:rsidRPr="00833637">
              <w:rPr>
                <w:rFonts w:eastAsia="Times New Roman"/>
                <w:color w:val="000000"/>
                <w:sz w:val="22"/>
                <w:szCs w:val="22"/>
              </w:rPr>
              <w:t xml:space="preserve"> p(death| infection) for a 25-year</w:t>
            </w:r>
            <w:r>
              <w:rPr>
                <w:rFonts w:eastAsia="Times New Roman"/>
                <w:color w:val="000000"/>
                <w:sz w:val="22"/>
                <w:szCs w:val="22"/>
              </w:rPr>
              <w:t>-</w:t>
            </w:r>
            <w:r w:rsidRPr="00833637">
              <w:rPr>
                <w:rFonts w:eastAsia="Times New Roman"/>
                <w:color w:val="000000"/>
                <w:sz w:val="22"/>
                <w:szCs w:val="22"/>
              </w:rPr>
              <w:t>old</w:t>
            </w:r>
          </w:p>
        </w:tc>
        <w:tc>
          <w:tcPr>
            <w:tcW w:w="1867" w:type="dxa"/>
            <w:tcBorders>
              <w:top w:val="nil"/>
              <w:left w:val="nil"/>
              <w:bottom w:val="single" w:sz="4" w:space="0" w:color="auto"/>
              <w:right w:val="single" w:sz="4" w:space="0" w:color="auto"/>
            </w:tcBorders>
            <w:shd w:val="clear" w:color="auto" w:fill="auto"/>
            <w:noWrap/>
            <w:vAlign w:val="bottom"/>
            <w:hideMark/>
          </w:tcPr>
          <w:p w14:paraId="6EB38C58"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0.004%</w:t>
            </w:r>
          </w:p>
        </w:tc>
        <w:tc>
          <w:tcPr>
            <w:tcW w:w="2970" w:type="dxa"/>
            <w:tcBorders>
              <w:top w:val="nil"/>
              <w:left w:val="nil"/>
              <w:bottom w:val="single" w:sz="4" w:space="0" w:color="auto"/>
              <w:right w:val="single" w:sz="4" w:space="0" w:color="auto"/>
            </w:tcBorders>
            <w:shd w:val="clear" w:color="auto" w:fill="auto"/>
            <w:noWrap/>
            <w:vAlign w:val="bottom"/>
            <w:hideMark/>
          </w:tcPr>
          <w:p w14:paraId="791C0367" w14:textId="1FB9DFA2" w:rsidR="00C57D01" w:rsidRPr="00C8500C" w:rsidRDefault="00C57D01" w:rsidP="00945402">
            <w:pPr>
              <w:rPr>
                <w:rFonts w:eastAsia="Times New Roman"/>
                <w:color w:val="000000"/>
                <w:sz w:val="22"/>
                <w:szCs w:val="22"/>
              </w:rPr>
            </w:pPr>
            <w:r w:rsidRPr="00C8500C">
              <w:rPr>
                <w:rFonts w:eastAsia="Times New Roman"/>
                <w:color w:val="000000"/>
                <w:sz w:val="22"/>
                <w:szCs w:val="22"/>
              </w:rPr>
              <w:t xml:space="preserve">IFR </w:t>
            </w:r>
            <w:r>
              <w:rPr>
                <w:rFonts w:eastAsia="Times New Roman"/>
                <w:color w:val="000000"/>
                <w:sz w:val="22"/>
                <w:szCs w:val="22"/>
              </w:rPr>
              <w:fldChar w:fldCharType="begin"/>
            </w:r>
            <w:r w:rsidR="000C1E68">
              <w:rPr>
                <w:rFonts w:eastAsia="Times New Roman"/>
                <w:color w:val="000000"/>
                <w:sz w:val="22"/>
                <w:szCs w:val="22"/>
              </w:rPr>
              <w:instrText xml:space="preserve"> ADDIN ZOTERO_ITEM CSL_CITATION {"citationID":"Aanz0T6V","properties":{"formattedCitation":"[5]","plainCitation":"[5]","noteIndex":0},"citationItems":[{"id":5979,"uris":["http://zotero.org/users/3776105/items/YJCH9FIA"],"uri":["http://zotero.org/users/3776105/items/YJCH9FIA"],"itemData":{"id":5979,"type":"article-journal","abstract":"Determine age-specific infection fatality rates for COVID-19 to inform public health policies and communications that help protect vulnerable age groups. Studies of COVID-19 prevalence were collected by conducting an online search of published articles, preprints, and government reports that were publicly disseminated prior to 18 September 2020. The systematic review encompassed 113 studies, of which 27 studies (covering 34 geographical locations) satisfied the inclusion criteria and were included in the meta-analysis. Age-specific IFRs were computed using the prevalence data in conjunction with reported fatalities 4 weeks after the midpoint date of the study, reflecting typical lags in fatalities and reporting. Meta-regression procedures in Stata were used to analyze the infection fatality rate (IFR) by age. Our analysis finds a exponential relationship between age and IFR for COVID-19. The estimated age-specific IFR is very low for children and younger adults (e.g., 0.002% at age 10 and 0.01% at age 25) but increases progressively to 0.4% at age 55, 1.4% at age 65, 4.6% at age 75, and 15% at age 85. Moreover, our results indicate that about 90% of the variation in population IFR across geographical locations reflects differences in the age composition of the population and the extent to which relatively vulnerable age groups were exposed to the virus. These results indicate that COVID-19 is hazardous not only for the elderly but also for middle-aged adults, for whom the infection fatality rate is two orders of magnitude greater than the annualized risk of a fatal automobile accident and far more dangerous than seasonal influenza. Moreover, the overall IFR for COVID-19 should not be viewed as a fixed parameter but as intrinsically linked to the age-specific pattern of infections. Consequently, public health measures to mitigate infections in older adults could substantially decrease total deaths.","container-title":"European Journal of Epidemiology","DOI":"10.1007/s10654-020-00698-1","ISSN":"1573-7284","journalAbbreviation":"Eur J Epidemiol","language":"en","source":"Springer Link","title":"Assessing the age specificity of infection fatality rates for COVID-19: systematic review, meta-analysis, and public policy implications","title-short":"Assessing the age specificity of infection fatality rates for COVID-19","URL":"https://doi.org/10.1007/s10654-020-00698-1","author":[{"family":"Levin","given":"Andrew T."},{"family":"Hanage","given":"William P."},{"family":"Owusu-Boaitey","given":"Nana"},{"family":"Cochran","given":"Kensington B."},{"family":"Walsh","given":"Seamus P."},{"family":"Meyerowitz-Katz","given":"Gideon"}],"accessed":{"date-parts":[["2020",12,22]]},"issued":{"date-parts":[["2020",12,8]]}}}],"schema":"https://github.com/citation-style-language/schema/raw/master/csl-citation.json"} </w:instrText>
            </w:r>
            <w:r>
              <w:rPr>
                <w:rFonts w:eastAsia="Times New Roman"/>
                <w:color w:val="000000"/>
                <w:sz w:val="22"/>
                <w:szCs w:val="22"/>
              </w:rPr>
              <w:fldChar w:fldCharType="separate"/>
            </w:r>
            <w:r w:rsidR="000C1E68">
              <w:rPr>
                <w:color w:val="000000"/>
                <w:sz w:val="22"/>
              </w:rPr>
              <w:t>[5]</w:t>
            </w:r>
            <w:r>
              <w:rPr>
                <w:rFonts w:eastAsia="Times New Roman"/>
                <w:color w:val="000000"/>
                <w:sz w:val="22"/>
                <w:szCs w:val="22"/>
              </w:rPr>
              <w:fldChar w:fldCharType="end"/>
            </w:r>
          </w:p>
        </w:tc>
      </w:tr>
      <w:tr w:rsidR="00C57D01" w:rsidRPr="00833637" w14:paraId="034183A8" w14:textId="77777777" w:rsidTr="00945402">
        <w:trPr>
          <w:trHeight w:val="279"/>
        </w:trPr>
        <w:tc>
          <w:tcPr>
            <w:tcW w:w="445" w:type="dxa"/>
            <w:tcBorders>
              <w:top w:val="nil"/>
              <w:left w:val="single" w:sz="4" w:space="0" w:color="auto"/>
              <w:bottom w:val="single" w:sz="8" w:space="0" w:color="auto"/>
              <w:right w:val="single" w:sz="4" w:space="0" w:color="auto"/>
            </w:tcBorders>
            <w:shd w:val="clear" w:color="auto" w:fill="auto"/>
            <w:noWrap/>
            <w:vAlign w:val="bottom"/>
            <w:hideMark/>
          </w:tcPr>
          <w:p w14:paraId="2C81F208" w14:textId="77777777" w:rsidR="00C57D01" w:rsidRPr="00833637" w:rsidRDefault="00C57D01" w:rsidP="00945402">
            <w:pPr>
              <w:ind w:left="-583"/>
              <w:jc w:val="right"/>
              <w:rPr>
                <w:rFonts w:eastAsia="Times New Roman"/>
                <w:color w:val="000000"/>
                <w:sz w:val="22"/>
                <w:szCs w:val="22"/>
              </w:rPr>
            </w:pPr>
            <w:r w:rsidRPr="00833637">
              <w:rPr>
                <w:rFonts w:eastAsia="Times New Roman"/>
                <w:color w:val="000000"/>
                <w:sz w:val="22"/>
                <w:szCs w:val="22"/>
              </w:rPr>
              <w:t>(</w:t>
            </w:r>
            <w:r>
              <w:rPr>
                <w:rFonts w:eastAsia="Times New Roman"/>
                <w:color w:val="000000"/>
                <w:sz w:val="22"/>
                <w:szCs w:val="22"/>
              </w:rPr>
              <w:t>10</w:t>
            </w:r>
            <w:r w:rsidRPr="00833637">
              <w:rPr>
                <w:rFonts w:eastAsia="Times New Roman"/>
                <w:color w:val="000000"/>
                <w:sz w:val="22"/>
                <w:szCs w:val="22"/>
              </w:rPr>
              <w:t>)</w:t>
            </w:r>
          </w:p>
        </w:tc>
        <w:tc>
          <w:tcPr>
            <w:tcW w:w="3623" w:type="dxa"/>
            <w:tcBorders>
              <w:top w:val="nil"/>
              <w:left w:val="nil"/>
              <w:bottom w:val="single" w:sz="8" w:space="0" w:color="auto"/>
              <w:right w:val="single" w:sz="4" w:space="0" w:color="auto"/>
            </w:tcBorders>
            <w:shd w:val="clear" w:color="auto" w:fill="auto"/>
            <w:noWrap/>
            <w:vAlign w:val="bottom"/>
            <w:hideMark/>
          </w:tcPr>
          <w:p w14:paraId="102EE464" w14:textId="77777777" w:rsidR="00C57D01" w:rsidRPr="00833637" w:rsidRDefault="00C57D01" w:rsidP="00945402">
            <w:pPr>
              <w:rPr>
                <w:rFonts w:eastAsia="Times New Roman"/>
                <w:color w:val="000000"/>
                <w:sz w:val="22"/>
                <w:szCs w:val="22"/>
              </w:rPr>
            </w:pPr>
            <w:r>
              <w:rPr>
                <w:rFonts w:eastAsia="Times New Roman"/>
                <w:color w:val="000000"/>
                <w:sz w:val="22"/>
                <w:szCs w:val="22"/>
              </w:rPr>
              <w:t xml:space="preserve"> </w:t>
            </w:r>
            <w:r w:rsidRPr="00833637">
              <w:rPr>
                <w:rFonts w:eastAsia="Times New Roman"/>
                <w:color w:val="000000"/>
                <w:sz w:val="22"/>
                <w:szCs w:val="22"/>
              </w:rPr>
              <w:t>p(death| infection) for a 75-year</w:t>
            </w:r>
            <w:r>
              <w:rPr>
                <w:rFonts w:eastAsia="Times New Roman"/>
                <w:color w:val="000000"/>
                <w:sz w:val="22"/>
                <w:szCs w:val="22"/>
              </w:rPr>
              <w:t>-</w:t>
            </w:r>
            <w:r w:rsidRPr="00833637">
              <w:rPr>
                <w:rFonts w:eastAsia="Times New Roman"/>
                <w:color w:val="000000"/>
                <w:sz w:val="22"/>
                <w:szCs w:val="22"/>
              </w:rPr>
              <w:t>old</w:t>
            </w:r>
          </w:p>
        </w:tc>
        <w:tc>
          <w:tcPr>
            <w:tcW w:w="1867" w:type="dxa"/>
            <w:tcBorders>
              <w:top w:val="nil"/>
              <w:left w:val="nil"/>
              <w:bottom w:val="single" w:sz="8" w:space="0" w:color="auto"/>
              <w:right w:val="single" w:sz="4" w:space="0" w:color="auto"/>
            </w:tcBorders>
            <w:shd w:val="clear" w:color="auto" w:fill="auto"/>
            <w:noWrap/>
            <w:vAlign w:val="bottom"/>
            <w:hideMark/>
          </w:tcPr>
          <w:p w14:paraId="71FC8EBE" w14:textId="77777777" w:rsidR="00C57D01" w:rsidRPr="00833637" w:rsidRDefault="00C57D01" w:rsidP="00945402">
            <w:pPr>
              <w:jc w:val="right"/>
              <w:rPr>
                <w:rFonts w:eastAsia="Times New Roman"/>
                <w:color w:val="000000"/>
                <w:sz w:val="22"/>
                <w:szCs w:val="22"/>
              </w:rPr>
            </w:pPr>
            <w:r w:rsidRPr="00833637">
              <w:rPr>
                <w:rFonts w:eastAsia="Times New Roman"/>
                <w:color w:val="000000"/>
                <w:sz w:val="22"/>
                <w:szCs w:val="22"/>
              </w:rPr>
              <w:t>8.50%</w:t>
            </w:r>
          </w:p>
        </w:tc>
        <w:tc>
          <w:tcPr>
            <w:tcW w:w="2970" w:type="dxa"/>
            <w:tcBorders>
              <w:top w:val="nil"/>
              <w:left w:val="nil"/>
              <w:bottom w:val="single" w:sz="8" w:space="0" w:color="auto"/>
              <w:right w:val="single" w:sz="4" w:space="0" w:color="auto"/>
            </w:tcBorders>
            <w:shd w:val="clear" w:color="auto" w:fill="auto"/>
            <w:noWrap/>
            <w:vAlign w:val="bottom"/>
            <w:hideMark/>
          </w:tcPr>
          <w:p w14:paraId="00FCF4A1" w14:textId="2EE77605" w:rsidR="00C57D01" w:rsidRPr="00C8500C" w:rsidRDefault="000C1E68" w:rsidP="00945402">
            <w:pPr>
              <w:rPr>
                <w:rFonts w:eastAsia="Times New Roman"/>
                <w:color w:val="000000"/>
                <w:sz w:val="22"/>
                <w:szCs w:val="22"/>
              </w:rPr>
            </w:pPr>
            <w:r w:rsidRPr="00C8500C">
              <w:rPr>
                <w:rFonts w:eastAsia="Times New Roman"/>
                <w:color w:val="000000"/>
                <w:sz w:val="22"/>
                <w:szCs w:val="22"/>
              </w:rPr>
              <w:t xml:space="preserve">IFR </w:t>
            </w:r>
            <w:r>
              <w:rPr>
                <w:rFonts w:eastAsia="Times New Roman"/>
                <w:color w:val="000000"/>
                <w:sz w:val="22"/>
                <w:szCs w:val="22"/>
              </w:rPr>
              <w:fldChar w:fldCharType="begin"/>
            </w:r>
            <w:r>
              <w:rPr>
                <w:rFonts w:eastAsia="Times New Roman"/>
                <w:color w:val="000000"/>
                <w:sz w:val="22"/>
                <w:szCs w:val="22"/>
              </w:rPr>
              <w:instrText xml:space="preserve"> ADDIN ZOTERO_ITEM CSL_CITATION {"citationID":"2vrtehq8","properties":{"formattedCitation":"[5]","plainCitation":"[5]","noteIndex":0},"citationItems":[{"id":5979,"uris":["http://zotero.org/users/3776105/items/YJCH9FIA"],"uri":["http://zotero.org/users/3776105/items/YJCH9FIA"],"itemData":{"id":5979,"type":"article-journal","abstract":"Determine age-specific infection fatality rates for COVID-19 to inform public health policies and communications that help protect vulnerable age groups. Studies of COVID-19 prevalence were collected by conducting an online search of published articles, preprints, and government reports that were publicly disseminated prior to 18 September 2020. The systematic review encompassed 113 studies, of which 27 studies (covering 34 geographical locations) satisfied the inclusion criteria and were included in the meta-analysis. Age-specific IFRs were computed using the prevalence data in conjunction with reported fatalities 4 weeks after the midpoint date of the study, reflecting typical lags in fatalities and reporting. Meta-regression procedures in Stata were used to analyze the infection fatality rate (IFR) by age. Our analysis finds a exponential relationship between age and IFR for COVID-19. The estimated age-specific IFR is very low for children and younger adults (e.g., 0.002% at age 10 and 0.01% at age 25) but increases progressively to 0.4% at age 55, 1.4% at age 65, 4.6% at age 75, and 15% at age 85. Moreover, our results indicate that about 90% of the variation in population IFR across geographical locations reflects differences in the age composition of the population and the extent to which relatively vulnerable age groups were exposed to the virus. These results indicate that COVID-19 is hazardous not only for the elderly but also for middle-aged adults, for whom the infection fatality rate is two orders of magnitude greater than the annualized risk of a fatal automobile accident and far more dangerous than seasonal influenza. Moreover, the overall IFR for COVID-19 should not be viewed as a fixed parameter but as intrinsically linked to the age-specific pattern of infections. Consequently, public health measures to mitigate infections in older adults could substantially decrease total deaths.","container-title":"European Journal of Epidemiology","DOI":"10.1007/s10654-020-00698-1","ISSN":"1573-7284","journalAbbreviation":"Eur J Epidemiol","language":"en","source":"Springer Link","title":"Assessing the age specificity of infection fatality rates for COVID-19: systematic review, meta-analysis, and public policy implications","title-short":"Assessing the age specificity of infection fatality rates for COVID-19","URL":"https://doi.org/10.1007/s10654-020-00698-1","author":[{"family":"Levin","given":"Andrew T."},{"family":"Hanage","given":"William P."},{"family":"Owusu-Boaitey","given":"Nana"},{"family":"Cochran","given":"Kensington B."},{"family":"Walsh","given":"Seamus P."},{"family":"Meyerowitz-Katz","given":"Gideon"}],"accessed":{"date-parts":[["2020",12,22]]},"issued":{"date-parts":[["2020",12,8]]}}}],"schema":"https://github.com/citation-style-language/schema/raw/master/csl-citation.json"} </w:instrText>
            </w:r>
            <w:r>
              <w:rPr>
                <w:rFonts w:eastAsia="Times New Roman"/>
                <w:color w:val="000000"/>
                <w:sz w:val="22"/>
                <w:szCs w:val="22"/>
              </w:rPr>
              <w:fldChar w:fldCharType="separate"/>
            </w:r>
            <w:r>
              <w:rPr>
                <w:color w:val="000000"/>
                <w:sz w:val="22"/>
              </w:rPr>
              <w:t>[5]</w:t>
            </w:r>
            <w:r>
              <w:rPr>
                <w:rFonts w:eastAsia="Times New Roman"/>
                <w:color w:val="000000"/>
                <w:sz w:val="22"/>
                <w:szCs w:val="22"/>
              </w:rPr>
              <w:fldChar w:fldCharType="end"/>
            </w:r>
          </w:p>
        </w:tc>
      </w:tr>
      <w:tr w:rsidR="00C57D01" w:rsidRPr="00833637" w14:paraId="70725019" w14:textId="77777777" w:rsidTr="00945402">
        <w:trPr>
          <w:trHeight w:val="261"/>
        </w:trPr>
        <w:tc>
          <w:tcPr>
            <w:tcW w:w="445" w:type="dxa"/>
            <w:tcBorders>
              <w:top w:val="nil"/>
              <w:left w:val="nil"/>
              <w:bottom w:val="nil"/>
              <w:right w:val="nil"/>
            </w:tcBorders>
            <w:shd w:val="clear" w:color="auto" w:fill="auto"/>
            <w:noWrap/>
            <w:vAlign w:val="bottom"/>
            <w:hideMark/>
          </w:tcPr>
          <w:p w14:paraId="03647C3C" w14:textId="77777777" w:rsidR="00C57D01" w:rsidRPr="00833637" w:rsidRDefault="00C57D01" w:rsidP="00945402">
            <w:pPr>
              <w:ind w:firstLineChars="200" w:firstLine="440"/>
              <w:rPr>
                <w:rFonts w:eastAsia="Times New Roman"/>
                <w:i/>
                <w:iCs/>
                <w:color w:val="000000"/>
                <w:sz w:val="22"/>
                <w:szCs w:val="22"/>
              </w:rPr>
            </w:pPr>
          </w:p>
        </w:tc>
        <w:tc>
          <w:tcPr>
            <w:tcW w:w="3623" w:type="dxa"/>
            <w:tcBorders>
              <w:top w:val="nil"/>
              <w:left w:val="nil"/>
              <w:bottom w:val="nil"/>
              <w:right w:val="nil"/>
            </w:tcBorders>
            <w:shd w:val="clear" w:color="auto" w:fill="auto"/>
            <w:noWrap/>
            <w:vAlign w:val="bottom"/>
            <w:hideMark/>
          </w:tcPr>
          <w:p w14:paraId="40FEAB40" w14:textId="77777777" w:rsidR="00C57D01" w:rsidRDefault="00C57D01" w:rsidP="00945402">
            <w:pPr>
              <w:ind w:firstLine="235"/>
              <w:rPr>
                <w:rFonts w:ascii="Times New Roman" w:eastAsia="Times New Roman" w:hAnsi="Times New Roman" w:cs="Times New Roman"/>
                <w:sz w:val="20"/>
                <w:szCs w:val="20"/>
              </w:rPr>
            </w:pPr>
          </w:p>
          <w:p w14:paraId="04FC9037" w14:textId="77777777" w:rsidR="00C57D01" w:rsidRDefault="00C57D01" w:rsidP="00945402">
            <w:pPr>
              <w:ind w:firstLine="235"/>
              <w:rPr>
                <w:rFonts w:ascii="Times New Roman" w:eastAsia="Times New Roman" w:hAnsi="Times New Roman" w:cs="Times New Roman"/>
                <w:sz w:val="20"/>
                <w:szCs w:val="20"/>
              </w:rPr>
            </w:pPr>
          </w:p>
          <w:p w14:paraId="68353FCE" w14:textId="77777777" w:rsidR="00C57D01" w:rsidRPr="00833637" w:rsidRDefault="00C57D01" w:rsidP="00945402">
            <w:pPr>
              <w:ind w:firstLine="235"/>
              <w:rPr>
                <w:rFonts w:ascii="Times New Roman" w:eastAsia="Times New Roman" w:hAnsi="Times New Roman" w:cs="Times New Roman"/>
                <w:sz w:val="20"/>
                <w:szCs w:val="20"/>
              </w:rPr>
            </w:pPr>
          </w:p>
        </w:tc>
        <w:tc>
          <w:tcPr>
            <w:tcW w:w="1867" w:type="dxa"/>
            <w:tcBorders>
              <w:top w:val="nil"/>
              <w:left w:val="nil"/>
              <w:bottom w:val="nil"/>
              <w:right w:val="nil"/>
            </w:tcBorders>
            <w:shd w:val="clear" w:color="auto" w:fill="auto"/>
            <w:noWrap/>
            <w:vAlign w:val="bottom"/>
            <w:hideMark/>
          </w:tcPr>
          <w:p w14:paraId="5DDDBA05" w14:textId="77777777" w:rsidR="00C57D01" w:rsidRDefault="00C57D01" w:rsidP="00945402">
            <w:pPr>
              <w:rPr>
                <w:rFonts w:eastAsia="Times New Roman"/>
                <w:b/>
                <w:bCs/>
                <w:color w:val="000000"/>
                <w:sz w:val="22"/>
                <w:szCs w:val="22"/>
              </w:rPr>
            </w:pPr>
          </w:p>
          <w:p w14:paraId="1E363925" w14:textId="77777777" w:rsidR="00C57D01" w:rsidRPr="00833637" w:rsidRDefault="00C57D01" w:rsidP="00945402">
            <w:pPr>
              <w:jc w:val="right"/>
              <w:rPr>
                <w:rFonts w:ascii="Times New Roman" w:eastAsia="Times New Roman" w:hAnsi="Times New Roman" w:cs="Times New Roman"/>
                <w:sz w:val="20"/>
                <w:szCs w:val="20"/>
              </w:rPr>
            </w:pPr>
            <w:r w:rsidRPr="00833637">
              <w:rPr>
                <w:rFonts w:eastAsia="Times New Roman"/>
                <w:b/>
                <w:bCs/>
                <w:color w:val="000000"/>
                <w:sz w:val="22"/>
                <w:szCs w:val="22"/>
              </w:rPr>
              <w:t>Risk-weighted cost of infection</w:t>
            </w:r>
            <w:r>
              <w:rPr>
                <w:rFonts w:eastAsia="Times New Roman"/>
                <w:b/>
                <w:bCs/>
                <w:color w:val="000000"/>
                <w:sz w:val="22"/>
                <w:szCs w:val="22"/>
              </w:rPr>
              <w:t xml:space="preserve"> (mortality risk)</w:t>
            </w:r>
          </w:p>
        </w:tc>
        <w:tc>
          <w:tcPr>
            <w:tcW w:w="2970" w:type="dxa"/>
            <w:tcBorders>
              <w:top w:val="nil"/>
              <w:left w:val="nil"/>
              <w:bottom w:val="nil"/>
              <w:right w:val="nil"/>
            </w:tcBorders>
            <w:shd w:val="clear" w:color="auto" w:fill="auto"/>
            <w:noWrap/>
            <w:vAlign w:val="bottom"/>
            <w:hideMark/>
          </w:tcPr>
          <w:p w14:paraId="213B066D" w14:textId="77777777" w:rsidR="00C57D01" w:rsidRPr="00833637" w:rsidRDefault="00C57D01" w:rsidP="00945402">
            <w:pPr>
              <w:rPr>
                <w:rFonts w:eastAsia="Times New Roman"/>
                <w:b/>
                <w:bCs/>
                <w:color w:val="000000"/>
                <w:sz w:val="22"/>
                <w:szCs w:val="22"/>
              </w:rPr>
            </w:pPr>
            <w:r>
              <w:rPr>
                <w:rFonts w:eastAsia="Times New Roman"/>
                <w:b/>
                <w:bCs/>
                <w:color w:val="000000"/>
                <w:sz w:val="22"/>
                <w:szCs w:val="22"/>
              </w:rPr>
              <w:t>Risk-</w:t>
            </w:r>
            <w:r w:rsidRPr="00833637">
              <w:rPr>
                <w:rFonts w:eastAsia="Times New Roman"/>
                <w:b/>
                <w:bCs/>
                <w:color w:val="000000"/>
                <w:sz w:val="22"/>
                <w:szCs w:val="22"/>
              </w:rPr>
              <w:t>equivalent drunk driving distance (mi)</w:t>
            </w:r>
          </w:p>
        </w:tc>
      </w:tr>
      <w:tr w:rsidR="00C57D01" w:rsidRPr="00833637" w14:paraId="7D269A3C" w14:textId="77777777" w:rsidTr="00945402">
        <w:trPr>
          <w:trHeight w:val="69"/>
        </w:trPr>
        <w:tc>
          <w:tcPr>
            <w:tcW w:w="445" w:type="dxa"/>
            <w:tcBorders>
              <w:top w:val="nil"/>
              <w:left w:val="nil"/>
              <w:bottom w:val="nil"/>
              <w:right w:val="nil"/>
            </w:tcBorders>
            <w:shd w:val="clear" w:color="auto" w:fill="auto"/>
            <w:noWrap/>
            <w:vAlign w:val="bottom"/>
            <w:hideMark/>
          </w:tcPr>
          <w:p w14:paraId="6C77BA61" w14:textId="77777777" w:rsidR="00C57D01" w:rsidRPr="00833637" w:rsidRDefault="00C57D01" w:rsidP="00945402">
            <w:pPr>
              <w:ind w:firstLineChars="100" w:firstLine="221"/>
              <w:rPr>
                <w:rFonts w:eastAsia="Times New Roman"/>
                <w:b/>
                <w:bCs/>
                <w:color w:val="000000"/>
                <w:sz w:val="22"/>
                <w:szCs w:val="22"/>
              </w:rPr>
            </w:pPr>
          </w:p>
        </w:tc>
        <w:tc>
          <w:tcPr>
            <w:tcW w:w="3623" w:type="dxa"/>
            <w:tcBorders>
              <w:top w:val="nil"/>
              <w:left w:val="nil"/>
              <w:bottom w:val="nil"/>
              <w:right w:val="nil"/>
            </w:tcBorders>
            <w:shd w:val="clear" w:color="auto" w:fill="auto"/>
            <w:noWrap/>
            <w:vAlign w:val="center"/>
            <w:hideMark/>
          </w:tcPr>
          <w:p w14:paraId="4835F946" w14:textId="77777777" w:rsidR="00C57D01" w:rsidRPr="00833637" w:rsidRDefault="00C57D01" w:rsidP="00945402">
            <w:pPr>
              <w:jc w:val="center"/>
              <w:rPr>
                <w:rFonts w:eastAsia="Times New Roman"/>
                <w:b/>
                <w:bCs/>
                <w:color w:val="000000"/>
                <w:sz w:val="22"/>
                <w:szCs w:val="22"/>
              </w:rPr>
            </w:pPr>
            <w:r>
              <w:rPr>
                <w:rFonts w:eastAsia="Times New Roman"/>
                <w:b/>
                <w:bCs/>
                <w:color w:val="000000"/>
                <w:sz w:val="22"/>
                <w:szCs w:val="22"/>
              </w:rPr>
              <w:t>F</w:t>
            </w:r>
            <w:r w:rsidRPr="00833637">
              <w:rPr>
                <w:rFonts w:eastAsia="Times New Roman"/>
                <w:b/>
                <w:bCs/>
                <w:color w:val="000000"/>
                <w:sz w:val="22"/>
                <w:szCs w:val="22"/>
              </w:rPr>
              <w:t>or a 25-year</w:t>
            </w:r>
            <w:r>
              <w:rPr>
                <w:rFonts w:eastAsia="Times New Roman"/>
                <w:b/>
                <w:bCs/>
                <w:color w:val="000000"/>
                <w:sz w:val="22"/>
                <w:szCs w:val="22"/>
              </w:rPr>
              <w:t>-</w:t>
            </w:r>
            <w:r w:rsidRPr="00833637">
              <w:rPr>
                <w:rFonts w:eastAsia="Times New Roman"/>
                <w:b/>
                <w:bCs/>
                <w:color w:val="000000"/>
                <w:sz w:val="22"/>
                <w:szCs w:val="22"/>
              </w:rPr>
              <w:t>old</w:t>
            </w:r>
          </w:p>
        </w:tc>
        <w:tc>
          <w:tcPr>
            <w:tcW w:w="18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A8CAC5" w14:textId="77777777" w:rsidR="00C57D01" w:rsidRDefault="00C57D01" w:rsidP="00945402">
            <w:pPr>
              <w:jc w:val="center"/>
              <w:rPr>
                <w:rFonts w:eastAsia="Times New Roman"/>
                <w:color w:val="000000"/>
                <w:sz w:val="22"/>
                <w:szCs w:val="22"/>
              </w:rPr>
            </w:pPr>
            <w:r>
              <w:rPr>
                <w:color w:val="000000"/>
                <w:sz w:val="22"/>
                <w:szCs w:val="22"/>
              </w:rPr>
              <w:t>0.0002%</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3B77C753" w14:textId="25CD124D" w:rsidR="00C57D01" w:rsidRDefault="00C57D01" w:rsidP="00945402">
            <w:pPr>
              <w:jc w:val="center"/>
              <w:rPr>
                <w:color w:val="000000"/>
                <w:sz w:val="22"/>
                <w:szCs w:val="22"/>
              </w:rPr>
            </w:pPr>
            <w:r>
              <w:rPr>
                <w:color w:val="000000"/>
                <w:sz w:val="22"/>
                <w:szCs w:val="22"/>
              </w:rPr>
              <w:t xml:space="preserve">868 </w:t>
            </w:r>
            <w:r>
              <w:rPr>
                <w:color w:val="000000"/>
                <w:sz w:val="22"/>
                <w:szCs w:val="22"/>
              </w:rPr>
              <w:fldChar w:fldCharType="begin"/>
            </w:r>
            <w:r w:rsidR="000C1E68">
              <w:rPr>
                <w:color w:val="000000"/>
                <w:sz w:val="22"/>
                <w:szCs w:val="22"/>
              </w:rPr>
              <w:instrText xml:space="preserve"> ADDIN ZOTERO_ITEM CSL_CITATION {"citationID":"0s0NByVY","properties":{"formattedCitation":"[6]","plainCitation":"[6]","noteIndex":0},"citationItems":[{"id":5865,"uris":["http://zotero.org/users/3776105/items/7S46CWWD"],"uri":["http://zotero.org/users/3776105/items/7S46CWWD"],"itemData":{"id":5865,"type":"article","publisher":"Department of Transportation","title":"2018 Data: Alcohol-Impaired Driving. NHTSA's Center for Statistics and Analysis.","URL":"https://crashstats.nhtsa.dot.gov/Api/Public/ViewPublication/812864","accessed":{"date-parts":[["2020",12,22]]}}}],"schema":"https://github.com/citation-style-language/schema/raw/master/csl-citation.json"} </w:instrText>
            </w:r>
            <w:r>
              <w:rPr>
                <w:color w:val="000000"/>
                <w:sz w:val="22"/>
                <w:szCs w:val="22"/>
              </w:rPr>
              <w:fldChar w:fldCharType="separate"/>
            </w:r>
            <w:r w:rsidR="000C1E68">
              <w:rPr>
                <w:color w:val="000000"/>
                <w:sz w:val="22"/>
              </w:rPr>
              <w:t>[6]</w:t>
            </w:r>
            <w:r>
              <w:rPr>
                <w:color w:val="000000"/>
                <w:sz w:val="22"/>
                <w:szCs w:val="22"/>
              </w:rPr>
              <w:fldChar w:fldCharType="end"/>
            </w:r>
          </w:p>
        </w:tc>
      </w:tr>
      <w:tr w:rsidR="00C57D01" w:rsidRPr="00833637" w14:paraId="1E18B79B" w14:textId="77777777" w:rsidTr="00945402">
        <w:trPr>
          <w:trHeight w:val="69"/>
        </w:trPr>
        <w:tc>
          <w:tcPr>
            <w:tcW w:w="445" w:type="dxa"/>
            <w:tcBorders>
              <w:top w:val="nil"/>
              <w:left w:val="nil"/>
              <w:bottom w:val="nil"/>
              <w:right w:val="nil"/>
            </w:tcBorders>
            <w:shd w:val="clear" w:color="auto" w:fill="auto"/>
            <w:noWrap/>
            <w:vAlign w:val="bottom"/>
            <w:hideMark/>
          </w:tcPr>
          <w:p w14:paraId="4CF7DCE4" w14:textId="77777777" w:rsidR="00C57D01" w:rsidRPr="00833637" w:rsidRDefault="00C57D01" w:rsidP="00945402">
            <w:pPr>
              <w:rPr>
                <w:rFonts w:eastAsia="Times New Roman"/>
                <w:color w:val="000000"/>
                <w:sz w:val="22"/>
                <w:szCs w:val="22"/>
              </w:rPr>
            </w:pPr>
          </w:p>
        </w:tc>
        <w:tc>
          <w:tcPr>
            <w:tcW w:w="3623" w:type="dxa"/>
            <w:tcBorders>
              <w:top w:val="nil"/>
              <w:left w:val="nil"/>
              <w:bottom w:val="nil"/>
              <w:right w:val="nil"/>
            </w:tcBorders>
            <w:shd w:val="clear" w:color="auto" w:fill="auto"/>
            <w:noWrap/>
            <w:vAlign w:val="center"/>
            <w:hideMark/>
          </w:tcPr>
          <w:p w14:paraId="5BE202A6" w14:textId="77777777" w:rsidR="00C57D01" w:rsidRPr="00833637" w:rsidRDefault="00C57D01" w:rsidP="00945402">
            <w:pPr>
              <w:jc w:val="center"/>
              <w:rPr>
                <w:rFonts w:eastAsia="Times New Roman"/>
                <w:b/>
                <w:bCs/>
                <w:color w:val="000000"/>
                <w:sz w:val="22"/>
                <w:szCs w:val="22"/>
              </w:rPr>
            </w:pPr>
            <w:r>
              <w:rPr>
                <w:rFonts w:eastAsia="Times New Roman"/>
                <w:b/>
                <w:bCs/>
                <w:color w:val="000000"/>
                <w:sz w:val="22"/>
                <w:szCs w:val="22"/>
              </w:rPr>
              <w:t>For a 75-year-old</w:t>
            </w:r>
          </w:p>
        </w:tc>
        <w:tc>
          <w:tcPr>
            <w:tcW w:w="1867" w:type="dxa"/>
            <w:tcBorders>
              <w:top w:val="nil"/>
              <w:left w:val="single" w:sz="4" w:space="0" w:color="auto"/>
              <w:bottom w:val="single" w:sz="4" w:space="0" w:color="auto"/>
              <w:right w:val="single" w:sz="4" w:space="0" w:color="auto"/>
            </w:tcBorders>
            <w:shd w:val="clear" w:color="auto" w:fill="auto"/>
            <w:noWrap/>
            <w:vAlign w:val="bottom"/>
            <w:hideMark/>
          </w:tcPr>
          <w:p w14:paraId="088C82C2" w14:textId="77777777" w:rsidR="00C57D01" w:rsidRDefault="00C57D01" w:rsidP="00945402">
            <w:pPr>
              <w:jc w:val="center"/>
              <w:rPr>
                <w:color w:val="000000"/>
                <w:sz w:val="22"/>
                <w:szCs w:val="22"/>
              </w:rPr>
            </w:pPr>
            <w:r>
              <w:rPr>
                <w:color w:val="000000"/>
                <w:sz w:val="22"/>
                <w:szCs w:val="22"/>
              </w:rPr>
              <w:t>0.37%</w:t>
            </w:r>
          </w:p>
        </w:tc>
        <w:tc>
          <w:tcPr>
            <w:tcW w:w="2970" w:type="dxa"/>
            <w:tcBorders>
              <w:top w:val="nil"/>
              <w:left w:val="nil"/>
              <w:bottom w:val="single" w:sz="4" w:space="0" w:color="auto"/>
              <w:right w:val="single" w:sz="4" w:space="0" w:color="auto"/>
            </w:tcBorders>
            <w:shd w:val="clear" w:color="auto" w:fill="auto"/>
            <w:noWrap/>
            <w:vAlign w:val="bottom"/>
            <w:hideMark/>
          </w:tcPr>
          <w:p w14:paraId="118107E6" w14:textId="22AAB30F" w:rsidR="00C57D01" w:rsidRDefault="00C57D01" w:rsidP="00945402">
            <w:pPr>
              <w:jc w:val="center"/>
              <w:rPr>
                <w:color w:val="000000"/>
                <w:sz w:val="22"/>
                <w:szCs w:val="22"/>
              </w:rPr>
            </w:pPr>
            <w:r>
              <w:rPr>
                <w:color w:val="000000"/>
                <w:sz w:val="22"/>
                <w:szCs w:val="22"/>
              </w:rPr>
              <w:t xml:space="preserve">1,844,966 </w:t>
            </w:r>
            <w:r>
              <w:rPr>
                <w:color w:val="000000"/>
                <w:sz w:val="22"/>
                <w:szCs w:val="22"/>
              </w:rPr>
              <w:fldChar w:fldCharType="begin"/>
            </w:r>
            <w:r w:rsidR="000C1E68">
              <w:rPr>
                <w:color w:val="000000"/>
                <w:sz w:val="22"/>
                <w:szCs w:val="22"/>
              </w:rPr>
              <w:instrText xml:space="preserve"> ADDIN ZOTERO_ITEM CSL_CITATION {"citationID":"d7Rl1Ay8","properties":{"formattedCitation":"[6]","plainCitation":"[6]","noteIndex":0},"citationItems":[{"id":5865,"uris":["http://zotero.org/users/3776105/items/7S46CWWD"],"uri":["http://zotero.org/users/3776105/items/7S46CWWD"],"itemData":{"id":5865,"type":"article","publisher":"Department of Transportation","title":"2018 Data: Alcohol-Impaired Driving. NHTSA's Center for Statistics and Analysis.","URL":"https://crashstats.nhtsa.dot.gov/Api/Public/ViewPublication/812864","accessed":{"date-parts":[["2020",12,22]]}}}],"schema":"https://github.com/citation-style-language/schema/raw/master/csl-citation.json"} </w:instrText>
            </w:r>
            <w:r>
              <w:rPr>
                <w:color w:val="000000"/>
                <w:sz w:val="22"/>
                <w:szCs w:val="22"/>
              </w:rPr>
              <w:fldChar w:fldCharType="separate"/>
            </w:r>
            <w:r w:rsidR="000C1E68">
              <w:rPr>
                <w:color w:val="000000"/>
                <w:sz w:val="22"/>
              </w:rPr>
              <w:t>[6]</w:t>
            </w:r>
            <w:r>
              <w:rPr>
                <w:color w:val="000000"/>
                <w:sz w:val="22"/>
                <w:szCs w:val="22"/>
              </w:rPr>
              <w:fldChar w:fldCharType="end"/>
            </w:r>
          </w:p>
        </w:tc>
      </w:tr>
    </w:tbl>
    <w:p w14:paraId="35487FDD" w14:textId="69B1FE04" w:rsidR="00C57D01" w:rsidRDefault="00B25CE3" w:rsidP="00C57D01">
      <w:r>
        <w:t>The risk of infection for a 25-year-old resulting from a decision to not wear a mask during interactions with 100 people is equivalent to driving for about one month (868 miles) while intoxicated.</w:t>
      </w:r>
    </w:p>
    <w:p w14:paraId="395E10DC" w14:textId="46EABE99" w:rsidR="00C57D01" w:rsidRDefault="00C57D01" w:rsidP="00C57D01"/>
    <w:p w14:paraId="369ED0A5" w14:textId="05B71459" w:rsidR="00B25CE3" w:rsidRDefault="00B25CE3" w:rsidP="00C57D01"/>
    <w:p w14:paraId="5B945BF8" w14:textId="6599176D" w:rsidR="00B25CE3" w:rsidRDefault="00B25CE3" w:rsidP="00C57D01"/>
    <w:p w14:paraId="3D24A4BD" w14:textId="41D0AEF7" w:rsidR="00B25CE3" w:rsidRDefault="00B25CE3" w:rsidP="00C57D01"/>
    <w:p w14:paraId="7DD51E6E" w14:textId="73FD66F5" w:rsidR="00B25CE3" w:rsidRDefault="00B25CE3" w:rsidP="00C57D01"/>
    <w:p w14:paraId="5B63AEBA" w14:textId="1A32FACD" w:rsidR="00B25CE3" w:rsidRDefault="00B25CE3" w:rsidP="00C57D01"/>
    <w:p w14:paraId="30CC4D29" w14:textId="28B8EAB3" w:rsidR="00B25CE3" w:rsidRDefault="00B25CE3" w:rsidP="00C57D01"/>
    <w:p w14:paraId="59108F78" w14:textId="6B5CE281" w:rsidR="00B25CE3" w:rsidRDefault="00B25CE3" w:rsidP="00C57D01"/>
    <w:p w14:paraId="656A6EFD" w14:textId="3F30D121" w:rsidR="00B25CE3" w:rsidRDefault="00B25CE3" w:rsidP="00C57D01"/>
    <w:p w14:paraId="4ED3A412" w14:textId="284A3283" w:rsidR="00B25CE3" w:rsidRDefault="00B25CE3" w:rsidP="00C57D01"/>
    <w:p w14:paraId="41809B9D" w14:textId="7DDEAF92" w:rsidR="00B25CE3" w:rsidRDefault="00B25CE3" w:rsidP="00C57D01"/>
    <w:p w14:paraId="63027690" w14:textId="708B5C55" w:rsidR="00B25CE3" w:rsidRDefault="00B25CE3" w:rsidP="00C57D01"/>
    <w:p w14:paraId="2D6229E8" w14:textId="29EE7B08" w:rsidR="00B25CE3" w:rsidRDefault="00B25CE3" w:rsidP="00C57D01"/>
    <w:p w14:paraId="3CF29BE7" w14:textId="4253B706" w:rsidR="00B25CE3" w:rsidRDefault="00B25CE3" w:rsidP="00C57D01"/>
    <w:p w14:paraId="20A12D4F" w14:textId="6253F827" w:rsidR="00B25CE3" w:rsidRDefault="00B25CE3" w:rsidP="00C57D01"/>
    <w:p w14:paraId="4A63E2CF" w14:textId="7500F597" w:rsidR="00B25CE3" w:rsidRDefault="00B25CE3" w:rsidP="00C57D01"/>
    <w:p w14:paraId="40DA8C41" w14:textId="1B4370C2" w:rsidR="00B25CE3" w:rsidRDefault="00B25CE3" w:rsidP="00C57D01"/>
    <w:p w14:paraId="05497F79" w14:textId="6FABF2E3" w:rsidR="00B25CE3" w:rsidRDefault="00B25CE3" w:rsidP="00C57D01"/>
    <w:p w14:paraId="3291D591" w14:textId="1FBAF31F" w:rsidR="00B25CE3" w:rsidRDefault="00B25CE3" w:rsidP="00C57D01"/>
    <w:p w14:paraId="620D9EC3" w14:textId="3F908903" w:rsidR="00B25CE3" w:rsidRDefault="00B25CE3" w:rsidP="00C57D01"/>
    <w:p w14:paraId="26E520B1" w14:textId="3F23EFA8" w:rsidR="00B25CE3" w:rsidRDefault="00B25CE3" w:rsidP="00C57D01"/>
    <w:p w14:paraId="60ADD333" w14:textId="77777777" w:rsidR="00B25CE3" w:rsidRDefault="00B25CE3" w:rsidP="00C57D01"/>
    <w:p w14:paraId="68B99E03" w14:textId="5458AB2D" w:rsidR="00C57D01" w:rsidRDefault="00C57D01" w:rsidP="00C57D01">
      <w:r w:rsidRPr="00EF7456">
        <w:rPr>
          <w:b/>
          <w:bCs/>
        </w:rPr>
        <w:lastRenderedPageBreak/>
        <w:t>Table S</w:t>
      </w:r>
      <w:r>
        <w:rPr>
          <w:b/>
          <w:bCs/>
        </w:rPr>
        <w:t>2</w:t>
      </w:r>
      <w:r w:rsidRPr="00EF7456">
        <w:rPr>
          <w:b/>
          <w:bCs/>
        </w:rPr>
        <w:t>.</w:t>
      </w:r>
      <w:r>
        <w:t xml:space="preserve"> COVID-19 Death Risk Assessment for </w:t>
      </w:r>
      <w:r w:rsidRPr="00EF7456">
        <w:t>South Dakota</w:t>
      </w:r>
      <w:r>
        <w:t xml:space="preserve"> in</w:t>
      </w:r>
      <w:r w:rsidRPr="00EF7456">
        <w:t xml:space="preserve"> </w:t>
      </w:r>
      <w:r>
        <w:t>November</w:t>
      </w:r>
      <w:r w:rsidRPr="00EF7456">
        <w:t xml:space="preserve"> 2020</w:t>
      </w:r>
      <w:r>
        <w:t xml:space="preserve">. </w:t>
      </w:r>
    </w:p>
    <w:tbl>
      <w:tblPr>
        <w:tblW w:w="9017" w:type="dxa"/>
        <w:tblLook w:val="04A0" w:firstRow="1" w:lastRow="0" w:firstColumn="1" w:lastColumn="0" w:noHBand="0" w:noVBand="1"/>
      </w:tblPr>
      <w:tblGrid>
        <w:gridCol w:w="573"/>
        <w:gridCol w:w="3674"/>
        <w:gridCol w:w="1800"/>
        <w:gridCol w:w="2970"/>
      </w:tblGrid>
      <w:tr w:rsidR="00C57D01" w:rsidRPr="00833637" w14:paraId="7592D935" w14:textId="77777777" w:rsidTr="00945402">
        <w:trPr>
          <w:trHeight w:val="261"/>
        </w:trPr>
        <w:tc>
          <w:tcPr>
            <w:tcW w:w="5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EFCDFB"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(1)</w:t>
            </w:r>
          </w:p>
        </w:tc>
        <w:tc>
          <w:tcPr>
            <w:tcW w:w="3674" w:type="dxa"/>
            <w:tcBorders>
              <w:top w:val="single" w:sz="4" w:space="0" w:color="auto"/>
              <w:left w:val="nil"/>
              <w:bottom w:val="single" w:sz="4" w:space="0" w:color="auto"/>
              <w:right w:val="single" w:sz="4" w:space="0" w:color="auto"/>
            </w:tcBorders>
            <w:shd w:val="clear" w:color="auto" w:fill="auto"/>
            <w:noWrap/>
            <w:vAlign w:val="bottom"/>
            <w:hideMark/>
          </w:tcPr>
          <w:p w14:paraId="11BDD773"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active cases</w:t>
            </w:r>
          </w:p>
        </w:tc>
        <w:tc>
          <w:tcPr>
            <w:tcW w:w="1800" w:type="dxa"/>
            <w:tcBorders>
              <w:top w:val="single" w:sz="4" w:space="0" w:color="auto"/>
              <w:left w:val="nil"/>
              <w:bottom w:val="single" w:sz="4" w:space="0" w:color="auto"/>
              <w:right w:val="single" w:sz="4" w:space="0" w:color="auto"/>
            </w:tcBorders>
            <w:shd w:val="clear" w:color="auto" w:fill="auto"/>
            <w:noWrap/>
            <w:vAlign w:val="bottom"/>
            <w:hideMark/>
          </w:tcPr>
          <w:p w14:paraId="3AFF1245" w14:textId="77777777" w:rsidR="00C57D01" w:rsidRPr="00833637" w:rsidRDefault="00C57D01" w:rsidP="00945402">
            <w:pPr>
              <w:jc w:val="right"/>
              <w:rPr>
                <w:rFonts w:eastAsia="Times New Roman"/>
                <w:color w:val="000000"/>
                <w:sz w:val="22"/>
                <w:szCs w:val="22"/>
              </w:rPr>
            </w:pPr>
            <w:r>
              <w:rPr>
                <w:color w:val="000000"/>
                <w:sz w:val="22"/>
                <w:szCs w:val="22"/>
              </w:rPr>
              <w:t xml:space="preserve">                      19,240 </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666CC372" w14:textId="7A7777AD"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active cases as of 8/16/2020</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PjsTZkzF","properties":{"formattedCitation":"[1]","plainCitation":"[1]","noteIndex":0},"citationItems":[{"id":5856,"uris":["http://zotero.org/users/3776105/items/VPU9GYRA"],"uri":["http://zotero.org/users/3776105/items/VPU9GYRA"],"itemData":{"id":5856,"type":"webpage","abstract":"South Dakota COVID-19 Coronavirus update by county with statistics and graphs: total and new cases, deaths per day, current active cases, recoveries, historical data, trends, projections, and timeline.","language":"en","title":"South Dakota Coronavirus: 76,142 Cases and 849 Deaths (COVID-19 ) - Worldometer","title-short":"South Dakota Coronavirus","URL":"https://www.worldometers.info/coronavirus/usa/south-dakota/","accessed":{"date-parts":[["2020",11,26]]}}}],"schema":"https://github.com/citation-style-language/schema/raw/master/csl-citation.json"} </w:instrText>
            </w:r>
            <w:r>
              <w:rPr>
                <w:rFonts w:eastAsia="Times New Roman"/>
                <w:i/>
                <w:iCs/>
                <w:color w:val="000000"/>
                <w:sz w:val="22"/>
                <w:szCs w:val="22"/>
              </w:rPr>
              <w:fldChar w:fldCharType="separate"/>
            </w:r>
            <w:r w:rsidR="00B25CE3">
              <w:rPr>
                <w:color w:val="000000"/>
                <w:sz w:val="22"/>
              </w:rPr>
              <w:t>[1]</w:t>
            </w:r>
            <w:r>
              <w:rPr>
                <w:rFonts w:eastAsia="Times New Roman"/>
                <w:i/>
                <w:iCs/>
                <w:color w:val="000000"/>
                <w:sz w:val="22"/>
                <w:szCs w:val="22"/>
              </w:rPr>
              <w:fldChar w:fldCharType="end"/>
            </w:r>
          </w:p>
        </w:tc>
      </w:tr>
      <w:tr w:rsidR="00C57D01" w:rsidRPr="00833637" w14:paraId="515FAAB7"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1DA3BC91"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(2)</w:t>
            </w:r>
          </w:p>
        </w:tc>
        <w:tc>
          <w:tcPr>
            <w:tcW w:w="3674" w:type="dxa"/>
            <w:tcBorders>
              <w:top w:val="nil"/>
              <w:left w:val="nil"/>
              <w:bottom w:val="single" w:sz="4" w:space="0" w:color="auto"/>
              <w:right w:val="single" w:sz="4" w:space="0" w:color="auto"/>
            </w:tcBorders>
            <w:shd w:val="clear" w:color="auto" w:fill="auto"/>
            <w:noWrap/>
            <w:vAlign w:val="bottom"/>
            <w:hideMark/>
          </w:tcPr>
          <w:p w14:paraId="2D85D953"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population</w:t>
            </w:r>
          </w:p>
        </w:tc>
        <w:tc>
          <w:tcPr>
            <w:tcW w:w="1800" w:type="dxa"/>
            <w:tcBorders>
              <w:top w:val="nil"/>
              <w:left w:val="nil"/>
              <w:bottom w:val="single" w:sz="4" w:space="0" w:color="auto"/>
              <w:right w:val="single" w:sz="4" w:space="0" w:color="auto"/>
            </w:tcBorders>
            <w:shd w:val="clear" w:color="auto" w:fill="auto"/>
            <w:noWrap/>
            <w:vAlign w:val="bottom"/>
            <w:hideMark/>
          </w:tcPr>
          <w:p w14:paraId="02EF060B" w14:textId="77777777" w:rsidR="00C57D01" w:rsidRPr="00833637" w:rsidRDefault="00C57D01" w:rsidP="00945402">
            <w:pPr>
              <w:jc w:val="right"/>
              <w:rPr>
                <w:rFonts w:eastAsia="Times New Roman"/>
                <w:color w:val="000000"/>
                <w:sz w:val="22"/>
                <w:szCs w:val="22"/>
              </w:rPr>
            </w:pPr>
            <w:r>
              <w:rPr>
                <w:color w:val="000000"/>
                <w:sz w:val="22"/>
                <w:szCs w:val="22"/>
              </w:rPr>
              <w:t xml:space="preserve">                   903,027 </w:t>
            </w:r>
          </w:p>
        </w:tc>
        <w:tc>
          <w:tcPr>
            <w:tcW w:w="2970" w:type="dxa"/>
            <w:tcBorders>
              <w:top w:val="nil"/>
              <w:left w:val="nil"/>
              <w:bottom w:val="single" w:sz="4" w:space="0" w:color="auto"/>
              <w:right w:val="single" w:sz="4" w:space="0" w:color="auto"/>
            </w:tcBorders>
            <w:shd w:val="clear" w:color="auto" w:fill="auto"/>
            <w:noWrap/>
            <w:vAlign w:val="bottom"/>
            <w:hideMark/>
          </w:tcPr>
          <w:p w14:paraId="26C79303" w14:textId="77777777" w:rsidR="00C57D01" w:rsidRPr="00833637" w:rsidRDefault="00C57D01" w:rsidP="00945402">
            <w:pPr>
              <w:ind w:firstLineChars="200" w:firstLine="440"/>
              <w:rPr>
                <w:rFonts w:eastAsia="Times New Roman"/>
                <w:i/>
                <w:iCs/>
                <w:color w:val="0563C1"/>
                <w:sz w:val="22"/>
                <w:szCs w:val="22"/>
                <w:u w:val="single"/>
              </w:rPr>
            </w:pPr>
            <w:r w:rsidRPr="00833637">
              <w:rPr>
                <w:rFonts w:eastAsia="Times New Roman"/>
                <w:i/>
                <w:iCs/>
                <w:color w:val="0563C1"/>
                <w:sz w:val="22"/>
                <w:szCs w:val="22"/>
                <w:u w:val="single"/>
              </w:rPr>
              <w:t> </w:t>
            </w:r>
          </w:p>
        </w:tc>
      </w:tr>
      <w:tr w:rsidR="00C57D01" w:rsidRPr="00833637" w14:paraId="5E9C7121"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5E250A0B"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(3)</w:t>
            </w:r>
          </w:p>
        </w:tc>
        <w:tc>
          <w:tcPr>
            <w:tcW w:w="3674" w:type="dxa"/>
            <w:tcBorders>
              <w:top w:val="nil"/>
              <w:left w:val="nil"/>
              <w:bottom w:val="single" w:sz="4" w:space="0" w:color="auto"/>
              <w:right w:val="single" w:sz="4" w:space="0" w:color="auto"/>
            </w:tcBorders>
            <w:shd w:val="clear" w:color="auto" w:fill="auto"/>
            <w:noWrap/>
            <w:vAlign w:val="bottom"/>
            <w:hideMark/>
          </w:tcPr>
          <w:p w14:paraId="4DFF207C"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population confirmed cases</w:t>
            </w:r>
          </w:p>
        </w:tc>
        <w:tc>
          <w:tcPr>
            <w:tcW w:w="1800" w:type="dxa"/>
            <w:tcBorders>
              <w:top w:val="nil"/>
              <w:left w:val="nil"/>
              <w:bottom w:val="single" w:sz="4" w:space="0" w:color="auto"/>
              <w:right w:val="single" w:sz="4" w:space="0" w:color="auto"/>
            </w:tcBorders>
            <w:shd w:val="clear" w:color="auto" w:fill="auto"/>
            <w:noWrap/>
            <w:vAlign w:val="bottom"/>
            <w:hideMark/>
          </w:tcPr>
          <w:p w14:paraId="4F8E22BE" w14:textId="77777777" w:rsidR="00C57D01" w:rsidRPr="00C8500C" w:rsidRDefault="00C57D01" w:rsidP="00945402">
            <w:pPr>
              <w:jc w:val="right"/>
              <w:rPr>
                <w:rFonts w:eastAsia="Times New Roman"/>
                <w:color w:val="000000"/>
                <w:sz w:val="22"/>
                <w:szCs w:val="22"/>
              </w:rPr>
            </w:pPr>
            <w:r w:rsidRPr="00C8500C">
              <w:rPr>
                <w:color w:val="000000"/>
                <w:sz w:val="22"/>
                <w:szCs w:val="22"/>
              </w:rPr>
              <w:t>2.13%</w:t>
            </w:r>
          </w:p>
        </w:tc>
        <w:tc>
          <w:tcPr>
            <w:tcW w:w="2970" w:type="dxa"/>
            <w:tcBorders>
              <w:top w:val="nil"/>
              <w:left w:val="nil"/>
              <w:bottom w:val="single" w:sz="4" w:space="0" w:color="auto"/>
              <w:right w:val="single" w:sz="4" w:space="0" w:color="auto"/>
            </w:tcBorders>
            <w:shd w:val="clear" w:color="auto" w:fill="auto"/>
            <w:noWrap/>
            <w:vAlign w:val="bottom"/>
            <w:hideMark/>
          </w:tcPr>
          <w:p w14:paraId="1AD7A9DE"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(1) / (2)</w:t>
            </w:r>
          </w:p>
        </w:tc>
      </w:tr>
      <w:tr w:rsidR="00C57D01" w:rsidRPr="00833637" w14:paraId="36E973A6"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32ACE3C5"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(4)</w:t>
            </w:r>
          </w:p>
        </w:tc>
        <w:tc>
          <w:tcPr>
            <w:tcW w:w="3674" w:type="dxa"/>
            <w:tcBorders>
              <w:top w:val="nil"/>
              <w:left w:val="nil"/>
              <w:bottom w:val="single" w:sz="4" w:space="0" w:color="auto"/>
              <w:right w:val="single" w:sz="4" w:space="0" w:color="auto"/>
            </w:tcBorders>
            <w:shd w:val="clear" w:color="auto" w:fill="auto"/>
            <w:noWrap/>
            <w:vAlign w:val="bottom"/>
            <w:hideMark/>
          </w:tcPr>
          <w:p w14:paraId="2DAABBCF"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population infected</w:t>
            </w:r>
          </w:p>
        </w:tc>
        <w:tc>
          <w:tcPr>
            <w:tcW w:w="1800" w:type="dxa"/>
            <w:tcBorders>
              <w:top w:val="nil"/>
              <w:left w:val="nil"/>
              <w:bottom w:val="single" w:sz="4" w:space="0" w:color="auto"/>
              <w:right w:val="single" w:sz="4" w:space="0" w:color="auto"/>
            </w:tcBorders>
            <w:shd w:val="clear" w:color="auto" w:fill="auto"/>
            <w:noWrap/>
            <w:vAlign w:val="bottom"/>
            <w:hideMark/>
          </w:tcPr>
          <w:p w14:paraId="09F3B35E" w14:textId="77777777" w:rsidR="00C57D01" w:rsidRPr="00833637" w:rsidRDefault="00C57D01" w:rsidP="00945402">
            <w:pPr>
              <w:jc w:val="right"/>
              <w:rPr>
                <w:rFonts w:eastAsia="Times New Roman"/>
                <w:color w:val="000000"/>
                <w:sz w:val="22"/>
                <w:szCs w:val="22"/>
              </w:rPr>
            </w:pPr>
            <w:r>
              <w:rPr>
                <w:color w:val="000000"/>
                <w:sz w:val="22"/>
                <w:szCs w:val="22"/>
              </w:rPr>
              <w:t>15.50%</w:t>
            </w:r>
          </w:p>
        </w:tc>
        <w:tc>
          <w:tcPr>
            <w:tcW w:w="2970" w:type="dxa"/>
            <w:tcBorders>
              <w:top w:val="nil"/>
              <w:left w:val="nil"/>
              <w:bottom w:val="single" w:sz="4" w:space="0" w:color="auto"/>
              <w:right w:val="single" w:sz="4" w:space="0" w:color="auto"/>
            </w:tcBorders>
            <w:shd w:val="clear" w:color="auto" w:fill="auto"/>
            <w:noWrap/>
            <w:vAlign w:val="bottom"/>
            <w:hideMark/>
          </w:tcPr>
          <w:p w14:paraId="6534D558" w14:textId="0F18FA84"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(3) x 7.22 (ratio of infections to cases) (</w:t>
            </w:r>
            <w:r>
              <w:rPr>
                <w:rFonts w:eastAsia="Times New Roman"/>
                <w:color w:val="000000"/>
                <w:sz w:val="22"/>
                <w:szCs w:val="22"/>
              </w:rPr>
              <w:t>p)</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zcQfiogt","properties":{"formattedCitation":"[2]","plainCitation":"[2]","noteIndex":0},"citationItems":[{"id":5858,"uris":["http://zotero.org/users/3776105/items/Z7W8TPWZ"],"uri":["http://zotero.org/users/3776105/items/Z7W8TPWZ"],"itemData":{"id":5858,"type":"webpage","title":"South Dakota Population 2020 (Demographics, Maps, Graphs)","URL":"https://worldpopulationreview.com/states/south-dakota-population","accessed":{"date-parts":[["2020",11,26]]}}}],"schema":"https://github.com/citation-style-language/schema/raw/master/csl-citation.json"} </w:instrText>
            </w:r>
            <w:r>
              <w:rPr>
                <w:rFonts w:eastAsia="Times New Roman"/>
                <w:i/>
                <w:iCs/>
                <w:color w:val="000000"/>
                <w:sz w:val="22"/>
                <w:szCs w:val="22"/>
              </w:rPr>
              <w:fldChar w:fldCharType="separate"/>
            </w:r>
            <w:r w:rsidR="00B25CE3">
              <w:rPr>
                <w:color w:val="000000"/>
                <w:sz w:val="22"/>
              </w:rPr>
              <w:t>[2]</w:t>
            </w:r>
            <w:r>
              <w:rPr>
                <w:rFonts w:eastAsia="Times New Roman"/>
                <w:i/>
                <w:iCs/>
                <w:color w:val="000000"/>
                <w:sz w:val="22"/>
                <w:szCs w:val="22"/>
              </w:rPr>
              <w:fldChar w:fldCharType="end"/>
            </w:r>
          </w:p>
        </w:tc>
      </w:tr>
      <w:tr w:rsidR="00C57D01" w:rsidRPr="00833637" w14:paraId="24B8B19A"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3506899D"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(5)</w:t>
            </w:r>
          </w:p>
        </w:tc>
        <w:tc>
          <w:tcPr>
            <w:tcW w:w="3674" w:type="dxa"/>
            <w:tcBorders>
              <w:top w:val="nil"/>
              <w:left w:val="nil"/>
              <w:bottom w:val="single" w:sz="4" w:space="0" w:color="auto"/>
              <w:right w:val="single" w:sz="4" w:space="0" w:color="auto"/>
            </w:tcBorders>
            <w:shd w:val="clear" w:color="auto" w:fill="auto"/>
            <w:noWrap/>
            <w:vAlign w:val="bottom"/>
            <w:hideMark/>
          </w:tcPr>
          <w:p w14:paraId="56DA0B80"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 interactions</w:t>
            </w:r>
          </w:p>
        </w:tc>
        <w:tc>
          <w:tcPr>
            <w:tcW w:w="1800" w:type="dxa"/>
            <w:tcBorders>
              <w:top w:val="nil"/>
              <w:left w:val="nil"/>
              <w:bottom w:val="single" w:sz="4" w:space="0" w:color="auto"/>
              <w:right w:val="single" w:sz="4" w:space="0" w:color="auto"/>
            </w:tcBorders>
            <w:shd w:val="clear" w:color="000000" w:fill="B4C6E7"/>
            <w:noWrap/>
            <w:vAlign w:val="bottom"/>
            <w:hideMark/>
          </w:tcPr>
          <w:p w14:paraId="05F80193" w14:textId="77777777" w:rsidR="00C57D01" w:rsidRPr="00833637" w:rsidRDefault="00C57D01" w:rsidP="00945402">
            <w:pPr>
              <w:jc w:val="right"/>
              <w:rPr>
                <w:rFonts w:eastAsia="Times New Roman"/>
                <w:color w:val="000000"/>
                <w:sz w:val="22"/>
                <w:szCs w:val="22"/>
              </w:rPr>
            </w:pPr>
            <w:r>
              <w:rPr>
                <w:color w:val="000000"/>
                <w:sz w:val="22"/>
                <w:szCs w:val="22"/>
              </w:rPr>
              <w:t>100</w:t>
            </w:r>
          </w:p>
        </w:tc>
        <w:tc>
          <w:tcPr>
            <w:tcW w:w="2970" w:type="dxa"/>
            <w:tcBorders>
              <w:top w:val="nil"/>
              <w:left w:val="nil"/>
              <w:bottom w:val="single" w:sz="4" w:space="0" w:color="auto"/>
              <w:right w:val="single" w:sz="4" w:space="0" w:color="auto"/>
            </w:tcBorders>
            <w:shd w:val="clear" w:color="auto" w:fill="auto"/>
            <w:noWrap/>
            <w:vAlign w:val="bottom"/>
            <w:hideMark/>
          </w:tcPr>
          <w:p w14:paraId="1661103D"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user-defined parameter (n)</w:t>
            </w:r>
          </w:p>
        </w:tc>
      </w:tr>
      <w:tr w:rsidR="00C57D01" w:rsidRPr="00833637" w14:paraId="68559D76"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5C8238AF"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(6)</w:t>
            </w:r>
          </w:p>
        </w:tc>
        <w:tc>
          <w:tcPr>
            <w:tcW w:w="3674" w:type="dxa"/>
            <w:tcBorders>
              <w:top w:val="nil"/>
              <w:left w:val="nil"/>
              <w:bottom w:val="single" w:sz="4" w:space="0" w:color="auto"/>
              <w:right w:val="single" w:sz="4" w:space="0" w:color="auto"/>
            </w:tcBorders>
            <w:shd w:val="clear" w:color="auto" w:fill="auto"/>
            <w:noWrap/>
            <w:vAlign w:val="bottom"/>
            <w:hideMark/>
          </w:tcPr>
          <w:p w14:paraId="0AC58651"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number of expected exposures</w:t>
            </w:r>
          </w:p>
        </w:tc>
        <w:tc>
          <w:tcPr>
            <w:tcW w:w="1800" w:type="dxa"/>
            <w:tcBorders>
              <w:top w:val="nil"/>
              <w:left w:val="nil"/>
              <w:bottom w:val="single" w:sz="4" w:space="0" w:color="auto"/>
              <w:right w:val="single" w:sz="4" w:space="0" w:color="auto"/>
            </w:tcBorders>
            <w:shd w:val="clear" w:color="auto" w:fill="auto"/>
            <w:noWrap/>
            <w:vAlign w:val="bottom"/>
            <w:hideMark/>
          </w:tcPr>
          <w:p w14:paraId="56BE84C0" w14:textId="77777777" w:rsidR="00C57D01" w:rsidRPr="00833637" w:rsidRDefault="00C57D01" w:rsidP="00945402">
            <w:pPr>
              <w:jc w:val="right"/>
              <w:rPr>
                <w:rFonts w:eastAsia="Times New Roman"/>
                <w:color w:val="000000"/>
                <w:sz w:val="22"/>
                <w:szCs w:val="22"/>
              </w:rPr>
            </w:pPr>
            <w:r>
              <w:rPr>
                <w:color w:val="000000"/>
                <w:sz w:val="22"/>
                <w:szCs w:val="22"/>
              </w:rPr>
              <w:t>15</w:t>
            </w:r>
          </w:p>
        </w:tc>
        <w:tc>
          <w:tcPr>
            <w:tcW w:w="2970" w:type="dxa"/>
            <w:tcBorders>
              <w:top w:val="nil"/>
              <w:left w:val="nil"/>
              <w:bottom w:val="single" w:sz="4" w:space="0" w:color="auto"/>
              <w:right w:val="single" w:sz="4" w:space="0" w:color="auto"/>
            </w:tcBorders>
            <w:shd w:val="clear" w:color="auto" w:fill="auto"/>
            <w:noWrap/>
            <w:vAlign w:val="bottom"/>
            <w:hideMark/>
          </w:tcPr>
          <w:p w14:paraId="65F7A3D9" w14:textId="77777777" w:rsidR="00C57D01" w:rsidRPr="00C8500C" w:rsidRDefault="00C57D01" w:rsidP="00945402">
            <w:pPr>
              <w:rPr>
                <w:rFonts w:eastAsia="Times New Roman"/>
                <w:color w:val="000000"/>
                <w:sz w:val="22"/>
                <w:szCs w:val="22"/>
              </w:rPr>
            </w:pPr>
            <w:r w:rsidRPr="00C8500C">
              <w:rPr>
                <w:rFonts w:eastAsia="Times New Roman"/>
                <w:color w:val="000000"/>
                <w:sz w:val="22"/>
                <w:szCs w:val="22"/>
              </w:rPr>
              <w:t>calculated from (4) &amp; (5)</w:t>
            </w:r>
          </w:p>
        </w:tc>
      </w:tr>
      <w:tr w:rsidR="00C57D01" w:rsidRPr="00833637" w14:paraId="1EF50383"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3786ABB5"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(7)</w:t>
            </w:r>
          </w:p>
        </w:tc>
        <w:tc>
          <w:tcPr>
            <w:tcW w:w="3674" w:type="dxa"/>
            <w:tcBorders>
              <w:top w:val="nil"/>
              <w:left w:val="nil"/>
              <w:bottom w:val="single" w:sz="4" w:space="0" w:color="auto"/>
              <w:right w:val="single" w:sz="4" w:space="0" w:color="auto"/>
            </w:tcBorders>
            <w:shd w:val="clear" w:color="auto" w:fill="auto"/>
            <w:noWrap/>
            <w:vAlign w:val="bottom"/>
            <w:hideMark/>
          </w:tcPr>
          <w:p w14:paraId="4476118D" w14:textId="77777777" w:rsidR="00C57D01" w:rsidRPr="00833637" w:rsidRDefault="00C57D01" w:rsidP="00945402">
            <w:pPr>
              <w:ind w:firstLineChars="25" w:firstLine="55"/>
              <w:rPr>
                <w:rFonts w:eastAsia="Times New Roman"/>
                <w:color w:val="000000"/>
                <w:sz w:val="22"/>
                <w:szCs w:val="22"/>
              </w:rPr>
            </w:pPr>
            <w:r w:rsidRPr="00833637">
              <w:rPr>
                <w:rFonts w:eastAsia="Times New Roman"/>
                <w:color w:val="000000"/>
                <w:sz w:val="22"/>
                <w:szCs w:val="22"/>
              </w:rPr>
              <w:t>p(infection | exposure)</w:t>
            </w:r>
          </w:p>
        </w:tc>
        <w:tc>
          <w:tcPr>
            <w:tcW w:w="1800" w:type="dxa"/>
            <w:tcBorders>
              <w:top w:val="nil"/>
              <w:left w:val="nil"/>
              <w:bottom w:val="single" w:sz="4" w:space="0" w:color="auto"/>
              <w:right w:val="single" w:sz="4" w:space="0" w:color="auto"/>
            </w:tcBorders>
            <w:shd w:val="clear" w:color="auto" w:fill="auto"/>
            <w:noWrap/>
            <w:vAlign w:val="bottom"/>
            <w:hideMark/>
          </w:tcPr>
          <w:p w14:paraId="008C1D0D" w14:textId="77777777" w:rsidR="00C57D01" w:rsidRPr="00833637" w:rsidRDefault="00C57D01" w:rsidP="00945402">
            <w:pPr>
              <w:jc w:val="right"/>
              <w:rPr>
                <w:rFonts w:eastAsia="Times New Roman"/>
                <w:color w:val="000000"/>
                <w:sz w:val="22"/>
                <w:szCs w:val="22"/>
              </w:rPr>
            </w:pPr>
            <w:r>
              <w:rPr>
                <w:color w:val="000000"/>
                <w:sz w:val="22"/>
                <w:szCs w:val="22"/>
              </w:rPr>
              <w:t>4.70%</w:t>
            </w:r>
          </w:p>
        </w:tc>
        <w:tc>
          <w:tcPr>
            <w:tcW w:w="2970" w:type="dxa"/>
            <w:tcBorders>
              <w:top w:val="nil"/>
              <w:left w:val="nil"/>
              <w:bottom w:val="single" w:sz="4" w:space="0" w:color="auto"/>
              <w:right w:val="single" w:sz="4" w:space="0" w:color="auto"/>
            </w:tcBorders>
            <w:shd w:val="clear" w:color="auto" w:fill="auto"/>
            <w:noWrap/>
            <w:vAlign w:val="bottom"/>
            <w:hideMark/>
          </w:tcPr>
          <w:p w14:paraId="1A43327F" w14:textId="20BC1A9A" w:rsidR="00C57D01" w:rsidRPr="00833637" w:rsidRDefault="00C57D01" w:rsidP="00945402">
            <w:pPr>
              <w:rPr>
                <w:rFonts w:eastAsia="Times New Roman"/>
                <w:i/>
                <w:iCs/>
                <w:color w:val="000000"/>
                <w:sz w:val="22"/>
                <w:szCs w:val="22"/>
              </w:rPr>
            </w:pPr>
            <w:r w:rsidRPr="00C8500C">
              <w:rPr>
                <w:rFonts w:eastAsia="Times New Roman"/>
                <w:color w:val="000000"/>
                <w:sz w:val="22"/>
                <w:szCs w:val="22"/>
              </w:rPr>
              <w:t>for low-risk contacts</w:t>
            </w:r>
            <w:r>
              <w:rPr>
                <w:rFonts w:eastAsia="Times New Roman"/>
                <w:i/>
                <w:iCs/>
                <w:color w:val="000000"/>
                <w:sz w:val="22"/>
                <w:szCs w:val="22"/>
              </w:rPr>
              <w:t xml:space="preserve"> </w:t>
            </w:r>
            <w:r>
              <w:rPr>
                <w:rFonts w:eastAsia="Times New Roman"/>
                <w:i/>
                <w:iCs/>
                <w:color w:val="000000"/>
                <w:sz w:val="22"/>
                <w:szCs w:val="22"/>
              </w:rPr>
              <w:fldChar w:fldCharType="begin"/>
            </w:r>
            <w:r w:rsidR="00B25CE3">
              <w:rPr>
                <w:rFonts w:eastAsia="Times New Roman"/>
                <w:i/>
                <w:iCs/>
                <w:color w:val="000000"/>
                <w:sz w:val="22"/>
                <w:szCs w:val="22"/>
              </w:rPr>
              <w:instrText xml:space="preserve"> ADDIN ZOTERO_ITEM CSL_CITATION {"citationID":"EBRtlJcy","properties":{"formattedCitation":"[3]","plainCitation":"[3]","noteIndex":0},"citationItems":[{"id":5975,"uris":["http://zotero.org/users/3776105/items/KIJISEIE"],"uri":["http://zotero.org/users/3776105/items/KIJISEIE"],"itemData":{"id":5975,"type":"article-journal","abstract":"Epidemiology in southern India\nBy August 2020, India had reported several million cases of severe acute respiratory syndrome coronavirus 2 (SARS-CoV-2), with cases tending to show a younger age distribution than has been reported in higher-income countries. Laxminarayan et al. analyzed data from the Indian states of Tamil Nadu and Andhra Pradesh, which have developed rigorous contact tracing and testing systems (see the Perspective by John and Kang). Superspreading predominated, with 5% of infected individuals accounting for 80% of cases. Enhanced transmission risk was apparent among children and young adults, who accounted for one-third of cases. Deaths were concentrated in 50- to 64-year-olds. Incidence did not change in older age groups, possibly because of effective stay-at-home orders and social welfare programs or socioeconomic status. As in other settings, however, mortality rates were associated with older age, comorbidities, and being male.\nScience, this issue p. 691; see also p. 663\nAlthough most cases of coronavirus disease 2019 (COVID-19) have occurred in low-resource countries, little is known about the epidemiology of the disease in such contexts. Data from the Indian states of Tamil Nadu and Andhra Pradesh provide a detailed view into severe acute respiratory syndrome coronavirus 2 (SARS-CoV-2) transmission pathways and mortality in a high-incidence setting. Reported cases and deaths have been concentrated in younger cohorts than would be expected from observations in higher-income countries, even after accounting for demographic differences across settings. Among 575,071 individuals exposed to 84,965 confirmed cases, infection probabilities ranged from 4.7 to 10.7% for low-risk and high-risk contact types, respectively. Same-age contacts were associated with the greatest infection risk. Case fatality ratios spanned 0.05% at ages of 5 to 17 years to 16.6% at ages of 85 years or more. Primary data from low-resource countries are urgently needed to guide control measures.\nThe epidemiology of SARS-CoV-2 in southern India shows marked differences from that observed in higher-income countries.\nThe epidemiology of SARS-CoV-2 in southern India shows marked differences from that observed in higher-income countries.","container-title":"Science","DOI":"10.1126/science.abd7672","ISSN":"0036-8075, 1095-9203","issue":"6517","language":"en","note":"publisher: American Association for the Advancement of Science\nsection: Research Article\nPMID: 33154136","page":"691-697","source":"science.sciencemag.org","title":"Epidemiology and transmission dynamics of COVID-19 in two Indian states","volume":"370","author":[{"family":"Laxminarayan","given":"Ramanan"},{"family":"Wahl","given":"Brian"},{"family":"Dudala","given":"Shankar Reddy"},{"family":"Gopal","given":"K."},{"family":"B","given":"Chandra Mohan"},{"family":"Neelima","given":"S."},{"family":"Reddy","given":"K. S. Jawahar"},{"family":"Radhakrishnan","given":"J."},{"family":"Lewnard","given":"Joseph A."}],"issued":{"date-parts":[["2020",11,6]]}}}],"schema":"https://github.com/citation-style-language/schema/raw/master/csl-citation.json"} </w:instrText>
            </w:r>
            <w:r>
              <w:rPr>
                <w:rFonts w:eastAsia="Times New Roman"/>
                <w:i/>
                <w:iCs/>
                <w:color w:val="000000"/>
                <w:sz w:val="22"/>
                <w:szCs w:val="22"/>
              </w:rPr>
              <w:fldChar w:fldCharType="separate"/>
            </w:r>
            <w:r w:rsidR="00B25CE3">
              <w:rPr>
                <w:color w:val="000000"/>
                <w:sz w:val="22"/>
              </w:rPr>
              <w:t>[3]</w:t>
            </w:r>
            <w:r>
              <w:rPr>
                <w:rFonts w:eastAsia="Times New Roman"/>
                <w:i/>
                <w:iCs/>
                <w:color w:val="000000"/>
                <w:sz w:val="22"/>
                <w:szCs w:val="22"/>
              </w:rPr>
              <w:fldChar w:fldCharType="end"/>
            </w:r>
          </w:p>
        </w:tc>
      </w:tr>
      <w:tr w:rsidR="00C57D01" w:rsidRPr="00833637" w14:paraId="661A0937"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tcPr>
          <w:p w14:paraId="3894819C" w14:textId="77777777" w:rsidR="00C57D01" w:rsidRPr="00833637" w:rsidRDefault="00C57D01" w:rsidP="00945402">
            <w:pPr>
              <w:ind w:left="-583"/>
              <w:jc w:val="center"/>
              <w:rPr>
                <w:rFonts w:eastAsia="Times New Roman"/>
                <w:color w:val="000000"/>
                <w:sz w:val="22"/>
                <w:szCs w:val="22"/>
              </w:rPr>
            </w:pPr>
            <w:r>
              <w:rPr>
                <w:rFonts w:eastAsia="Times New Roman"/>
                <w:color w:val="000000"/>
                <w:sz w:val="22"/>
                <w:szCs w:val="22"/>
              </w:rPr>
              <w:t xml:space="preserve">            (8)</w:t>
            </w:r>
          </w:p>
        </w:tc>
        <w:tc>
          <w:tcPr>
            <w:tcW w:w="3674" w:type="dxa"/>
            <w:tcBorders>
              <w:top w:val="nil"/>
              <w:left w:val="nil"/>
              <w:bottom w:val="single" w:sz="4" w:space="0" w:color="auto"/>
              <w:right w:val="single" w:sz="4" w:space="0" w:color="auto"/>
            </w:tcBorders>
            <w:shd w:val="clear" w:color="auto" w:fill="auto"/>
            <w:noWrap/>
            <w:vAlign w:val="bottom"/>
          </w:tcPr>
          <w:p w14:paraId="343D04AB" w14:textId="77777777" w:rsidR="00C57D01" w:rsidRPr="00833637" w:rsidRDefault="00C57D01" w:rsidP="00945402">
            <w:pPr>
              <w:ind w:firstLineChars="25" w:firstLine="55"/>
              <w:rPr>
                <w:rFonts w:eastAsia="Times New Roman"/>
                <w:color w:val="000000"/>
                <w:sz w:val="22"/>
                <w:szCs w:val="22"/>
              </w:rPr>
            </w:pPr>
            <w:r>
              <w:rPr>
                <w:rFonts w:eastAsia="Times New Roman"/>
                <w:color w:val="000000"/>
                <w:sz w:val="22"/>
                <w:szCs w:val="22"/>
              </w:rPr>
              <w:t>Mask reduction in risk</w:t>
            </w:r>
          </w:p>
        </w:tc>
        <w:tc>
          <w:tcPr>
            <w:tcW w:w="1800" w:type="dxa"/>
            <w:tcBorders>
              <w:top w:val="nil"/>
              <w:left w:val="nil"/>
              <w:bottom w:val="single" w:sz="4" w:space="0" w:color="auto"/>
              <w:right w:val="single" w:sz="4" w:space="0" w:color="auto"/>
            </w:tcBorders>
            <w:shd w:val="clear" w:color="auto" w:fill="auto"/>
            <w:noWrap/>
            <w:vAlign w:val="bottom"/>
          </w:tcPr>
          <w:p w14:paraId="23E8DEC0" w14:textId="77777777" w:rsidR="00C57D01" w:rsidRPr="00833637" w:rsidRDefault="00C57D01" w:rsidP="00945402">
            <w:pPr>
              <w:jc w:val="right"/>
              <w:rPr>
                <w:rFonts w:eastAsia="Times New Roman"/>
                <w:color w:val="000000"/>
                <w:sz w:val="22"/>
                <w:szCs w:val="22"/>
              </w:rPr>
            </w:pPr>
            <w:r>
              <w:rPr>
                <w:rFonts w:eastAsia="Times New Roman"/>
                <w:color w:val="000000"/>
                <w:sz w:val="22"/>
                <w:szCs w:val="22"/>
              </w:rPr>
              <w:t>85%</w:t>
            </w:r>
          </w:p>
        </w:tc>
        <w:tc>
          <w:tcPr>
            <w:tcW w:w="2970" w:type="dxa"/>
            <w:tcBorders>
              <w:top w:val="nil"/>
              <w:left w:val="nil"/>
              <w:bottom w:val="single" w:sz="4" w:space="0" w:color="auto"/>
              <w:right w:val="single" w:sz="4" w:space="0" w:color="auto"/>
            </w:tcBorders>
            <w:shd w:val="clear" w:color="auto" w:fill="auto"/>
            <w:noWrap/>
            <w:vAlign w:val="bottom"/>
          </w:tcPr>
          <w:p w14:paraId="37B6424B" w14:textId="77777777" w:rsidR="00C57D01" w:rsidRPr="00C8500C" w:rsidRDefault="00C57D01" w:rsidP="00945402">
            <w:pPr>
              <w:rPr>
                <w:rFonts w:eastAsia="Times New Roman"/>
                <w:color w:val="000000"/>
                <w:sz w:val="22"/>
                <w:szCs w:val="22"/>
              </w:rPr>
            </w:pPr>
            <w:proofErr w:type="spellStart"/>
            <w:r>
              <w:rPr>
                <w:rFonts w:eastAsia="Times New Roman"/>
                <w:color w:val="000000"/>
                <w:sz w:val="22"/>
                <w:szCs w:val="22"/>
              </w:rPr>
              <w:t>aOR</w:t>
            </w:r>
            <w:proofErr w:type="spellEnd"/>
            <w:r>
              <w:rPr>
                <w:rFonts w:eastAsia="Times New Roman"/>
                <w:color w:val="000000"/>
                <w:sz w:val="22"/>
                <w:szCs w:val="22"/>
              </w:rPr>
              <w:t xml:space="preserve"> = 0.15</w:t>
            </w:r>
          </w:p>
        </w:tc>
      </w:tr>
      <w:tr w:rsidR="00C57D01" w:rsidRPr="00833637" w14:paraId="090C7D59" w14:textId="77777777" w:rsidTr="00945402">
        <w:trPr>
          <w:trHeight w:val="261"/>
        </w:trPr>
        <w:tc>
          <w:tcPr>
            <w:tcW w:w="573" w:type="dxa"/>
            <w:tcBorders>
              <w:top w:val="nil"/>
              <w:left w:val="single" w:sz="4" w:space="0" w:color="auto"/>
              <w:bottom w:val="single" w:sz="4" w:space="0" w:color="auto"/>
              <w:right w:val="single" w:sz="4" w:space="0" w:color="auto"/>
            </w:tcBorders>
            <w:shd w:val="clear" w:color="auto" w:fill="auto"/>
            <w:noWrap/>
            <w:vAlign w:val="bottom"/>
            <w:hideMark/>
          </w:tcPr>
          <w:p w14:paraId="0FE0783F" w14:textId="77777777" w:rsidR="00C57D01" w:rsidRPr="00833637" w:rsidRDefault="00C57D01" w:rsidP="00945402">
            <w:pPr>
              <w:jc w:val="center"/>
              <w:rPr>
                <w:rFonts w:eastAsia="Times New Roman"/>
                <w:color w:val="000000"/>
                <w:sz w:val="22"/>
                <w:szCs w:val="22"/>
              </w:rPr>
            </w:pPr>
            <w:r w:rsidRPr="00833637">
              <w:rPr>
                <w:rFonts w:eastAsia="Times New Roman"/>
                <w:color w:val="000000"/>
                <w:sz w:val="22"/>
                <w:szCs w:val="22"/>
              </w:rPr>
              <w:t>(</w:t>
            </w:r>
            <w:r>
              <w:rPr>
                <w:rFonts w:eastAsia="Times New Roman"/>
                <w:color w:val="000000"/>
                <w:sz w:val="22"/>
                <w:szCs w:val="22"/>
              </w:rPr>
              <w:t>9</w:t>
            </w:r>
            <w:r w:rsidRPr="00833637">
              <w:rPr>
                <w:rFonts w:eastAsia="Times New Roman"/>
                <w:color w:val="000000"/>
                <w:sz w:val="22"/>
                <w:szCs w:val="22"/>
              </w:rPr>
              <w:t>)</w:t>
            </w:r>
          </w:p>
        </w:tc>
        <w:tc>
          <w:tcPr>
            <w:tcW w:w="3674" w:type="dxa"/>
            <w:tcBorders>
              <w:top w:val="nil"/>
              <w:left w:val="nil"/>
              <w:bottom w:val="single" w:sz="4" w:space="0" w:color="auto"/>
              <w:right w:val="single" w:sz="4" w:space="0" w:color="auto"/>
            </w:tcBorders>
            <w:shd w:val="clear" w:color="auto" w:fill="auto"/>
            <w:noWrap/>
            <w:vAlign w:val="bottom"/>
            <w:hideMark/>
          </w:tcPr>
          <w:p w14:paraId="3171C6A1" w14:textId="77777777" w:rsidR="00C57D01" w:rsidRPr="00833637" w:rsidRDefault="00C57D01" w:rsidP="00945402">
            <w:pPr>
              <w:rPr>
                <w:rFonts w:eastAsia="Times New Roman"/>
                <w:color w:val="000000"/>
                <w:sz w:val="22"/>
                <w:szCs w:val="22"/>
              </w:rPr>
            </w:pPr>
            <w:r w:rsidRPr="00833637">
              <w:rPr>
                <w:rFonts w:eastAsia="Times New Roman"/>
                <w:color w:val="000000"/>
                <w:sz w:val="22"/>
                <w:szCs w:val="22"/>
              </w:rPr>
              <w:t xml:space="preserve"> p(death| infection) for a 25-year</w:t>
            </w:r>
            <w:r>
              <w:rPr>
                <w:rFonts w:eastAsia="Times New Roman"/>
                <w:color w:val="000000"/>
                <w:sz w:val="22"/>
                <w:szCs w:val="22"/>
              </w:rPr>
              <w:t>-</w:t>
            </w:r>
            <w:r w:rsidRPr="00833637">
              <w:rPr>
                <w:rFonts w:eastAsia="Times New Roman"/>
                <w:color w:val="000000"/>
                <w:sz w:val="22"/>
                <w:szCs w:val="22"/>
              </w:rPr>
              <w:t>old</w:t>
            </w:r>
          </w:p>
        </w:tc>
        <w:tc>
          <w:tcPr>
            <w:tcW w:w="1800" w:type="dxa"/>
            <w:tcBorders>
              <w:top w:val="nil"/>
              <w:left w:val="nil"/>
              <w:bottom w:val="single" w:sz="4" w:space="0" w:color="auto"/>
              <w:right w:val="single" w:sz="4" w:space="0" w:color="auto"/>
            </w:tcBorders>
            <w:shd w:val="clear" w:color="auto" w:fill="auto"/>
            <w:noWrap/>
            <w:vAlign w:val="bottom"/>
            <w:hideMark/>
          </w:tcPr>
          <w:p w14:paraId="74DDDBBD" w14:textId="77777777" w:rsidR="00C57D01" w:rsidRPr="00833637" w:rsidRDefault="00C57D01" w:rsidP="00945402">
            <w:pPr>
              <w:jc w:val="right"/>
              <w:rPr>
                <w:rFonts w:eastAsia="Times New Roman"/>
                <w:color w:val="000000"/>
                <w:sz w:val="22"/>
                <w:szCs w:val="22"/>
              </w:rPr>
            </w:pPr>
            <w:r>
              <w:rPr>
                <w:color w:val="000000"/>
                <w:sz w:val="22"/>
                <w:szCs w:val="22"/>
              </w:rPr>
              <w:t>0.004%</w:t>
            </w:r>
          </w:p>
        </w:tc>
        <w:tc>
          <w:tcPr>
            <w:tcW w:w="2970" w:type="dxa"/>
            <w:tcBorders>
              <w:top w:val="nil"/>
              <w:left w:val="nil"/>
              <w:bottom w:val="single" w:sz="4" w:space="0" w:color="auto"/>
              <w:right w:val="single" w:sz="4" w:space="0" w:color="auto"/>
            </w:tcBorders>
            <w:shd w:val="clear" w:color="auto" w:fill="auto"/>
            <w:noWrap/>
            <w:vAlign w:val="bottom"/>
            <w:hideMark/>
          </w:tcPr>
          <w:p w14:paraId="7E43C5E9" w14:textId="77295D8B" w:rsidR="00C57D01" w:rsidRPr="00C8500C" w:rsidRDefault="000C1E68" w:rsidP="00945402">
            <w:pPr>
              <w:rPr>
                <w:rFonts w:eastAsia="Times New Roman"/>
                <w:color w:val="000000"/>
                <w:sz w:val="22"/>
                <w:szCs w:val="22"/>
              </w:rPr>
            </w:pPr>
            <w:r w:rsidRPr="00C8500C">
              <w:rPr>
                <w:rFonts w:eastAsia="Times New Roman"/>
                <w:color w:val="000000"/>
                <w:sz w:val="22"/>
                <w:szCs w:val="22"/>
              </w:rPr>
              <w:t xml:space="preserve">IFR </w:t>
            </w:r>
            <w:r>
              <w:rPr>
                <w:rFonts w:eastAsia="Times New Roman"/>
                <w:color w:val="000000"/>
                <w:sz w:val="22"/>
                <w:szCs w:val="22"/>
              </w:rPr>
              <w:fldChar w:fldCharType="begin"/>
            </w:r>
            <w:r>
              <w:rPr>
                <w:rFonts w:eastAsia="Times New Roman"/>
                <w:color w:val="000000"/>
                <w:sz w:val="22"/>
                <w:szCs w:val="22"/>
              </w:rPr>
              <w:instrText xml:space="preserve"> ADDIN ZOTERO_ITEM CSL_CITATION {"citationID":"6m9CgVna","properties":{"formattedCitation":"[5]","plainCitation":"[5]","noteIndex":0},"citationItems":[{"id":5979,"uris":["http://zotero.org/users/3776105/items/YJCH9FIA"],"uri":["http://zotero.org/users/3776105/items/YJCH9FIA"],"itemData":{"id":5979,"type":"article-journal","abstract":"Determine age-specific infection fatality rates for COVID-19 to inform public health policies and communications that help protect vulnerable age groups. Studies of COVID-19 prevalence were collected by conducting an online search of published articles, preprints, and government reports that were publicly disseminated prior to 18 September 2020. The systematic review encompassed 113 studies, of which 27 studies (covering 34 geographical locations) satisfied the inclusion criteria and were included in the meta-analysis. Age-specific IFRs were computed using the prevalence data in conjunction with reported fatalities 4 weeks after the midpoint date of the study, reflecting typical lags in fatalities and reporting. Meta-regression procedures in Stata were used to analyze the infection fatality rate (IFR) by age. Our analysis finds a exponential relationship between age and IFR for COVID-19. The estimated age-specific IFR is very low for children and younger adults (e.g., 0.002% at age 10 and 0.01% at age 25) but increases progressively to 0.4% at age 55, 1.4% at age 65, 4.6% at age 75, and 15% at age 85. Moreover, our results indicate that about 90% of the variation in population IFR across geographical locations reflects differences in the age composition of the population and the extent to which relatively vulnerable age groups were exposed to the virus. These results indicate that COVID-19 is hazardous not only for the elderly but also for middle-aged adults, for whom the infection fatality rate is two orders of magnitude greater than the annualized risk of a fatal automobile accident and far more dangerous than seasonal influenza. Moreover, the overall IFR for COVID-19 should not be viewed as a fixed parameter but as intrinsically linked to the age-specific pattern of infections. Consequently, public health measures to mitigate infections in older adults could substantially decrease total deaths.","container-title":"European Journal of Epidemiology","DOI":"10.1007/s10654-020-00698-1","ISSN":"1573-7284","journalAbbreviation":"Eur J Epidemiol","language":"en","source":"Springer Link","title":"Assessing the age specificity of infection fatality rates for COVID-19: systematic review, meta-analysis, and public policy implications","title-short":"Assessing the age specificity of infection fatality rates for COVID-19","URL":"https://doi.org/10.1007/s10654-020-00698-1","author":[{"family":"Levin","given":"Andrew T."},{"family":"Hanage","given":"William P."},{"family":"Owusu-Boaitey","given":"Nana"},{"family":"Cochran","given":"Kensington B."},{"family":"Walsh","given":"Seamus P."},{"family":"Meyerowitz-Katz","given":"Gideon"}],"accessed":{"date-parts":[["2020",12,22]]},"issued":{"date-parts":[["2020",12,8]]}}}],"schema":"https://github.com/citation-style-language/schema/raw/master/csl-citation.json"} </w:instrText>
            </w:r>
            <w:r>
              <w:rPr>
                <w:rFonts w:eastAsia="Times New Roman"/>
                <w:color w:val="000000"/>
                <w:sz w:val="22"/>
                <w:szCs w:val="22"/>
              </w:rPr>
              <w:fldChar w:fldCharType="separate"/>
            </w:r>
            <w:r>
              <w:rPr>
                <w:color w:val="000000"/>
                <w:sz w:val="22"/>
              </w:rPr>
              <w:t>[5]</w:t>
            </w:r>
            <w:r>
              <w:rPr>
                <w:rFonts w:eastAsia="Times New Roman"/>
                <w:color w:val="000000"/>
                <w:sz w:val="22"/>
                <w:szCs w:val="22"/>
              </w:rPr>
              <w:fldChar w:fldCharType="end"/>
            </w:r>
          </w:p>
        </w:tc>
      </w:tr>
      <w:tr w:rsidR="00C57D01" w:rsidRPr="00833637" w14:paraId="5DFA0A65" w14:textId="77777777" w:rsidTr="00945402">
        <w:trPr>
          <w:trHeight w:val="279"/>
        </w:trPr>
        <w:tc>
          <w:tcPr>
            <w:tcW w:w="573" w:type="dxa"/>
            <w:tcBorders>
              <w:top w:val="nil"/>
              <w:left w:val="single" w:sz="4" w:space="0" w:color="auto"/>
              <w:bottom w:val="single" w:sz="8" w:space="0" w:color="auto"/>
              <w:right w:val="single" w:sz="4" w:space="0" w:color="auto"/>
            </w:tcBorders>
            <w:shd w:val="clear" w:color="auto" w:fill="auto"/>
            <w:noWrap/>
            <w:vAlign w:val="bottom"/>
            <w:hideMark/>
          </w:tcPr>
          <w:p w14:paraId="3F3182FE" w14:textId="77777777" w:rsidR="00C57D01" w:rsidRPr="00833637" w:rsidRDefault="00C57D01" w:rsidP="00945402">
            <w:pPr>
              <w:rPr>
                <w:rFonts w:eastAsia="Times New Roman"/>
                <w:color w:val="000000"/>
                <w:sz w:val="22"/>
                <w:szCs w:val="22"/>
              </w:rPr>
            </w:pPr>
            <w:r w:rsidRPr="00833637">
              <w:rPr>
                <w:rFonts w:eastAsia="Times New Roman"/>
                <w:color w:val="000000"/>
                <w:sz w:val="22"/>
                <w:szCs w:val="22"/>
              </w:rPr>
              <w:t>(</w:t>
            </w:r>
            <w:r>
              <w:rPr>
                <w:rFonts w:eastAsia="Times New Roman"/>
                <w:color w:val="000000"/>
                <w:sz w:val="22"/>
                <w:szCs w:val="22"/>
              </w:rPr>
              <w:t>10</w:t>
            </w:r>
            <w:r w:rsidRPr="00833637">
              <w:rPr>
                <w:rFonts w:eastAsia="Times New Roman"/>
                <w:color w:val="000000"/>
                <w:sz w:val="22"/>
                <w:szCs w:val="22"/>
              </w:rPr>
              <w:t>)</w:t>
            </w:r>
          </w:p>
        </w:tc>
        <w:tc>
          <w:tcPr>
            <w:tcW w:w="3674" w:type="dxa"/>
            <w:tcBorders>
              <w:top w:val="nil"/>
              <w:left w:val="nil"/>
              <w:bottom w:val="single" w:sz="8" w:space="0" w:color="auto"/>
              <w:right w:val="single" w:sz="4" w:space="0" w:color="auto"/>
            </w:tcBorders>
            <w:shd w:val="clear" w:color="auto" w:fill="auto"/>
            <w:noWrap/>
            <w:vAlign w:val="bottom"/>
            <w:hideMark/>
          </w:tcPr>
          <w:p w14:paraId="697B24EF" w14:textId="77777777" w:rsidR="00C57D01" w:rsidRPr="00833637" w:rsidRDefault="00C57D01" w:rsidP="00945402">
            <w:pPr>
              <w:rPr>
                <w:rFonts w:eastAsia="Times New Roman"/>
                <w:color w:val="000000"/>
                <w:sz w:val="22"/>
                <w:szCs w:val="22"/>
              </w:rPr>
            </w:pPr>
            <w:r>
              <w:rPr>
                <w:rFonts w:eastAsia="Times New Roman"/>
                <w:color w:val="000000"/>
                <w:sz w:val="22"/>
                <w:szCs w:val="22"/>
              </w:rPr>
              <w:t xml:space="preserve"> </w:t>
            </w:r>
            <w:r w:rsidRPr="00833637">
              <w:rPr>
                <w:rFonts w:eastAsia="Times New Roman"/>
                <w:color w:val="000000"/>
                <w:sz w:val="22"/>
                <w:szCs w:val="22"/>
              </w:rPr>
              <w:t>p(death| infection) for a 75-year</w:t>
            </w:r>
            <w:r>
              <w:rPr>
                <w:rFonts w:eastAsia="Times New Roman"/>
                <w:color w:val="000000"/>
                <w:sz w:val="22"/>
                <w:szCs w:val="22"/>
              </w:rPr>
              <w:t>-</w:t>
            </w:r>
            <w:r w:rsidRPr="00833637">
              <w:rPr>
                <w:rFonts w:eastAsia="Times New Roman"/>
                <w:color w:val="000000"/>
                <w:sz w:val="22"/>
                <w:szCs w:val="22"/>
              </w:rPr>
              <w:t>old</w:t>
            </w:r>
          </w:p>
        </w:tc>
        <w:tc>
          <w:tcPr>
            <w:tcW w:w="1800" w:type="dxa"/>
            <w:tcBorders>
              <w:top w:val="nil"/>
              <w:left w:val="nil"/>
              <w:bottom w:val="single" w:sz="8" w:space="0" w:color="auto"/>
              <w:right w:val="single" w:sz="4" w:space="0" w:color="auto"/>
            </w:tcBorders>
            <w:shd w:val="clear" w:color="auto" w:fill="auto"/>
            <w:noWrap/>
            <w:vAlign w:val="bottom"/>
            <w:hideMark/>
          </w:tcPr>
          <w:p w14:paraId="3444DCC9" w14:textId="77777777" w:rsidR="00C57D01" w:rsidRPr="00833637" w:rsidRDefault="00C57D01" w:rsidP="00945402">
            <w:pPr>
              <w:jc w:val="right"/>
              <w:rPr>
                <w:rFonts w:eastAsia="Times New Roman"/>
                <w:color w:val="000000"/>
                <w:sz w:val="22"/>
                <w:szCs w:val="22"/>
              </w:rPr>
            </w:pPr>
            <w:r>
              <w:rPr>
                <w:color w:val="000000"/>
                <w:sz w:val="22"/>
                <w:szCs w:val="22"/>
              </w:rPr>
              <w:t>8.50%</w:t>
            </w:r>
          </w:p>
        </w:tc>
        <w:tc>
          <w:tcPr>
            <w:tcW w:w="2970" w:type="dxa"/>
            <w:tcBorders>
              <w:top w:val="nil"/>
              <w:left w:val="nil"/>
              <w:bottom w:val="single" w:sz="8" w:space="0" w:color="auto"/>
              <w:right w:val="single" w:sz="4" w:space="0" w:color="auto"/>
            </w:tcBorders>
            <w:shd w:val="clear" w:color="auto" w:fill="auto"/>
            <w:noWrap/>
            <w:vAlign w:val="bottom"/>
            <w:hideMark/>
          </w:tcPr>
          <w:p w14:paraId="50D6DD71" w14:textId="7508A8A7" w:rsidR="00C57D01" w:rsidRPr="00C8500C" w:rsidRDefault="000C1E68" w:rsidP="00945402">
            <w:pPr>
              <w:rPr>
                <w:rFonts w:eastAsia="Times New Roman"/>
                <w:color w:val="000000"/>
                <w:sz w:val="22"/>
                <w:szCs w:val="22"/>
              </w:rPr>
            </w:pPr>
            <w:r w:rsidRPr="00C8500C">
              <w:rPr>
                <w:rFonts w:eastAsia="Times New Roman"/>
                <w:color w:val="000000"/>
                <w:sz w:val="22"/>
                <w:szCs w:val="22"/>
              </w:rPr>
              <w:t xml:space="preserve">IFR </w:t>
            </w:r>
            <w:r>
              <w:rPr>
                <w:rFonts w:eastAsia="Times New Roman"/>
                <w:color w:val="000000"/>
                <w:sz w:val="22"/>
                <w:szCs w:val="22"/>
              </w:rPr>
              <w:fldChar w:fldCharType="begin"/>
            </w:r>
            <w:r>
              <w:rPr>
                <w:rFonts w:eastAsia="Times New Roman"/>
                <w:color w:val="000000"/>
                <w:sz w:val="22"/>
                <w:szCs w:val="22"/>
              </w:rPr>
              <w:instrText xml:space="preserve"> ADDIN ZOTERO_ITEM CSL_CITATION {"citationID":"xtFbdnpU","properties":{"formattedCitation":"[5]","plainCitation":"[5]","noteIndex":0},"citationItems":[{"id":5979,"uris":["http://zotero.org/users/3776105/items/YJCH9FIA"],"uri":["http://zotero.org/users/3776105/items/YJCH9FIA"],"itemData":{"id":5979,"type":"article-journal","abstract":"Determine age-specific infection fatality rates for COVID-19 to inform public health policies and communications that help protect vulnerable age groups. Studies of COVID-19 prevalence were collected by conducting an online search of published articles, preprints, and government reports that were publicly disseminated prior to 18 September 2020. The systematic review encompassed 113 studies, of which 27 studies (covering 34 geographical locations) satisfied the inclusion criteria and were included in the meta-analysis. Age-specific IFRs were computed using the prevalence data in conjunction with reported fatalities 4 weeks after the midpoint date of the study, reflecting typical lags in fatalities and reporting. Meta-regression procedures in Stata were used to analyze the infection fatality rate (IFR) by age. Our analysis finds a exponential relationship between age and IFR for COVID-19. The estimated age-specific IFR is very low for children and younger adults (e.g., 0.002% at age 10 and 0.01% at age 25) but increases progressively to 0.4% at age 55, 1.4% at age 65, 4.6% at age 75, and 15% at age 85. Moreover, our results indicate that about 90% of the variation in population IFR across geographical locations reflects differences in the age composition of the population and the extent to which relatively vulnerable age groups were exposed to the virus. These results indicate that COVID-19 is hazardous not only for the elderly but also for middle-aged adults, for whom the infection fatality rate is two orders of magnitude greater than the annualized risk of a fatal automobile accident and far more dangerous than seasonal influenza. Moreover, the overall IFR for COVID-19 should not be viewed as a fixed parameter but as intrinsically linked to the age-specific pattern of infections. Consequently, public health measures to mitigate infections in older adults could substantially decrease total deaths.","container-title":"European Journal of Epidemiology","DOI":"10.1007/s10654-020-00698-1","ISSN":"1573-7284","journalAbbreviation":"Eur J Epidemiol","language":"en","source":"Springer Link","title":"Assessing the age specificity of infection fatality rates for COVID-19: systematic review, meta-analysis, and public policy implications","title-short":"Assessing the age specificity of infection fatality rates for COVID-19","URL":"https://doi.org/10.1007/s10654-020-00698-1","author":[{"family":"Levin","given":"Andrew T."},{"family":"Hanage","given":"William P."},{"family":"Owusu-Boaitey","given":"Nana"},{"family":"Cochran","given":"Kensington B."},{"family":"Walsh","given":"Seamus P."},{"family":"Meyerowitz-Katz","given":"Gideon"}],"accessed":{"date-parts":[["2020",12,22]]},"issued":{"date-parts":[["2020",12,8]]}}}],"schema":"https://github.com/citation-style-language/schema/raw/master/csl-citation.json"} </w:instrText>
            </w:r>
            <w:r>
              <w:rPr>
                <w:rFonts w:eastAsia="Times New Roman"/>
                <w:color w:val="000000"/>
                <w:sz w:val="22"/>
                <w:szCs w:val="22"/>
              </w:rPr>
              <w:fldChar w:fldCharType="separate"/>
            </w:r>
            <w:r>
              <w:rPr>
                <w:color w:val="000000"/>
                <w:sz w:val="22"/>
              </w:rPr>
              <w:t>[5]</w:t>
            </w:r>
            <w:r>
              <w:rPr>
                <w:rFonts w:eastAsia="Times New Roman"/>
                <w:color w:val="000000"/>
                <w:sz w:val="22"/>
                <w:szCs w:val="22"/>
              </w:rPr>
              <w:fldChar w:fldCharType="end"/>
            </w:r>
          </w:p>
        </w:tc>
      </w:tr>
      <w:tr w:rsidR="00C57D01" w:rsidRPr="00833637" w14:paraId="6F20F836" w14:textId="77777777" w:rsidTr="00945402">
        <w:trPr>
          <w:trHeight w:val="261"/>
        </w:trPr>
        <w:tc>
          <w:tcPr>
            <w:tcW w:w="573" w:type="dxa"/>
            <w:tcBorders>
              <w:top w:val="nil"/>
              <w:left w:val="nil"/>
              <w:bottom w:val="nil"/>
              <w:right w:val="nil"/>
            </w:tcBorders>
            <w:shd w:val="clear" w:color="auto" w:fill="auto"/>
            <w:noWrap/>
            <w:vAlign w:val="bottom"/>
            <w:hideMark/>
          </w:tcPr>
          <w:p w14:paraId="5C6DB66E" w14:textId="77777777" w:rsidR="00C57D01" w:rsidRPr="00833637" w:rsidRDefault="00C57D01" w:rsidP="00945402">
            <w:pPr>
              <w:ind w:firstLineChars="200" w:firstLine="440"/>
              <w:rPr>
                <w:rFonts w:eastAsia="Times New Roman"/>
                <w:i/>
                <w:iCs/>
                <w:color w:val="000000"/>
                <w:sz w:val="22"/>
                <w:szCs w:val="22"/>
              </w:rPr>
            </w:pPr>
          </w:p>
        </w:tc>
        <w:tc>
          <w:tcPr>
            <w:tcW w:w="3674" w:type="dxa"/>
            <w:tcBorders>
              <w:top w:val="nil"/>
              <w:left w:val="nil"/>
              <w:bottom w:val="nil"/>
              <w:right w:val="nil"/>
            </w:tcBorders>
            <w:shd w:val="clear" w:color="auto" w:fill="auto"/>
            <w:noWrap/>
            <w:vAlign w:val="bottom"/>
            <w:hideMark/>
          </w:tcPr>
          <w:p w14:paraId="77FC8FD2" w14:textId="77777777" w:rsidR="00C57D01" w:rsidRPr="00833637" w:rsidRDefault="00C57D01" w:rsidP="00945402">
            <w:pPr>
              <w:ind w:firstLine="235"/>
              <w:rPr>
                <w:rFonts w:ascii="Times New Roman" w:eastAsia="Times New Roman" w:hAnsi="Times New Roman" w:cs="Times New Roman"/>
                <w:sz w:val="20"/>
                <w:szCs w:val="20"/>
              </w:rPr>
            </w:pPr>
          </w:p>
        </w:tc>
        <w:tc>
          <w:tcPr>
            <w:tcW w:w="1800" w:type="dxa"/>
            <w:tcBorders>
              <w:top w:val="nil"/>
              <w:left w:val="nil"/>
              <w:bottom w:val="nil"/>
              <w:right w:val="nil"/>
            </w:tcBorders>
            <w:shd w:val="clear" w:color="auto" w:fill="auto"/>
            <w:noWrap/>
            <w:vAlign w:val="bottom"/>
            <w:hideMark/>
          </w:tcPr>
          <w:p w14:paraId="2F2660C7" w14:textId="77777777" w:rsidR="00C57D01" w:rsidRDefault="00C57D01" w:rsidP="00945402">
            <w:pPr>
              <w:rPr>
                <w:rFonts w:eastAsia="Times New Roman"/>
                <w:b/>
                <w:bCs/>
                <w:color w:val="000000"/>
                <w:sz w:val="22"/>
                <w:szCs w:val="22"/>
              </w:rPr>
            </w:pPr>
          </w:p>
          <w:p w14:paraId="6E5B84F0" w14:textId="77777777" w:rsidR="00C57D01" w:rsidRPr="00833637" w:rsidRDefault="00C57D01" w:rsidP="00945402">
            <w:pPr>
              <w:jc w:val="right"/>
              <w:rPr>
                <w:rFonts w:ascii="Times New Roman" w:eastAsia="Times New Roman" w:hAnsi="Times New Roman" w:cs="Times New Roman"/>
                <w:sz w:val="20"/>
                <w:szCs w:val="20"/>
              </w:rPr>
            </w:pPr>
            <w:r w:rsidRPr="00833637">
              <w:rPr>
                <w:rFonts w:eastAsia="Times New Roman"/>
                <w:b/>
                <w:bCs/>
                <w:color w:val="000000"/>
                <w:sz w:val="22"/>
                <w:szCs w:val="22"/>
              </w:rPr>
              <w:t>Risk-weighted cost of infection</w:t>
            </w:r>
            <w:r>
              <w:rPr>
                <w:rFonts w:eastAsia="Times New Roman"/>
                <w:b/>
                <w:bCs/>
                <w:color w:val="000000"/>
                <w:sz w:val="22"/>
                <w:szCs w:val="22"/>
              </w:rPr>
              <w:t xml:space="preserve"> (mortality risk)</w:t>
            </w:r>
          </w:p>
        </w:tc>
        <w:tc>
          <w:tcPr>
            <w:tcW w:w="2970" w:type="dxa"/>
            <w:tcBorders>
              <w:top w:val="nil"/>
              <w:left w:val="nil"/>
              <w:bottom w:val="nil"/>
              <w:right w:val="nil"/>
            </w:tcBorders>
            <w:shd w:val="clear" w:color="auto" w:fill="auto"/>
            <w:noWrap/>
            <w:vAlign w:val="bottom"/>
            <w:hideMark/>
          </w:tcPr>
          <w:p w14:paraId="4807D270" w14:textId="77777777" w:rsidR="00C57D01" w:rsidRPr="00833637" w:rsidRDefault="00C57D01" w:rsidP="00945402">
            <w:pPr>
              <w:rPr>
                <w:rFonts w:eastAsia="Times New Roman"/>
                <w:b/>
                <w:bCs/>
                <w:color w:val="000000"/>
                <w:sz w:val="22"/>
                <w:szCs w:val="22"/>
              </w:rPr>
            </w:pPr>
            <w:r>
              <w:rPr>
                <w:rFonts w:eastAsia="Times New Roman"/>
                <w:b/>
                <w:bCs/>
                <w:color w:val="000000"/>
                <w:sz w:val="22"/>
                <w:szCs w:val="22"/>
              </w:rPr>
              <w:t>Risk-</w:t>
            </w:r>
            <w:r w:rsidRPr="00833637">
              <w:rPr>
                <w:rFonts w:eastAsia="Times New Roman"/>
                <w:b/>
                <w:bCs/>
                <w:color w:val="000000"/>
                <w:sz w:val="22"/>
                <w:szCs w:val="22"/>
              </w:rPr>
              <w:t>equivalent drunk driving distance (mi)</w:t>
            </w:r>
          </w:p>
        </w:tc>
      </w:tr>
      <w:tr w:rsidR="00C57D01" w:rsidRPr="00833637" w14:paraId="1C3577CC" w14:textId="77777777" w:rsidTr="00945402">
        <w:trPr>
          <w:trHeight w:val="261"/>
        </w:trPr>
        <w:tc>
          <w:tcPr>
            <w:tcW w:w="573" w:type="dxa"/>
            <w:tcBorders>
              <w:top w:val="nil"/>
              <w:left w:val="nil"/>
              <w:bottom w:val="nil"/>
              <w:right w:val="nil"/>
            </w:tcBorders>
            <w:shd w:val="clear" w:color="auto" w:fill="auto"/>
            <w:noWrap/>
            <w:vAlign w:val="bottom"/>
            <w:hideMark/>
          </w:tcPr>
          <w:p w14:paraId="5EDF348A" w14:textId="77777777" w:rsidR="00C57D01" w:rsidRPr="00833637" w:rsidRDefault="00C57D01" w:rsidP="00945402">
            <w:pPr>
              <w:ind w:firstLineChars="100" w:firstLine="221"/>
              <w:rPr>
                <w:rFonts w:eastAsia="Times New Roman"/>
                <w:b/>
                <w:bCs/>
                <w:color w:val="000000"/>
                <w:sz w:val="22"/>
                <w:szCs w:val="22"/>
              </w:rPr>
            </w:pPr>
          </w:p>
        </w:tc>
        <w:tc>
          <w:tcPr>
            <w:tcW w:w="3674" w:type="dxa"/>
            <w:tcBorders>
              <w:top w:val="nil"/>
              <w:left w:val="nil"/>
              <w:bottom w:val="nil"/>
              <w:right w:val="nil"/>
            </w:tcBorders>
            <w:shd w:val="clear" w:color="auto" w:fill="auto"/>
            <w:noWrap/>
            <w:vAlign w:val="center"/>
            <w:hideMark/>
          </w:tcPr>
          <w:p w14:paraId="33EF74F7" w14:textId="77777777" w:rsidR="00C57D01" w:rsidRPr="00833637" w:rsidRDefault="00C57D01" w:rsidP="00945402">
            <w:pPr>
              <w:rPr>
                <w:rFonts w:eastAsia="Times New Roman"/>
                <w:b/>
                <w:bCs/>
                <w:color w:val="000000"/>
                <w:sz w:val="22"/>
                <w:szCs w:val="22"/>
              </w:rPr>
            </w:pPr>
            <w:r>
              <w:rPr>
                <w:rFonts w:eastAsia="Times New Roman"/>
                <w:b/>
                <w:bCs/>
                <w:color w:val="000000"/>
                <w:sz w:val="22"/>
                <w:szCs w:val="22"/>
              </w:rPr>
              <w:t>F</w:t>
            </w:r>
            <w:r w:rsidRPr="00833637">
              <w:rPr>
                <w:rFonts w:eastAsia="Times New Roman"/>
                <w:b/>
                <w:bCs/>
                <w:color w:val="000000"/>
                <w:sz w:val="22"/>
                <w:szCs w:val="22"/>
              </w:rPr>
              <w:t>or a 25-year</w:t>
            </w:r>
            <w:r>
              <w:rPr>
                <w:rFonts w:eastAsia="Times New Roman"/>
                <w:b/>
                <w:bCs/>
                <w:color w:val="000000"/>
                <w:sz w:val="22"/>
                <w:szCs w:val="22"/>
              </w:rPr>
              <w:t>-</w:t>
            </w:r>
            <w:r w:rsidRPr="00833637">
              <w:rPr>
                <w:rFonts w:eastAsia="Times New Roman"/>
                <w:b/>
                <w:bCs/>
                <w:color w:val="000000"/>
                <w:sz w:val="22"/>
                <w:szCs w:val="22"/>
              </w:rPr>
              <w:t>old</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F19D" w14:textId="77777777" w:rsidR="00C57D01" w:rsidRDefault="00C57D01" w:rsidP="00945402">
            <w:pPr>
              <w:jc w:val="center"/>
              <w:rPr>
                <w:rFonts w:eastAsia="Times New Roman"/>
                <w:color w:val="000000"/>
                <w:sz w:val="22"/>
                <w:szCs w:val="22"/>
              </w:rPr>
            </w:pPr>
            <w:r>
              <w:rPr>
                <w:color w:val="000000"/>
                <w:sz w:val="22"/>
                <w:szCs w:val="22"/>
              </w:rPr>
              <w:t>0.0025%</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7C4FCB41" w14:textId="43A12C8A" w:rsidR="00C57D01" w:rsidRDefault="00C57D01" w:rsidP="00945402">
            <w:pPr>
              <w:jc w:val="center"/>
              <w:rPr>
                <w:rFonts w:eastAsia="Times New Roman"/>
                <w:color w:val="000000"/>
                <w:sz w:val="22"/>
                <w:szCs w:val="22"/>
              </w:rPr>
            </w:pPr>
            <w:r>
              <w:rPr>
                <w:color w:val="000000"/>
                <w:sz w:val="22"/>
                <w:szCs w:val="22"/>
              </w:rPr>
              <w:t xml:space="preserve">12,301 </w:t>
            </w:r>
            <w:r>
              <w:rPr>
                <w:color w:val="000000"/>
                <w:sz w:val="22"/>
                <w:szCs w:val="22"/>
              </w:rPr>
              <w:fldChar w:fldCharType="begin"/>
            </w:r>
            <w:r w:rsidR="000C1E68">
              <w:rPr>
                <w:color w:val="000000"/>
                <w:sz w:val="22"/>
                <w:szCs w:val="22"/>
              </w:rPr>
              <w:instrText xml:space="preserve"> ADDIN ZOTERO_ITEM CSL_CITATION {"citationID":"u6cBrXjd","properties":{"formattedCitation":"[6]","plainCitation":"[6]","noteIndex":0},"citationItems":[{"id":5865,"uris":["http://zotero.org/users/3776105/items/7S46CWWD"],"uri":["http://zotero.org/users/3776105/items/7S46CWWD"],"itemData":{"id":5865,"type":"article","publisher":"Department of Transportation","title":"2018 Data: Alcohol-Impaired Driving. NHTSA's Center for Statistics and Analysis.","URL":"https://crashstats.nhtsa.dot.gov/Api/Public/ViewPublication/812864","accessed":{"date-parts":[["2020",12,22]]}}}],"schema":"https://github.com/citation-style-language/schema/raw/master/csl-citation.json"} </w:instrText>
            </w:r>
            <w:r>
              <w:rPr>
                <w:color w:val="000000"/>
                <w:sz w:val="22"/>
                <w:szCs w:val="22"/>
              </w:rPr>
              <w:fldChar w:fldCharType="separate"/>
            </w:r>
            <w:r w:rsidR="000C1E68">
              <w:rPr>
                <w:color w:val="000000"/>
                <w:sz w:val="22"/>
              </w:rPr>
              <w:t>[6]</w:t>
            </w:r>
            <w:r>
              <w:rPr>
                <w:color w:val="000000"/>
                <w:sz w:val="22"/>
                <w:szCs w:val="22"/>
              </w:rPr>
              <w:fldChar w:fldCharType="end"/>
            </w:r>
          </w:p>
        </w:tc>
      </w:tr>
      <w:tr w:rsidR="00C57D01" w:rsidRPr="00833637" w14:paraId="36D47BC3" w14:textId="77777777" w:rsidTr="00945402">
        <w:trPr>
          <w:trHeight w:val="59"/>
        </w:trPr>
        <w:tc>
          <w:tcPr>
            <w:tcW w:w="573" w:type="dxa"/>
            <w:tcBorders>
              <w:top w:val="nil"/>
              <w:left w:val="nil"/>
              <w:bottom w:val="nil"/>
              <w:right w:val="nil"/>
            </w:tcBorders>
            <w:shd w:val="clear" w:color="auto" w:fill="auto"/>
            <w:noWrap/>
            <w:vAlign w:val="bottom"/>
            <w:hideMark/>
          </w:tcPr>
          <w:p w14:paraId="4A419843" w14:textId="77777777" w:rsidR="00C57D01" w:rsidRPr="00833637" w:rsidRDefault="00C57D01" w:rsidP="00945402">
            <w:pPr>
              <w:rPr>
                <w:rFonts w:eastAsia="Times New Roman"/>
                <w:color w:val="000000"/>
                <w:sz w:val="22"/>
                <w:szCs w:val="22"/>
              </w:rPr>
            </w:pPr>
          </w:p>
        </w:tc>
        <w:tc>
          <w:tcPr>
            <w:tcW w:w="3674" w:type="dxa"/>
            <w:tcBorders>
              <w:top w:val="nil"/>
              <w:left w:val="nil"/>
              <w:bottom w:val="nil"/>
              <w:right w:val="nil"/>
            </w:tcBorders>
            <w:shd w:val="clear" w:color="auto" w:fill="auto"/>
            <w:noWrap/>
            <w:vAlign w:val="center"/>
            <w:hideMark/>
          </w:tcPr>
          <w:p w14:paraId="517B234C" w14:textId="77777777" w:rsidR="00C57D01" w:rsidRPr="00833637" w:rsidRDefault="00C57D01" w:rsidP="00945402">
            <w:pPr>
              <w:rPr>
                <w:rFonts w:eastAsia="Times New Roman"/>
                <w:b/>
                <w:bCs/>
                <w:color w:val="000000"/>
                <w:sz w:val="22"/>
                <w:szCs w:val="22"/>
              </w:rPr>
            </w:pPr>
            <w:r>
              <w:rPr>
                <w:rFonts w:eastAsia="Times New Roman"/>
                <w:b/>
                <w:bCs/>
                <w:color w:val="000000"/>
                <w:sz w:val="22"/>
                <w:szCs w:val="22"/>
              </w:rPr>
              <w:t>For a 75-year-old</w:t>
            </w:r>
          </w:p>
        </w:tc>
        <w:tc>
          <w:tcPr>
            <w:tcW w:w="1800" w:type="dxa"/>
            <w:tcBorders>
              <w:top w:val="nil"/>
              <w:left w:val="single" w:sz="4" w:space="0" w:color="auto"/>
              <w:bottom w:val="single" w:sz="4" w:space="0" w:color="auto"/>
              <w:right w:val="single" w:sz="4" w:space="0" w:color="auto"/>
            </w:tcBorders>
            <w:shd w:val="clear" w:color="auto" w:fill="auto"/>
            <w:noWrap/>
            <w:vAlign w:val="bottom"/>
            <w:hideMark/>
          </w:tcPr>
          <w:p w14:paraId="7C05F618" w14:textId="77777777" w:rsidR="00C57D01" w:rsidRDefault="00C57D01" w:rsidP="00945402">
            <w:pPr>
              <w:jc w:val="center"/>
              <w:rPr>
                <w:color w:val="000000"/>
                <w:sz w:val="22"/>
                <w:szCs w:val="22"/>
              </w:rPr>
            </w:pPr>
            <w:r>
              <w:rPr>
                <w:color w:val="000000"/>
                <w:sz w:val="22"/>
                <w:szCs w:val="22"/>
              </w:rPr>
              <w:t>5.26%</w:t>
            </w:r>
          </w:p>
        </w:tc>
        <w:tc>
          <w:tcPr>
            <w:tcW w:w="2970" w:type="dxa"/>
            <w:tcBorders>
              <w:top w:val="nil"/>
              <w:left w:val="nil"/>
              <w:bottom w:val="single" w:sz="4" w:space="0" w:color="auto"/>
              <w:right w:val="single" w:sz="4" w:space="0" w:color="auto"/>
            </w:tcBorders>
            <w:shd w:val="clear" w:color="auto" w:fill="auto"/>
            <w:noWrap/>
            <w:vAlign w:val="bottom"/>
            <w:hideMark/>
          </w:tcPr>
          <w:p w14:paraId="0BBEEE9C" w14:textId="0D371496" w:rsidR="00C57D01" w:rsidRDefault="00C57D01" w:rsidP="00945402">
            <w:pPr>
              <w:jc w:val="center"/>
              <w:rPr>
                <w:color w:val="000000"/>
                <w:sz w:val="22"/>
                <w:szCs w:val="22"/>
              </w:rPr>
            </w:pPr>
            <w:r>
              <w:rPr>
                <w:color w:val="000000"/>
                <w:sz w:val="22"/>
                <w:szCs w:val="22"/>
              </w:rPr>
              <w:t xml:space="preserve">26,139,277 </w:t>
            </w:r>
            <w:r>
              <w:rPr>
                <w:color w:val="000000"/>
                <w:sz w:val="22"/>
                <w:szCs w:val="22"/>
              </w:rPr>
              <w:fldChar w:fldCharType="begin"/>
            </w:r>
            <w:r w:rsidR="000C1E68">
              <w:rPr>
                <w:color w:val="000000"/>
                <w:sz w:val="22"/>
                <w:szCs w:val="22"/>
              </w:rPr>
              <w:instrText xml:space="preserve"> ADDIN ZOTERO_ITEM CSL_CITATION {"citationID":"KW92FmWL","properties":{"formattedCitation":"[6]","plainCitation":"[6]","noteIndex":0},"citationItems":[{"id":5865,"uris":["http://zotero.org/users/3776105/items/7S46CWWD"],"uri":["http://zotero.org/users/3776105/items/7S46CWWD"],"itemData":{"id":5865,"type":"article","publisher":"Department of Transportation","title":"2018 Data: Alcohol-Impaired Driving. NHTSA's Center for Statistics and Analysis.","URL":"https://crashstats.nhtsa.dot.gov/Api/Public/ViewPublication/812864","accessed":{"date-parts":[["2020",12,22]]}}}],"schema":"https://github.com/citation-style-language/schema/raw/master/csl-citation.json"} </w:instrText>
            </w:r>
            <w:r>
              <w:rPr>
                <w:color w:val="000000"/>
                <w:sz w:val="22"/>
                <w:szCs w:val="22"/>
              </w:rPr>
              <w:fldChar w:fldCharType="separate"/>
            </w:r>
            <w:r w:rsidR="000C1E68">
              <w:rPr>
                <w:color w:val="000000"/>
                <w:sz w:val="22"/>
              </w:rPr>
              <w:t>[6]</w:t>
            </w:r>
            <w:r>
              <w:rPr>
                <w:color w:val="000000"/>
                <w:sz w:val="22"/>
                <w:szCs w:val="22"/>
              </w:rPr>
              <w:fldChar w:fldCharType="end"/>
            </w:r>
          </w:p>
        </w:tc>
      </w:tr>
    </w:tbl>
    <w:p w14:paraId="221D75E4" w14:textId="5F40758E" w:rsidR="00B25CE3" w:rsidRDefault="00B25CE3" w:rsidP="00C57D01">
      <w:r>
        <w:t>The risk of infection for a 25-year-old resulting from a decision to not wear a mask during interactions with 100 people is equivalent to driving about one year (12,000 miles) while intoxicated.</w:t>
      </w:r>
    </w:p>
    <w:p w14:paraId="109CBE4F" w14:textId="6AB691A6" w:rsidR="00C57D01" w:rsidRDefault="00C57D01" w:rsidP="00C57D01"/>
    <w:p w14:paraId="683DA7B3" w14:textId="6BEEEEF9" w:rsidR="00C57D01" w:rsidRPr="00A35B07" w:rsidRDefault="00B25CE3" w:rsidP="00C57D01">
      <w:r w:rsidRPr="00FB5B7E">
        <w:rPr>
          <w:noProof/>
        </w:rPr>
        <w:lastRenderedPageBreak/>
        <mc:AlternateContent>
          <mc:Choice Requires="wps">
            <w:drawing>
              <wp:anchor distT="0" distB="0" distL="114300" distR="114300" simplePos="0" relativeHeight="251663360" behindDoc="0" locked="0" layoutInCell="1" allowOverlap="1" wp14:anchorId="60C68602" wp14:editId="04258845">
                <wp:simplePos x="0" y="0"/>
                <wp:positionH relativeFrom="column">
                  <wp:posOffset>-104001</wp:posOffset>
                </wp:positionH>
                <wp:positionV relativeFrom="paragraph">
                  <wp:posOffset>2026440</wp:posOffset>
                </wp:positionV>
                <wp:extent cx="348615" cy="30162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348615" cy="301625"/>
                        </a:xfrm>
                        <a:prstGeom prst="rect">
                          <a:avLst/>
                        </a:prstGeom>
                        <a:noFill/>
                        <a:ln w="6350">
                          <a:noFill/>
                        </a:ln>
                      </wps:spPr>
                      <wps:txbx>
                        <w:txbxContent>
                          <w:p w14:paraId="6AD69A49" w14:textId="77777777" w:rsidR="00FB5B7E" w:rsidRDefault="00FB5B7E" w:rsidP="00FB5B7E">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C68602" id="_x0000_t202" coordsize="21600,21600" o:spt="202" path="m,l,21600r21600,l21600,xe">
                <v:stroke joinstyle="miter"/>
                <v:path gradientshapeok="t" o:connecttype="rect"/>
              </v:shapetype>
              <v:shape id="Text Box 20" o:spid="_x0000_s1026" type="#_x0000_t202" style="position:absolute;margin-left:-8.2pt;margin-top:159.55pt;width:27.45pt;height:23.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" filled="f" stroked="f" strokeweight=".5pt">
                <v:textbox>
                  <w:txbxContent>
                    <w:p w14:paraId="6AD69A49" w14:textId="77777777" w:rsidR="00FB5B7E" w:rsidRDefault="00FB5B7E" w:rsidP="00FB5B7E">
                      <w:r>
                        <w:t>C</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6319CBFF" wp14:editId="33929764">
                <wp:simplePos x="0" y="0"/>
                <wp:positionH relativeFrom="column">
                  <wp:posOffset>2874490</wp:posOffset>
                </wp:positionH>
                <wp:positionV relativeFrom="paragraph">
                  <wp:posOffset>-104140</wp:posOffset>
                </wp:positionV>
                <wp:extent cx="348792" cy="263866"/>
                <wp:effectExtent l="0" t="0" r="0" b="0"/>
                <wp:wrapNone/>
                <wp:docPr id="19" name="Text Box 19"/>
                <wp:cNvGraphicFramePr/>
                <a:graphic xmlns:a="http://schemas.openxmlformats.org/drawingml/2006/main">
                  <a:graphicData uri="http://schemas.microsoft.com/office/word/2010/wordprocessingShape">
                    <wps:wsp>
                      <wps:cNvSpPr txBox="1"/>
                      <wps:spPr>
                        <a:xfrm>
                          <a:off x="0" y="0"/>
                          <a:ext cx="348792" cy="263866"/>
                        </a:xfrm>
                        <a:prstGeom prst="rect">
                          <a:avLst/>
                        </a:prstGeom>
                        <a:noFill/>
                        <a:ln w="6350">
                          <a:noFill/>
                        </a:ln>
                      </wps:spPr>
                      <wps:txbx>
                        <w:txbxContent>
                          <w:p w14:paraId="1915CB26" w14:textId="77777777" w:rsidR="00FB5B7E" w:rsidRDefault="00FB5B7E" w:rsidP="00FB5B7E">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19CBFF" id="Text Box 19" o:spid="_x0000_s1027" type="#_x0000_t202" style="position:absolute;margin-left:226.35pt;margin-top:-8.2pt;width:27.45pt;height:20.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" filled="f" stroked="f" strokeweight=".5pt">
                <v:textbox>
                  <w:txbxContent>
                    <w:p w14:paraId="1915CB26" w14:textId="77777777" w:rsidR="00FB5B7E" w:rsidRDefault="00FB5B7E" w:rsidP="00FB5B7E">
                      <w:r>
                        <w:t>B</w:t>
                      </w:r>
                    </w:p>
                  </w:txbxContent>
                </v:textbox>
              </v:shape>
            </w:pict>
          </mc:Fallback>
        </mc:AlternateContent>
      </w:r>
      <w:r w:rsidRPr="00FB5B7E">
        <w:rPr>
          <w:noProof/>
        </w:rPr>
        <mc:AlternateContent>
          <mc:Choice Requires="wps">
            <w:drawing>
              <wp:anchor distT="0" distB="0" distL="114300" distR="114300" simplePos="0" relativeHeight="251664384" behindDoc="0" locked="0" layoutInCell="1" allowOverlap="1" wp14:anchorId="6A6E83EE" wp14:editId="61F74846">
                <wp:simplePos x="0" y="0"/>
                <wp:positionH relativeFrom="column">
                  <wp:posOffset>2877170</wp:posOffset>
                </wp:positionH>
                <wp:positionV relativeFrom="paragraph">
                  <wp:posOffset>1990508</wp:posOffset>
                </wp:positionV>
                <wp:extent cx="348792" cy="263866"/>
                <wp:effectExtent l="0" t="0" r="0" b="0"/>
                <wp:wrapNone/>
                <wp:docPr id="21" name="Text Box 21"/>
                <wp:cNvGraphicFramePr/>
                <a:graphic xmlns:a="http://schemas.openxmlformats.org/drawingml/2006/main">
                  <a:graphicData uri="http://schemas.microsoft.com/office/word/2010/wordprocessingShape">
                    <wps:wsp>
                      <wps:cNvSpPr txBox="1"/>
                      <wps:spPr>
                        <a:xfrm>
                          <a:off x="0" y="0"/>
                          <a:ext cx="348792" cy="263866"/>
                        </a:xfrm>
                        <a:prstGeom prst="rect">
                          <a:avLst/>
                        </a:prstGeom>
                        <a:noFill/>
                        <a:ln w="6350">
                          <a:noFill/>
                        </a:ln>
                      </wps:spPr>
                      <wps:txbx>
                        <w:txbxContent>
                          <w:p w14:paraId="34DA50ED" w14:textId="77777777" w:rsidR="00FB5B7E" w:rsidRDefault="00FB5B7E" w:rsidP="00FB5B7E">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6E83EE" id="Text Box 21" o:spid="_x0000_s1028" type="#_x0000_t202" style="position:absolute;margin-left:226.55pt;margin-top:156.75pt;width:27.45pt;height:2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" filled="f" stroked="f" strokeweight=".5pt">
                <v:textbox>
                  <w:txbxContent>
                    <w:p w14:paraId="34DA50ED" w14:textId="77777777" w:rsidR="00FB5B7E" w:rsidRDefault="00FB5B7E" w:rsidP="00FB5B7E">
                      <w:r>
                        <w:t>D</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757E72F" wp14:editId="4BEA3A83">
                <wp:simplePos x="0" y="0"/>
                <wp:positionH relativeFrom="column">
                  <wp:posOffset>-106680</wp:posOffset>
                </wp:positionH>
                <wp:positionV relativeFrom="paragraph">
                  <wp:posOffset>-95250</wp:posOffset>
                </wp:positionV>
                <wp:extent cx="348615" cy="30162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48615" cy="301625"/>
                        </a:xfrm>
                        <a:prstGeom prst="rect">
                          <a:avLst/>
                        </a:prstGeom>
                        <a:noFill/>
                        <a:ln w="6350">
                          <a:noFill/>
                        </a:ln>
                      </wps:spPr>
                      <wps:txbx>
                        <w:txbxContent>
                          <w:p w14:paraId="673F4B00" w14:textId="77777777" w:rsidR="00FB5B7E" w:rsidRDefault="00FB5B7E">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57E72F" id="Text Box 16" o:spid="_x0000_s1029" type="#_x0000_t202" style="position:absolute;margin-left:-8.4pt;margin-top:-7.5pt;width:27.45pt;height:23.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" filled="f" stroked="f" strokeweight=".5pt">
                <v:textbox>
                  <w:txbxContent>
                    <w:p w14:paraId="673F4B00" w14:textId="77777777" w:rsidR="00FB5B7E" w:rsidRDefault="00FB5B7E">
                      <w:r>
                        <w:t>A</w:t>
                      </w:r>
                    </w:p>
                  </w:txbxContent>
                </v:textbox>
              </v:shape>
            </w:pict>
          </mc:Fallback>
        </mc:AlternateContent>
      </w:r>
      <w:r w:rsidR="00C57D01" w:rsidRPr="00A35B07">
        <w:rPr>
          <w:b/>
          <w:noProof/>
        </w:rPr>
        <w:drawing>
          <wp:inline distT="0" distB="0" distL="0" distR="0" wp14:anchorId="17AEBDE7" wp14:editId="25B7F381">
            <wp:extent cx="5943600" cy="4178935"/>
            <wp:effectExtent l="0" t="0" r="0" b="0"/>
            <wp:docPr id="13" name="Picture 13"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chart, line chart&#10;&#10;Description automatically generated"/>
                    <pic:cNvPicPr/>
                  </pic:nvPicPr>
                  <pic:blipFill>
                    <a:blip r:embed="rId4"/>
                    <a:stretch>
                      <a:fillRect/>
                    </a:stretch>
                  </pic:blipFill>
                  <pic:spPr>
                    <a:xfrm>
                      <a:off x="0" y="0"/>
                      <a:ext cx="5943600" cy="4178935"/>
                    </a:xfrm>
                    <a:prstGeom prst="rect">
                      <a:avLst/>
                    </a:prstGeom>
                  </pic:spPr>
                </pic:pic>
              </a:graphicData>
            </a:graphic>
          </wp:inline>
        </w:drawing>
      </w:r>
    </w:p>
    <w:p w14:paraId="2057776A" w14:textId="77777777" w:rsidR="00C57D01" w:rsidRDefault="00C57D01" w:rsidP="00C57D01">
      <w:pPr>
        <w:rPr>
          <w:b/>
        </w:rPr>
      </w:pPr>
    </w:p>
    <w:p w14:paraId="568CDADF" w14:textId="77777777" w:rsidR="00C57D01" w:rsidRDefault="00C57D01" w:rsidP="00C57D01">
      <w:pPr>
        <w:rPr>
          <w:b/>
        </w:rPr>
      </w:pPr>
    </w:p>
    <w:p w14:paraId="74B59425" w14:textId="77777777" w:rsidR="00C57D01" w:rsidRDefault="00C57D01" w:rsidP="00C57D01">
      <w:r>
        <w:rPr>
          <w:b/>
        </w:rPr>
        <w:t>Figure S1:</w:t>
      </w:r>
      <w:r>
        <w:t xml:space="preserve"> The marginal cost of noncompliance is highest as complete suppression is approached. Millions of additional yearly US cases per 1% reduction in compliance, as a function of the fraction of noncompliant individuals in the population for an intervention that is (A) 50% effective, (B) 70% effective, (C) 90% effective, or (D) 95% effective.</w:t>
      </w:r>
      <w:r>
        <w:br w:type="page"/>
      </w:r>
    </w:p>
    <w:p w14:paraId="7501484C" w14:textId="77777777" w:rsidR="00C57D01" w:rsidRDefault="00C57D01" w:rsidP="00C57D01">
      <w:r w:rsidRPr="00A35B07">
        <w:rPr>
          <w:noProof/>
        </w:rPr>
        <w:lastRenderedPageBreak/>
        <w:drawing>
          <wp:inline distT="0" distB="0" distL="0" distR="0" wp14:anchorId="1D055244" wp14:editId="7031A93B">
            <wp:extent cx="5943600" cy="2225675"/>
            <wp:effectExtent l="0" t="0" r="0" b="0"/>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pic:nvPicPr>
                  <pic:blipFill>
                    <a:blip r:embed="rId5"/>
                    <a:stretch>
                      <a:fillRect/>
                    </a:stretch>
                  </pic:blipFill>
                  <pic:spPr>
                    <a:xfrm>
                      <a:off x="0" y="0"/>
                      <a:ext cx="5943600" cy="2225675"/>
                    </a:xfrm>
                    <a:prstGeom prst="rect">
                      <a:avLst/>
                    </a:prstGeom>
                  </pic:spPr>
                </pic:pic>
              </a:graphicData>
            </a:graphic>
          </wp:inline>
        </w:drawing>
      </w:r>
    </w:p>
    <w:p w14:paraId="4D3F8B5D" w14:textId="77777777" w:rsidR="00C57D01" w:rsidRDefault="00C57D01" w:rsidP="00C57D01"/>
    <w:p w14:paraId="19D23D16" w14:textId="77777777" w:rsidR="00C57D01" w:rsidRPr="00DC3E48" w:rsidRDefault="00C57D01" w:rsidP="00C57D01">
      <w:r>
        <w:rPr>
          <w:b/>
        </w:rPr>
        <w:t>Figure S2:</w:t>
      </w:r>
      <w:r>
        <w:t xml:space="preserve"> Attainability of complete suppression depends on R</w:t>
      </w:r>
      <w:r w:rsidRPr="00114CA8">
        <w:rPr>
          <w:vertAlign w:val="subscript"/>
        </w:rPr>
        <w:t>0</w:t>
      </w:r>
      <w:r>
        <w:t xml:space="preserve"> and effectiveness of the intervention. Yearly US cases as a function of compliance for hypothetical scenarios in which R</w:t>
      </w:r>
      <w:r>
        <w:rPr>
          <w:vertAlign w:val="subscript"/>
        </w:rPr>
        <w:t>0</w:t>
      </w:r>
      <w:r>
        <w:t xml:space="preserve"> = 2, 3, 4 or 5.7. </w:t>
      </w:r>
    </w:p>
    <w:p w14:paraId="317E47B7" w14:textId="77777777" w:rsidR="00C57D01" w:rsidRDefault="00C57D01" w:rsidP="00C57D01"/>
    <w:p w14:paraId="5491FF56" w14:textId="77777777" w:rsidR="00C57D01" w:rsidRDefault="00C57D01" w:rsidP="00C57D01"/>
    <w:p w14:paraId="7FFD677F" w14:textId="77777777" w:rsidR="00C57D01" w:rsidRDefault="00C57D01" w:rsidP="00C57D01"/>
    <w:p w14:paraId="37786A80" w14:textId="77777777" w:rsidR="00C57D01" w:rsidRDefault="00C57D01" w:rsidP="00C57D01"/>
    <w:p w14:paraId="219A719D" w14:textId="77777777" w:rsidR="00C57D01" w:rsidRDefault="00C57D01" w:rsidP="00C57D01">
      <w:r w:rsidRPr="00C92EEA">
        <w:rPr>
          <w:noProof/>
        </w:rPr>
        <w:drawing>
          <wp:inline distT="0" distB="0" distL="0" distR="0" wp14:anchorId="3C3634EB" wp14:editId="0698F836">
            <wp:extent cx="5943600" cy="2030095"/>
            <wp:effectExtent l="0" t="0" r="0" b="1905"/>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pic:nvPicPr>
                  <pic:blipFill>
                    <a:blip r:embed="rId6"/>
                    <a:stretch>
                      <a:fillRect/>
                    </a:stretch>
                  </pic:blipFill>
                  <pic:spPr>
                    <a:xfrm>
                      <a:off x="0" y="0"/>
                      <a:ext cx="5943600" cy="2030095"/>
                    </a:xfrm>
                    <a:prstGeom prst="rect">
                      <a:avLst/>
                    </a:prstGeom>
                  </pic:spPr>
                </pic:pic>
              </a:graphicData>
            </a:graphic>
          </wp:inline>
        </w:drawing>
      </w:r>
    </w:p>
    <w:p w14:paraId="3D0567F5" w14:textId="77777777" w:rsidR="00C57D01" w:rsidRDefault="00C57D01" w:rsidP="00C57D01"/>
    <w:p w14:paraId="1371E644" w14:textId="77777777" w:rsidR="00C57D01" w:rsidRDefault="00C57D01" w:rsidP="00C57D01">
      <w:r>
        <w:rPr>
          <w:b/>
        </w:rPr>
        <w:t>Figure S3:</w:t>
      </w:r>
      <w:r>
        <w:t xml:space="preserve"> Duration of natural immunity impacts yearly disease burden but not the compliance threshold for complete suppression. Yearly predicted US cases at steady-state under a range of assumptions about the duration of natural immunity.</w:t>
      </w:r>
    </w:p>
    <w:p w14:paraId="139B8464" w14:textId="77777777" w:rsidR="00C57D01" w:rsidRDefault="00C57D01" w:rsidP="00C57D01">
      <w:r>
        <w:br w:type="page"/>
      </w:r>
    </w:p>
    <w:p w14:paraId="5032A0F5" w14:textId="77777777" w:rsidR="00C57D01" w:rsidRDefault="00C57D01" w:rsidP="00C57D01">
      <w:r>
        <w:rPr>
          <w:noProof/>
        </w:rPr>
        <w:lastRenderedPageBreak/>
        <w:drawing>
          <wp:inline distT="0" distB="0" distL="0" distR="0" wp14:anchorId="3576E51E" wp14:editId="2D407DE6">
            <wp:extent cx="5943600" cy="3705225"/>
            <wp:effectExtent l="0" t="0" r="0" b="0"/>
            <wp:docPr id="11" name="image2.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2.png" descr="Chart, scatter chart&#10;&#10;Description automatically generated"/>
                    <pic:cNvPicPr preferRelativeResize="0"/>
                  </pic:nvPicPr>
                  <pic:blipFill>
                    <a:blip r:embed="rId7"/>
                    <a:srcRect/>
                    <a:stretch>
                      <a:fillRect/>
                    </a:stretch>
                  </pic:blipFill>
                  <pic:spPr>
                    <a:xfrm>
                      <a:off x="0" y="0"/>
                      <a:ext cx="5943600" cy="3705225"/>
                    </a:xfrm>
                    <a:prstGeom prst="rect">
                      <a:avLst/>
                    </a:prstGeom>
                    <a:ln/>
                  </pic:spPr>
                </pic:pic>
              </a:graphicData>
            </a:graphic>
          </wp:inline>
        </w:drawing>
      </w:r>
    </w:p>
    <w:p w14:paraId="4155AC6C" w14:textId="77777777" w:rsidR="00C57D01" w:rsidRDefault="00C57D01" w:rsidP="00C57D01"/>
    <w:p w14:paraId="0EC487C6" w14:textId="77777777" w:rsidR="00C57D01" w:rsidRDefault="00C57D01" w:rsidP="00C57D01">
      <w:r>
        <w:rPr>
          <w:noProof/>
        </w:rPr>
        <w:drawing>
          <wp:inline distT="0" distB="0" distL="0" distR="0" wp14:anchorId="1E2ABDC5" wp14:editId="68BEE08B">
            <wp:extent cx="1724025" cy="476250"/>
            <wp:effectExtent l="0" t="0" r="0" b="0"/>
            <wp:docPr id="10" name="image6.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6.png" descr="Table&#10;&#10;Description automatically generated"/>
                    <pic:cNvPicPr preferRelativeResize="0"/>
                  </pic:nvPicPr>
                  <pic:blipFill>
                    <a:blip r:embed="rId8"/>
                    <a:srcRect/>
                    <a:stretch>
                      <a:fillRect/>
                    </a:stretch>
                  </pic:blipFill>
                  <pic:spPr>
                    <a:xfrm>
                      <a:off x="0" y="0"/>
                      <a:ext cx="1724025" cy="476250"/>
                    </a:xfrm>
                    <a:prstGeom prst="rect">
                      <a:avLst/>
                    </a:prstGeom>
                    <a:ln/>
                  </pic:spPr>
                </pic:pic>
              </a:graphicData>
            </a:graphic>
          </wp:inline>
        </w:drawing>
      </w:r>
    </w:p>
    <w:p w14:paraId="249976EC" w14:textId="77777777" w:rsidR="00C57D01" w:rsidRDefault="00C57D01" w:rsidP="00C57D01"/>
    <w:p w14:paraId="2E73F3DB" w14:textId="0989AD0A" w:rsidR="00C57D01" w:rsidRDefault="00C57D01" w:rsidP="00C57D01">
      <w:r w:rsidRPr="00523248">
        <w:rPr>
          <w:b/>
          <w:bCs/>
        </w:rPr>
        <w:t xml:space="preserve">Figure S4: </w:t>
      </w:r>
      <w:r>
        <w:t xml:space="preserve">Association between loose-tight score and COVID-19 cases per capita </w:t>
      </w:r>
      <w:r>
        <w:fldChar w:fldCharType="begin"/>
      </w:r>
      <w:r w:rsidR="000C1E68">
        <w:instrText xml:space="preserve"> ADDIN ZOTERO_ITEM CSL_CITATION {"citationID":"fXfBeKzd","properties":{"formattedCitation":"[7]","plainCitation":"[7]","noteIndex":0},"citationItems":[{"id":5838,"uris":["http://zotero.org/users/3776105/items/I2VRE7RT"],"uri":["http://zotero.org/users/3776105/items/I2VRE7RT"],"itemData":{"id":5838,"type":"article-journal","abstract":"With data from 33 nations, we illustrate the differences between cultures that are tight (have many strong norms and a low tolerance of deviant behavior) versus loose (have weak social norms and a high tolerance of deviant behavior). Tightness-looseness is part of a complex, loosely integrated multilevel system that comprises distal ecological and historical threats (e.g., high population density, resource scarcity, a history of territorial conflict, and disease and environmental threats), broad versus narrow socialization in societal institutions (e.g., autocracy, media regulations), the strength of everyday recurring situations, and micro-level psychological affordances (e.g., prevention self-guides, high regulatory strength, need for structure). This research advances knowledge that can foster cross-cultural understanding in a world of increasing global interdependence and has implications for modeling cultural change.","container-title":"Science (New York, N.Y.)","DOI":"10.1126/science.1197754","ISSN":"1095-9203","issue":"6033","journalAbbreviation":"Science","language":"eng","note":"PMID: 21617077","page":"1100-1104","source":"PubMed","title":"Differences between tight and loose cultures: a 33-nation study","title-short":"Differences between tight and loose cultures","volume":"332","author":[{"family":"Gelfand","given":"Michele J."},{"family":"Raver","given":"Jana L."},{"family":"Nishii","given":"Lisa"},{"family":"Leslie","given":"Lisa M."},{"family":"Lun","given":"Janetta"},{"family":"Lim","given":"Beng Chong"},{"family":"Duan","given":"Lili"},{"family":"Almaliach","given":"Assaf"},{"family":"Ang","given":"Soon"},{"family":"Arnadottir","given":"Jakobina"},{"family":"Aycan","given":"Zeynep"},{"family":"Boehnke","given":"Klaus"},{"family":"Boski","given":"Pawel"},{"family":"Cabecinhas","given":"Rosa"},{"family":"Chan","given":"Darius"},{"family":"Chhokar","given":"Jagdeep"},{"family":"D'Amato","given":"Alessia"},{"family":"Ferrer","given":"Montse"},{"family":"Fischlmayr","given":"Iris C."},{"family":"Fischer","given":"Ronald"},{"family":"Fülöp","given":"Marta"},{"family":"Georgas","given":"James"},{"family":"Kashima","given":"Emiko S."},{"family":"Kashima","given":"Yoshishima"},{"family":"Kim","given":"Kibum"},{"family":"Lempereur","given":"Alain"},{"family":"Marquez","given":"Patricia"},{"family":"Othman","given":"Rozhan"},{"family":"Overlaet","given":"Bert"},{"family":"Panagiotopoulou","given":"Penny"},{"family":"Peltzer","given":"Karl"},{"family":"Perez-Florizno","given":"Lorena R."},{"family":"Ponomarenko","given":"Larisa"},{"family":"Realo","given":"Anu"},{"family":"Schei","given":"Vidar"},{"family":"Schmitt","given":"Manfred"},{"family":"Smith","given":"Peter B."},{"family":"Soomro","given":"Nazar"},{"family":"Szabo","given":"Erna"},{"family":"Taveesin","given":"Nalinee"},{"family":"Toyama","given":"Midori"},{"family":"Van de Vliert","given":"Evert"},{"family":"Vohra","given":"Naharika"},{"family":"Ward","given":"Colleen"},{"family":"Yamaguchi","given":"Susumu"}],"issued":{"date-parts":[["2011",5,27]]}}}],"schema":"https://github.com/citation-style-language/schema/raw/master/csl-citation.json"} </w:instrText>
      </w:r>
      <w:r>
        <w:fldChar w:fldCharType="separate"/>
      </w:r>
      <w:r w:rsidR="000C1E68">
        <w:t>[7]</w:t>
      </w:r>
      <w:r>
        <w:fldChar w:fldCharType="end"/>
      </w:r>
      <w:r>
        <w:t xml:space="preserve">. There is a weak association with loose-tight cultures and total case count observed based on reported case counts as of October. </w:t>
      </w:r>
    </w:p>
    <w:p w14:paraId="315EF446" w14:textId="77777777" w:rsidR="00C57D01" w:rsidRDefault="00C57D01" w:rsidP="00C57D01"/>
    <w:p w14:paraId="22CDE17F" w14:textId="77777777" w:rsidR="00C57D01" w:rsidRDefault="00C57D01" w:rsidP="00C57D01"/>
    <w:p w14:paraId="4F50843A" w14:textId="77777777" w:rsidR="00C57D01" w:rsidRDefault="00C57D01" w:rsidP="00C57D01"/>
    <w:p w14:paraId="5EED7CA9" w14:textId="77777777" w:rsidR="00C57D01" w:rsidRDefault="00C57D01" w:rsidP="00C57D01"/>
    <w:p w14:paraId="57D44632" w14:textId="77777777" w:rsidR="00C57D01" w:rsidRDefault="00C57D01" w:rsidP="00C57D01"/>
    <w:p w14:paraId="0595CE19" w14:textId="77777777" w:rsidR="00C57D01" w:rsidRDefault="00C57D01" w:rsidP="00C57D01"/>
    <w:p w14:paraId="5F105811" w14:textId="77777777" w:rsidR="00C57D01" w:rsidRDefault="00C57D01" w:rsidP="00C57D01"/>
    <w:p w14:paraId="110F6CDB" w14:textId="77777777" w:rsidR="00C57D01" w:rsidRDefault="00C57D01" w:rsidP="00C57D01"/>
    <w:p w14:paraId="17CFB785" w14:textId="77777777" w:rsidR="00C57D01" w:rsidRDefault="00C57D01" w:rsidP="00C57D01"/>
    <w:p w14:paraId="16C0385E" w14:textId="77777777" w:rsidR="00C57D01" w:rsidRDefault="00C57D01" w:rsidP="00C57D01"/>
    <w:p w14:paraId="673F39D3" w14:textId="77777777" w:rsidR="00C57D01" w:rsidRDefault="00C57D01" w:rsidP="00C57D01"/>
    <w:p w14:paraId="7F9A3F05" w14:textId="77777777" w:rsidR="00C57D01" w:rsidRDefault="00FB5B7E" w:rsidP="00C57D01">
      <w:r w:rsidRPr="00FB5B7E">
        <w:rPr>
          <w:noProof/>
        </w:rPr>
        <w:lastRenderedPageBreak/>
        <mc:AlternateContent>
          <mc:Choice Requires="wps">
            <w:drawing>
              <wp:anchor distT="0" distB="0" distL="114300" distR="114300" simplePos="0" relativeHeight="251671552" behindDoc="0" locked="0" layoutInCell="1" allowOverlap="1" wp14:anchorId="7DB91440" wp14:editId="404AE0B3">
                <wp:simplePos x="0" y="0"/>
                <wp:positionH relativeFrom="column">
                  <wp:posOffset>0</wp:posOffset>
                </wp:positionH>
                <wp:positionV relativeFrom="paragraph">
                  <wp:posOffset>1252855</wp:posOffset>
                </wp:positionV>
                <wp:extent cx="282575" cy="25400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82575" cy="254000"/>
                        </a:xfrm>
                        <a:prstGeom prst="rect">
                          <a:avLst/>
                        </a:prstGeom>
                        <a:noFill/>
                        <a:ln w="6350">
                          <a:noFill/>
                        </a:ln>
                      </wps:spPr>
                      <wps:txbx>
                        <w:txbxContent>
                          <w:p w14:paraId="0446162B" w14:textId="77777777" w:rsidR="00FB5B7E" w:rsidRDefault="00FB5B7E" w:rsidP="00FB5B7E">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B91440" id="Text Box 32" o:spid="_x0000_s1030" type="#_x0000_t202" style="position:absolute;margin-left:0;margin-top:98.65pt;width:22.25pt;height:20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" filled="f" stroked="f" strokeweight=".5pt">
                <v:textbox>
                  <w:txbxContent>
                    <w:p w14:paraId="0446162B" w14:textId="77777777" w:rsidR="00FB5B7E" w:rsidRDefault="00FB5B7E" w:rsidP="00FB5B7E">
                      <w:r>
                        <w:t>D</w:t>
                      </w:r>
                    </w:p>
                  </w:txbxContent>
                </v:textbox>
              </v:shape>
            </w:pict>
          </mc:Fallback>
        </mc:AlternateContent>
      </w:r>
      <w:r w:rsidRPr="00FB5B7E">
        <w:rPr>
          <w:noProof/>
        </w:rPr>
        <mc:AlternateContent>
          <mc:Choice Requires="wps">
            <w:drawing>
              <wp:anchor distT="0" distB="0" distL="114300" distR="114300" simplePos="0" relativeHeight="251672576" behindDoc="0" locked="0" layoutInCell="1" allowOverlap="1" wp14:anchorId="139AF9D6" wp14:editId="3B6F532B">
                <wp:simplePos x="0" y="0"/>
                <wp:positionH relativeFrom="column">
                  <wp:posOffset>2197735</wp:posOffset>
                </wp:positionH>
                <wp:positionV relativeFrom="paragraph">
                  <wp:posOffset>1254760</wp:posOffset>
                </wp:positionV>
                <wp:extent cx="282575" cy="25400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82575" cy="254000"/>
                        </a:xfrm>
                        <a:prstGeom prst="rect">
                          <a:avLst/>
                        </a:prstGeom>
                        <a:noFill/>
                        <a:ln w="6350">
                          <a:noFill/>
                        </a:ln>
                      </wps:spPr>
                      <wps:txbx>
                        <w:txbxContent>
                          <w:p w14:paraId="4AF0B174" w14:textId="77777777" w:rsidR="00FB5B7E" w:rsidRDefault="00FB5B7E" w:rsidP="00FB5B7E">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9AF9D6" id="Text Box 33" o:spid="_x0000_s1031" type="#_x0000_t202" style="position:absolute;margin-left:173.05pt;margin-top:98.8pt;width:22.25pt;height:20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" filled="f" stroked="f" strokeweight=".5pt">
                <v:textbox>
                  <w:txbxContent>
                    <w:p w14:paraId="4AF0B174" w14:textId="77777777" w:rsidR="00FB5B7E" w:rsidRDefault="00FB5B7E" w:rsidP="00FB5B7E">
                      <w:r>
                        <w:t>E</w:t>
                      </w:r>
                    </w:p>
                  </w:txbxContent>
                </v:textbox>
              </v:shape>
            </w:pict>
          </mc:Fallback>
        </mc:AlternateContent>
      </w:r>
      <w:r w:rsidRPr="00FB5B7E">
        <w:rPr>
          <w:noProof/>
        </w:rPr>
        <mc:AlternateContent>
          <mc:Choice Requires="wps">
            <w:drawing>
              <wp:anchor distT="0" distB="0" distL="114300" distR="114300" simplePos="0" relativeHeight="251673600" behindDoc="0" locked="0" layoutInCell="1" allowOverlap="1" wp14:anchorId="38D67CF3" wp14:editId="17845870">
                <wp:simplePos x="0" y="0"/>
                <wp:positionH relativeFrom="column">
                  <wp:posOffset>4110990</wp:posOffset>
                </wp:positionH>
                <wp:positionV relativeFrom="paragraph">
                  <wp:posOffset>1254223</wp:posOffset>
                </wp:positionV>
                <wp:extent cx="282575" cy="25400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282575" cy="254000"/>
                        </a:xfrm>
                        <a:prstGeom prst="rect">
                          <a:avLst/>
                        </a:prstGeom>
                        <a:noFill/>
                        <a:ln w="6350">
                          <a:noFill/>
                        </a:ln>
                      </wps:spPr>
                      <wps:txbx>
                        <w:txbxContent>
                          <w:p w14:paraId="0AD9F3E2" w14:textId="77777777" w:rsidR="00FB5B7E" w:rsidRDefault="00FB5B7E" w:rsidP="00FB5B7E">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D67CF3" id="Text Box 34" o:spid="_x0000_s1032" type="#_x0000_t202" style="position:absolute;margin-left:323.7pt;margin-top:98.75pt;width:22.25pt;height:20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" filled="f" stroked="f" strokeweight=".5pt">
                <v:textbox>
                  <w:txbxContent>
                    <w:p w14:paraId="0AD9F3E2" w14:textId="77777777" w:rsidR="00FB5B7E" w:rsidRDefault="00FB5B7E" w:rsidP="00FB5B7E">
                      <w:r>
                        <w:t>F</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4B417237" wp14:editId="28C7844B">
                <wp:simplePos x="0" y="0"/>
                <wp:positionH relativeFrom="column">
                  <wp:posOffset>4111042</wp:posOffset>
                </wp:positionH>
                <wp:positionV relativeFrom="paragraph">
                  <wp:posOffset>-120983</wp:posOffset>
                </wp:positionV>
                <wp:extent cx="282804" cy="254491"/>
                <wp:effectExtent l="0" t="0" r="0" b="0"/>
                <wp:wrapNone/>
                <wp:docPr id="31" name="Text Box 31"/>
                <wp:cNvGraphicFramePr/>
                <a:graphic xmlns:a="http://schemas.openxmlformats.org/drawingml/2006/main">
                  <a:graphicData uri="http://schemas.microsoft.com/office/word/2010/wordprocessingShape">
                    <wps:wsp>
                      <wps:cNvSpPr txBox="1"/>
                      <wps:spPr>
                        <a:xfrm>
                          <a:off x="0" y="0"/>
                          <a:ext cx="282804" cy="254491"/>
                        </a:xfrm>
                        <a:prstGeom prst="rect">
                          <a:avLst/>
                        </a:prstGeom>
                        <a:noFill/>
                        <a:ln w="6350">
                          <a:noFill/>
                        </a:ln>
                      </wps:spPr>
                      <wps:txbx>
                        <w:txbxContent>
                          <w:p w14:paraId="2214352B" w14:textId="77777777" w:rsidR="00FB5B7E" w:rsidRDefault="00FB5B7E" w:rsidP="00FB5B7E">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417237" id="Text Box 31" o:spid="_x0000_s1033" type="#_x0000_t202" style="position:absolute;margin-left:323.7pt;margin-top:-9.55pt;width:22.25pt;height:20.0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" filled="f" stroked="f" strokeweight=".5pt">
                <v:textbox>
                  <w:txbxContent>
                    <w:p w14:paraId="2214352B" w14:textId="77777777" w:rsidR="00FB5B7E" w:rsidRDefault="00FB5B7E" w:rsidP="00FB5B7E">
                      <w:r>
                        <w:t>C</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92B02B2" wp14:editId="52132B26">
                <wp:simplePos x="0" y="0"/>
                <wp:positionH relativeFrom="column">
                  <wp:posOffset>-92</wp:posOffset>
                </wp:positionH>
                <wp:positionV relativeFrom="paragraph">
                  <wp:posOffset>-122168</wp:posOffset>
                </wp:positionV>
                <wp:extent cx="282804" cy="254491"/>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82804" cy="254491"/>
                        </a:xfrm>
                        <a:prstGeom prst="rect">
                          <a:avLst/>
                        </a:prstGeom>
                        <a:noFill/>
                        <a:ln w="6350">
                          <a:noFill/>
                        </a:ln>
                      </wps:spPr>
                      <wps:txbx>
                        <w:txbxContent>
                          <w:p w14:paraId="03811C3A" w14:textId="77777777" w:rsidR="00FB5B7E" w:rsidRDefault="00FB5B7E">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2B02B2" id="Text Box 27" o:spid="_x0000_s1034" type="#_x0000_t202" style="position:absolute;margin-left:0;margin-top:-9.6pt;width:22.25pt;height:20.0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" filled="f" stroked="f" strokeweight=".5pt">
                <v:textbox>
                  <w:txbxContent>
                    <w:p w14:paraId="03811C3A" w14:textId="77777777" w:rsidR="00FB5B7E" w:rsidRDefault="00FB5B7E">
                      <w:r>
                        <w:t>A</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46B2B65" wp14:editId="5E6C8C52">
                <wp:simplePos x="0" y="0"/>
                <wp:positionH relativeFrom="column">
                  <wp:posOffset>2197924</wp:posOffset>
                </wp:positionH>
                <wp:positionV relativeFrom="paragraph">
                  <wp:posOffset>-120598</wp:posOffset>
                </wp:positionV>
                <wp:extent cx="282804" cy="254491"/>
                <wp:effectExtent l="0" t="0" r="0" b="0"/>
                <wp:wrapNone/>
                <wp:docPr id="30" name="Text Box 30"/>
                <wp:cNvGraphicFramePr/>
                <a:graphic xmlns:a="http://schemas.openxmlformats.org/drawingml/2006/main">
                  <a:graphicData uri="http://schemas.microsoft.com/office/word/2010/wordprocessingShape">
                    <wps:wsp>
                      <wps:cNvSpPr txBox="1"/>
                      <wps:spPr>
                        <a:xfrm>
                          <a:off x="0" y="0"/>
                          <a:ext cx="282804" cy="254491"/>
                        </a:xfrm>
                        <a:prstGeom prst="rect">
                          <a:avLst/>
                        </a:prstGeom>
                        <a:noFill/>
                        <a:ln w="6350">
                          <a:noFill/>
                        </a:ln>
                      </wps:spPr>
                      <wps:txbx>
                        <w:txbxContent>
                          <w:p w14:paraId="1690481A" w14:textId="77777777" w:rsidR="00FB5B7E" w:rsidRDefault="00FB5B7E" w:rsidP="00FB5B7E">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6B2B65" id="Text Box 30" o:spid="_x0000_s1035" type="#_x0000_t202" style="position:absolute;margin-left:173.05pt;margin-top:-9.5pt;width:22.25pt;height:20.0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" filled="f" stroked="f" strokeweight=".5pt">
                <v:textbox>
                  <w:txbxContent>
                    <w:p w14:paraId="1690481A" w14:textId="77777777" w:rsidR="00FB5B7E" w:rsidRDefault="00FB5B7E" w:rsidP="00FB5B7E">
                      <w:r>
                        <w:t>B</w:t>
                      </w:r>
                    </w:p>
                  </w:txbxContent>
                </v:textbox>
              </v:shape>
            </w:pict>
          </mc:Fallback>
        </mc:AlternateContent>
      </w:r>
      <w:r w:rsidR="00C57D01" w:rsidRPr="008E492C">
        <w:rPr>
          <w:noProof/>
        </w:rPr>
        <w:drawing>
          <wp:inline distT="0" distB="0" distL="0" distR="0" wp14:anchorId="054FFC56" wp14:editId="68901AD9">
            <wp:extent cx="5943600" cy="2787650"/>
            <wp:effectExtent l="0" t="0" r="0" b="635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9"/>
                    <a:stretch>
                      <a:fillRect/>
                    </a:stretch>
                  </pic:blipFill>
                  <pic:spPr>
                    <a:xfrm>
                      <a:off x="0" y="0"/>
                      <a:ext cx="5943600" cy="2787650"/>
                    </a:xfrm>
                    <a:prstGeom prst="rect">
                      <a:avLst/>
                    </a:prstGeom>
                  </pic:spPr>
                </pic:pic>
              </a:graphicData>
            </a:graphic>
          </wp:inline>
        </w:drawing>
      </w:r>
    </w:p>
    <w:p w14:paraId="5B70AE2F" w14:textId="77777777" w:rsidR="00C57D01" w:rsidRDefault="00C57D01" w:rsidP="00C57D01">
      <w:r w:rsidRPr="00226B58">
        <w:rPr>
          <w:b/>
          <w:bCs/>
        </w:rPr>
        <w:t>Figure S5.</w:t>
      </w:r>
      <w:r>
        <w:t xml:space="preserve"> Complement to Figure 2, with simulated 6-month duration of natural immunity.</w:t>
      </w:r>
      <w:r w:rsidRPr="003637BA">
        <w:t xml:space="preserve"> </w:t>
      </w:r>
      <w:r>
        <w:t>Panels A and D represent the fraction of the population, including both compliant and noncompliant individuals, that is susceptible, exposed, infectious, and recovered populations over time after a return to pre-pandemic conditions under (A-C) 95% compliance or (D-F) 50% compliance with a 50% effective intervention. Panels B and E demonstrate the fraction of compliant and noncompliant individuals who are infected over time. Panels C and F demonstrate the cumulative hazard ratio for infection in noncompliant versus compliant individuals.</w:t>
      </w:r>
    </w:p>
    <w:p w14:paraId="0CD71539" w14:textId="77777777" w:rsidR="00C57D01" w:rsidRDefault="00C57D01" w:rsidP="00C57D01"/>
    <w:p w14:paraId="3255DE82" w14:textId="77777777" w:rsidR="00C57D01" w:rsidRDefault="00C57D01" w:rsidP="00C57D01"/>
    <w:p w14:paraId="234600E9" w14:textId="77777777" w:rsidR="00C57D01" w:rsidRDefault="00C57D01" w:rsidP="00C57D01"/>
    <w:p w14:paraId="4F9DC2C2" w14:textId="77777777" w:rsidR="00C57D01" w:rsidRDefault="00C57D01" w:rsidP="00C57D01">
      <w:r w:rsidRPr="00226B58">
        <w:rPr>
          <w:noProof/>
        </w:rPr>
        <w:drawing>
          <wp:inline distT="0" distB="0" distL="0" distR="0" wp14:anchorId="7B62EC17" wp14:editId="1D0838D3">
            <wp:extent cx="5943600" cy="2200910"/>
            <wp:effectExtent l="0" t="0" r="0" b="0"/>
            <wp:docPr id="2" name="Picture 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ar chart&#10;&#10;Description automatically generated"/>
                    <pic:cNvPicPr/>
                  </pic:nvPicPr>
                  <pic:blipFill>
                    <a:blip r:embed="rId10"/>
                    <a:stretch>
                      <a:fillRect/>
                    </a:stretch>
                  </pic:blipFill>
                  <pic:spPr>
                    <a:xfrm>
                      <a:off x="0" y="0"/>
                      <a:ext cx="5943600" cy="2200910"/>
                    </a:xfrm>
                    <a:prstGeom prst="rect">
                      <a:avLst/>
                    </a:prstGeom>
                  </pic:spPr>
                </pic:pic>
              </a:graphicData>
            </a:graphic>
          </wp:inline>
        </w:drawing>
      </w:r>
    </w:p>
    <w:p w14:paraId="72457DB1" w14:textId="77777777" w:rsidR="00C57D01" w:rsidRDefault="00C57D01" w:rsidP="00C57D01">
      <w:r w:rsidRPr="00226B58">
        <w:rPr>
          <w:b/>
          <w:bCs/>
        </w:rPr>
        <w:t>Figure S6.</w:t>
      </w:r>
      <w:r>
        <w:t xml:space="preserve"> Complement to Figure 3, with simulated 6-month duration of natural immunity. Total US COVID-19 infections in the next year under interventions with varying efficacy and compliance. Black box on panel A shows region expanded in panel B. Panel B is displayed on a log scale.</w:t>
      </w:r>
    </w:p>
    <w:p w14:paraId="6EF3DABF" w14:textId="77777777" w:rsidR="00C57D01" w:rsidRPr="003637BA" w:rsidRDefault="00C57D01" w:rsidP="00C57D01">
      <w:pPr>
        <w:rPr>
          <w:b/>
        </w:rPr>
      </w:pPr>
      <w:r>
        <w:br w:type="page"/>
      </w:r>
    </w:p>
    <w:p w14:paraId="1C1BBD83" w14:textId="77777777" w:rsidR="00C57D01" w:rsidRDefault="00C57D01" w:rsidP="00C57D01"/>
    <w:p w14:paraId="6F420242" w14:textId="77777777" w:rsidR="00C57D01" w:rsidRDefault="00C57D01" w:rsidP="00C57D01"/>
    <w:p w14:paraId="525D9C9B" w14:textId="77777777" w:rsidR="00C57D01" w:rsidRDefault="00C57D01" w:rsidP="00C57D01"/>
    <w:p w14:paraId="6C4DBF3F" w14:textId="77777777" w:rsidR="00C57D01" w:rsidRDefault="00C57D01" w:rsidP="00C57D01">
      <w:r w:rsidRPr="00226B58">
        <w:rPr>
          <w:noProof/>
        </w:rPr>
        <w:drawing>
          <wp:inline distT="0" distB="0" distL="0" distR="0" wp14:anchorId="5F78C3E7" wp14:editId="3700592C">
            <wp:extent cx="5943600" cy="2101215"/>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11"/>
                    <a:stretch>
                      <a:fillRect/>
                    </a:stretch>
                  </pic:blipFill>
                  <pic:spPr>
                    <a:xfrm>
                      <a:off x="0" y="0"/>
                      <a:ext cx="5943600" cy="2101215"/>
                    </a:xfrm>
                    <a:prstGeom prst="rect">
                      <a:avLst/>
                    </a:prstGeom>
                  </pic:spPr>
                </pic:pic>
              </a:graphicData>
            </a:graphic>
          </wp:inline>
        </w:drawing>
      </w:r>
      <w:r w:rsidRPr="00226B58">
        <w:rPr>
          <w:b/>
          <w:bCs/>
        </w:rPr>
        <w:t>Figure S7.</w:t>
      </w:r>
      <w:r>
        <w:t xml:space="preserve"> Complement to Figure 4, with simulated 6-month duration of natural immunity. Cumulative infections per individual under a 50% or 90% effective intervention. Three scenarios are simulated: full noncompliance, full compliance, and 70% compliance (with outcomes for compliant and noncompliant individuals shown).</w:t>
      </w:r>
    </w:p>
    <w:p w14:paraId="7DAEC506" w14:textId="77777777" w:rsidR="00C57D01" w:rsidRDefault="00C57D01" w:rsidP="00C57D01"/>
    <w:p w14:paraId="34C9822C" w14:textId="77777777" w:rsidR="00C57D01" w:rsidRDefault="00C57D01" w:rsidP="00C57D01"/>
    <w:p w14:paraId="3193A9BA" w14:textId="77777777" w:rsidR="00C57D01" w:rsidRDefault="00C57D01" w:rsidP="00C57D01"/>
    <w:p w14:paraId="08E312F3" w14:textId="77777777" w:rsidR="00C57D01" w:rsidRDefault="00C57D01" w:rsidP="00C57D01"/>
    <w:p w14:paraId="0A5AA79B" w14:textId="77777777" w:rsidR="00C57D01" w:rsidRDefault="00C57D01" w:rsidP="00C57D01">
      <w:r w:rsidRPr="00226B58">
        <w:rPr>
          <w:noProof/>
        </w:rPr>
        <w:drawing>
          <wp:inline distT="0" distB="0" distL="0" distR="0" wp14:anchorId="2369C82D" wp14:editId="2C311BFF">
            <wp:extent cx="4940300" cy="3327400"/>
            <wp:effectExtent l="0" t="0" r="0" b="0"/>
            <wp:docPr id="4" name="Picture 2" descr="Chart&#10;&#10;Description automatically generated">
              <a:extLst xmlns:a="http://schemas.openxmlformats.org/drawingml/2006/main">
                <a:ext uri="{FF2B5EF4-FFF2-40B4-BE49-F238E27FC236}">
                  <a16:creationId xmlns:a16="http://schemas.microsoft.com/office/drawing/2014/main" id="{44F6A25E-CC5F-504C-A3AB-E8CA346D1D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hart&#10;&#10;Description automatically generated">
                      <a:extLst>
                        <a:ext uri="{FF2B5EF4-FFF2-40B4-BE49-F238E27FC236}">
                          <a16:creationId xmlns:a16="http://schemas.microsoft.com/office/drawing/2014/main" id="{44F6A25E-CC5F-504C-A3AB-E8CA346D1D74}"/>
                        </a:ext>
                      </a:extLst>
                    </pic:cNvPr>
                    <pic:cNvPicPr>
                      <a:picLocks noChangeAspect="1"/>
                    </pic:cNvPicPr>
                  </pic:nvPicPr>
                  <pic:blipFill>
                    <a:blip r:embed="rId12"/>
                    <a:stretch>
                      <a:fillRect/>
                    </a:stretch>
                  </pic:blipFill>
                  <pic:spPr>
                    <a:xfrm>
                      <a:off x="0" y="0"/>
                      <a:ext cx="4940300" cy="3327400"/>
                    </a:xfrm>
                    <a:prstGeom prst="rect">
                      <a:avLst/>
                    </a:prstGeom>
                  </pic:spPr>
                </pic:pic>
              </a:graphicData>
            </a:graphic>
          </wp:inline>
        </w:drawing>
      </w:r>
    </w:p>
    <w:p w14:paraId="52DCA90B" w14:textId="77777777" w:rsidR="00C57D01" w:rsidRDefault="00C57D01" w:rsidP="00C57D01">
      <w:r w:rsidRPr="00226B58">
        <w:rPr>
          <w:b/>
          <w:bCs/>
        </w:rPr>
        <w:t>Figure S8.</w:t>
      </w:r>
      <w:r w:rsidRPr="00226B58">
        <w:t xml:space="preserve"> </w:t>
      </w:r>
      <w:r>
        <w:t>Complement to Figure 5, with simulated 6-month duration of natural immunity.</w:t>
      </w:r>
      <w:r w:rsidRPr="003637BA">
        <w:t xml:space="preserve"> </w:t>
      </w:r>
      <w:r>
        <w:t>Yearly US cases at steady-state under interventions with varying degrees of efficacy and compliance.</w:t>
      </w:r>
    </w:p>
    <w:p w14:paraId="764DECA0" w14:textId="77777777" w:rsidR="00C57D01" w:rsidRDefault="00C57D01" w:rsidP="00C57D01"/>
    <w:p w14:paraId="267BA9F7" w14:textId="77777777" w:rsidR="00C57D01" w:rsidRDefault="00C57D01" w:rsidP="00C57D01">
      <w:r w:rsidRPr="0051408D">
        <w:rPr>
          <w:noProof/>
        </w:rPr>
        <w:lastRenderedPageBreak/>
        <w:drawing>
          <wp:inline distT="0" distB="0" distL="0" distR="0" wp14:anchorId="730BE192" wp14:editId="29D9995F">
            <wp:extent cx="5943600" cy="2134235"/>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3"/>
                    <a:stretch>
                      <a:fillRect/>
                    </a:stretch>
                  </pic:blipFill>
                  <pic:spPr>
                    <a:xfrm>
                      <a:off x="0" y="0"/>
                      <a:ext cx="5943600" cy="2134235"/>
                    </a:xfrm>
                    <a:prstGeom prst="rect">
                      <a:avLst/>
                    </a:prstGeom>
                  </pic:spPr>
                </pic:pic>
              </a:graphicData>
            </a:graphic>
          </wp:inline>
        </w:drawing>
      </w:r>
    </w:p>
    <w:p w14:paraId="71343BAC" w14:textId="77777777" w:rsidR="00C57D01" w:rsidRDefault="00C57D01" w:rsidP="00C57D01">
      <w:r w:rsidRPr="00226B58">
        <w:rPr>
          <w:b/>
          <w:bCs/>
        </w:rPr>
        <w:t>Figure S</w:t>
      </w:r>
      <w:r>
        <w:rPr>
          <w:b/>
          <w:bCs/>
        </w:rPr>
        <w:t>9</w:t>
      </w:r>
      <w:r w:rsidRPr="00226B58">
        <w:rPr>
          <w:b/>
          <w:bCs/>
        </w:rPr>
        <w:t>.</w:t>
      </w:r>
      <w:r w:rsidRPr="00226B58">
        <w:t xml:space="preserve"> </w:t>
      </w:r>
      <w:r>
        <w:t>Complement to Figure S2, with simulated 6-month duration of natural immunity. Yearly US cases as a function of compliance for hypothetical scenarios in which R</w:t>
      </w:r>
      <w:r>
        <w:rPr>
          <w:vertAlign w:val="subscript"/>
        </w:rPr>
        <w:t>0</w:t>
      </w:r>
      <w:r>
        <w:t xml:space="preserve"> = 2, 3, 4 or 5.7.</w:t>
      </w:r>
    </w:p>
    <w:p w14:paraId="7BE2389B" w14:textId="77777777" w:rsidR="00C57D01" w:rsidRDefault="00C57D01" w:rsidP="00C57D01"/>
    <w:p w14:paraId="30A28DB7" w14:textId="77777777" w:rsidR="00C57D01" w:rsidRDefault="00FB5B7E" w:rsidP="00C57D01">
      <w:r>
        <w:rPr>
          <w:noProof/>
        </w:rPr>
        <mc:AlternateContent>
          <mc:Choice Requires="wps">
            <w:drawing>
              <wp:anchor distT="0" distB="0" distL="114300" distR="114300" simplePos="0" relativeHeight="251678720" behindDoc="0" locked="0" layoutInCell="1" allowOverlap="1" wp14:anchorId="1BDDAAC1" wp14:editId="21EC6E67">
                <wp:simplePos x="0" y="0"/>
                <wp:positionH relativeFrom="column">
                  <wp:posOffset>4186654</wp:posOffset>
                </wp:positionH>
                <wp:positionV relativeFrom="paragraph">
                  <wp:posOffset>120316</wp:posOffset>
                </wp:positionV>
                <wp:extent cx="273377" cy="329939"/>
                <wp:effectExtent l="0" t="0" r="0" b="0"/>
                <wp:wrapNone/>
                <wp:docPr id="38" name="Text Box 38"/>
                <wp:cNvGraphicFramePr/>
                <a:graphic xmlns:a="http://schemas.openxmlformats.org/drawingml/2006/main">
                  <a:graphicData uri="http://schemas.microsoft.com/office/word/2010/wordprocessingShape">
                    <wps:wsp>
                      <wps:cNvSpPr txBox="1"/>
                      <wps:spPr>
                        <a:xfrm>
                          <a:off x="0" y="0"/>
                          <a:ext cx="273377" cy="329939"/>
                        </a:xfrm>
                        <a:prstGeom prst="rect">
                          <a:avLst/>
                        </a:prstGeom>
                        <a:noFill/>
                        <a:ln w="6350">
                          <a:noFill/>
                        </a:ln>
                      </wps:spPr>
                      <wps:txbx>
                        <w:txbxContent>
                          <w:p w14:paraId="5B4EEE5F" w14:textId="77777777" w:rsidR="00FB5B7E" w:rsidRDefault="00FB5B7E" w:rsidP="00FB5B7E">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DDAAC1" id="Text Box 38" o:spid="_x0000_s1036" type="#_x0000_t202" style="position:absolute;margin-left:329.65pt;margin-top:9.45pt;width:21.55pt;height:26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" filled="f" stroked="f" strokeweight=".5pt">
                <v:textbox>
                  <w:txbxContent>
                    <w:p w14:paraId="5B4EEE5F" w14:textId="77777777" w:rsidR="00FB5B7E" w:rsidRDefault="00FB5B7E" w:rsidP="00FB5B7E">
                      <w:r>
                        <w:t>C</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0654396B" wp14:editId="682B62BC">
                <wp:simplePos x="0" y="0"/>
                <wp:positionH relativeFrom="column">
                  <wp:posOffset>0</wp:posOffset>
                </wp:positionH>
                <wp:positionV relativeFrom="paragraph">
                  <wp:posOffset>118791</wp:posOffset>
                </wp:positionV>
                <wp:extent cx="273377" cy="32993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73377" cy="329939"/>
                        </a:xfrm>
                        <a:prstGeom prst="rect">
                          <a:avLst/>
                        </a:prstGeom>
                        <a:noFill/>
                        <a:ln w="6350">
                          <a:noFill/>
                        </a:ln>
                      </wps:spPr>
                      <wps:txbx>
                        <w:txbxContent>
                          <w:p w14:paraId="02A1E1D6" w14:textId="77777777" w:rsidR="00FB5B7E" w:rsidRDefault="00FB5B7E">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54396B" id="Text Box 35" o:spid="_x0000_s1037" type="#_x0000_t202" style="position:absolute;margin-left:0;margin-top:9.35pt;width:21.55pt;height:26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" filled="f" stroked="f" strokeweight=".5pt">
                <v:textbox>
                  <w:txbxContent>
                    <w:p w14:paraId="02A1E1D6" w14:textId="77777777" w:rsidR="00FB5B7E" w:rsidRDefault="00FB5B7E">
                      <w:r>
                        <w:t>A</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6377AE38" wp14:editId="01639814">
                <wp:simplePos x="0" y="0"/>
                <wp:positionH relativeFrom="column">
                  <wp:posOffset>2216870</wp:posOffset>
                </wp:positionH>
                <wp:positionV relativeFrom="paragraph">
                  <wp:posOffset>120362</wp:posOffset>
                </wp:positionV>
                <wp:extent cx="273377" cy="329939"/>
                <wp:effectExtent l="0" t="0" r="0" b="0"/>
                <wp:wrapNone/>
                <wp:docPr id="37" name="Text Box 37"/>
                <wp:cNvGraphicFramePr/>
                <a:graphic xmlns:a="http://schemas.openxmlformats.org/drawingml/2006/main">
                  <a:graphicData uri="http://schemas.microsoft.com/office/word/2010/wordprocessingShape">
                    <wps:wsp>
                      <wps:cNvSpPr txBox="1"/>
                      <wps:spPr>
                        <a:xfrm>
                          <a:off x="0" y="0"/>
                          <a:ext cx="273377" cy="329939"/>
                        </a:xfrm>
                        <a:prstGeom prst="rect">
                          <a:avLst/>
                        </a:prstGeom>
                        <a:noFill/>
                        <a:ln w="6350">
                          <a:noFill/>
                        </a:ln>
                      </wps:spPr>
                      <wps:txbx>
                        <w:txbxContent>
                          <w:p w14:paraId="1237F6BF" w14:textId="77777777" w:rsidR="00FB5B7E" w:rsidRDefault="00FB5B7E" w:rsidP="00FB5B7E">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77AE38" id="Text Box 37" o:spid="_x0000_s1038" type="#_x0000_t202" style="position:absolute;margin-left:174.55pt;margin-top:9.5pt;width:21.55pt;height:26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" filled="f" stroked="f" strokeweight=".5pt">
                <v:textbox>
                  <w:txbxContent>
                    <w:p w14:paraId="1237F6BF" w14:textId="77777777" w:rsidR="00FB5B7E" w:rsidRDefault="00FB5B7E" w:rsidP="00FB5B7E">
                      <w:r>
                        <w:t>B</w:t>
                      </w:r>
                    </w:p>
                  </w:txbxContent>
                </v:textbox>
              </v:shape>
            </w:pict>
          </mc:Fallback>
        </mc:AlternateContent>
      </w:r>
    </w:p>
    <w:p w14:paraId="6723859D" w14:textId="77777777" w:rsidR="00C57D01" w:rsidRDefault="00FB5B7E" w:rsidP="00C57D01">
      <w:pPr>
        <w:rPr>
          <w:b/>
          <w:bCs/>
        </w:rPr>
      </w:pPr>
      <w:r w:rsidRPr="00FB5B7E">
        <w:rPr>
          <w:noProof/>
        </w:rPr>
        <mc:AlternateContent>
          <mc:Choice Requires="wps">
            <w:drawing>
              <wp:anchor distT="0" distB="0" distL="114300" distR="114300" simplePos="0" relativeHeight="251680768" behindDoc="0" locked="0" layoutInCell="1" allowOverlap="1" wp14:anchorId="64CDE2CC" wp14:editId="49829A68">
                <wp:simplePos x="0" y="0"/>
                <wp:positionH relativeFrom="column">
                  <wp:posOffset>0</wp:posOffset>
                </wp:positionH>
                <wp:positionV relativeFrom="paragraph">
                  <wp:posOffset>1330423</wp:posOffset>
                </wp:positionV>
                <wp:extent cx="273050" cy="329565"/>
                <wp:effectExtent l="0" t="0" r="0" b="0"/>
                <wp:wrapNone/>
                <wp:docPr id="39" name="Text Box 39"/>
                <wp:cNvGraphicFramePr/>
                <a:graphic xmlns:a="http://schemas.openxmlformats.org/drawingml/2006/main">
                  <a:graphicData uri="http://schemas.microsoft.com/office/word/2010/wordprocessingShape">
                    <wps:wsp>
                      <wps:cNvSpPr txBox="1"/>
                      <wps:spPr>
                        <a:xfrm>
                          <a:off x="0" y="0"/>
                          <a:ext cx="273050" cy="329565"/>
                        </a:xfrm>
                        <a:prstGeom prst="rect">
                          <a:avLst/>
                        </a:prstGeom>
                        <a:noFill/>
                        <a:ln w="6350">
                          <a:noFill/>
                        </a:ln>
                      </wps:spPr>
                      <wps:txbx>
                        <w:txbxContent>
                          <w:p w14:paraId="44EAB472" w14:textId="77777777" w:rsidR="00FB5B7E" w:rsidRDefault="00FB5B7E" w:rsidP="00FB5B7E">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CDE2CC" id="Text Box 39" o:spid="_x0000_s1039" type="#_x0000_t202" style="position:absolute;margin-left:0;margin-top:104.75pt;width:21.5pt;height:25.9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" filled="f" stroked="f" strokeweight=".5pt">
                <v:textbox>
                  <w:txbxContent>
                    <w:p w14:paraId="44EAB472" w14:textId="77777777" w:rsidR="00FB5B7E" w:rsidRDefault="00FB5B7E" w:rsidP="00FB5B7E">
                      <w:r>
                        <w:t>D</w:t>
                      </w:r>
                    </w:p>
                  </w:txbxContent>
                </v:textbox>
              </v:shape>
            </w:pict>
          </mc:Fallback>
        </mc:AlternateContent>
      </w:r>
      <w:r w:rsidRPr="00FB5B7E">
        <w:rPr>
          <w:noProof/>
        </w:rPr>
        <mc:AlternateContent>
          <mc:Choice Requires="wps">
            <w:drawing>
              <wp:anchor distT="0" distB="0" distL="114300" distR="114300" simplePos="0" relativeHeight="251682816" behindDoc="0" locked="0" layoutInCell="1" allowOverlap="1" wp14:anchorId="326A551C" wp14:editId="344FD808">
                <wp:simplePos x="0" y="0"/>
                <wp:positionH relativeFrom="column">
                  <wp:posOffset>4186555</wp:posOffset>
                </wp:positionH>
                <wp:positionV relativeFrom="paragraph">
                  <wp:posOffset>1368962</wp:posOffset>
                </wp:positionV>
                <wp:extent cx="273050" cy="32956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73050" cy="329565"/>
                        </a:xfrm>
                        <a:prstGeom prst="rect">
                          <a:avLst/>
                        </a:prstGeom>
                        <a:noFill/>
                        <a:ln w="6350">
                          <a:noFill/>
                        </a:ln>
                      </wps:spPr>
                      <wps:txbx>
                        <w:txbxContent>
                          <w:p w14:paraId="181139F7" w14:textId="77777777" w:rsidR="00FB5B7E" w:rsidRDefault="00FB5B7E" w:rsidP="00FB5B7E">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6A551C" id="Text Box 41" o:spid="_x0000_s1040" type="#_x0000_t202" style="position:absolute;margin-left:329.65pt;margin-top:107.8pt;width:21.5pt;height:25.9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" filled="f" stroked="f" strokeweight=".5pt">
                <v:textbox>
                  <w:txbxContent>
                    <w:p w14:paraId="181139F7" w14:textId="77777777" w:rsidR="00FB5B7E" w:rsidRDefault="00FB5B7E" w:rsidP="00FB5B7E">
                      <w:r>
                        <w:t>F</w:t>
                      </w:r>
                    </w:p>
                  </w:txbxContent>
                </v:textbox>
              </v:shape>
            </w:pict>
          </mc:Fallback>
        </mc:AlternateContent>
      </w:r>
      <w:r w:rsidRPr="00FB5B7E">
        <w:rPr>
          <w:noProof/>
        </w:rPr>
        <mc:AlternateContent>
          <mc:Choice Requires="wps">
            <w:drawing>
              <wp:anchor distT="0" distB="0" distL="114300" distR="114300" simplePos="0" relativeHeight="251681792" behindDoc="0" locked="0" layoutInCell="1" allowOverlap="1" wp14:anchorId="761F81F8" wp14:editId="31CA09D8">
                <wp:simplePos x="0" y="0"/>
                <wp:positionH relativeFrom="column">
                  <wp:posOffset>2216785</wp:posOffset>
                </wp:positionH>
                <wp:positionV relativeFrom="paragraph">
                  <wp:posOffset>1350645</wp:posOffset>
                </wp:positionV>
                <wp:extent cx="273050" cy="329565"/>
                <wp:effectExtent l="0" t="0" r="0" b="0"/>
                <wp:wrapNone/>
                <wp:docPr id="40" name="Text Box 40"/>
                <wp:cNvGraphicFramePr/>
                <a:graphic xmlns:a="http://schemas.openxmlformats.org/drawingml/2006/main">
                  <a:graphicData uri="http://schemas.microsoft.com/office/word/2010/wordprocessingShape">
                    <wps:wsp>
                      <wps:cNvSpPr txBox="1"/>
                      <wps:spPr>
                        <a:xfrm>
                          <a:off x="0" y="0"/>
                          <a:ext cx="273050" cy="329565"/>
                        </a:xfrm>
                        <a:prstGeom prst="rect">
                          <a:avLst/>
                        </a:prstGeom>
                        <a:noFill/>
                        <a:ln w="6350">
                          <a:noFill/>
                        </a:ln>
                      </wps:spPr>
                      <wps:txbx>
                        <w:txbxContent>
                          <w:p w14:paraId="03952026" w14:textId="77777777" w:rsidR="00FB5B7E" w:rsidRDefault="00FB5B7E" w:rsidP="00FB5B7E">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1F81F8" id="Text Box 40" o:spid="_x0000_s1041" type="#_x0000_t202" style="position:absolute;margin-left:174.55pt;margin-top:106.35pt;width:21.5pt;height:25.9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" filled="f" stroked="f" strokeweight=".5pt">
                <v:textbox>
                  <w:txbxContent>
                    <w:p w14:paraId="03952026" w14:textId="77777777" w:rsidR="00FB5B7E" w:rsidRDefault="00FB5B7E" w:rsidP="00FB5B7E">
                      <w:r>
                        <w:t>E</w:t>
                      </w:r>
                    </w:p>
                  </w:txbxContent>
                </v:textbox>
              </v:shape>
            </w:pict>
          </mc:Fallback>
        </mc:AlternateContent>
      </w:r>
      <w:r w:rsidR="00C57D01" w:rsidRPr="008E492C">
        <w:rPr>
          <w:b/>
          <w:bCs/>
          <w:noProof/>
        </w:rPr>
        <w:drawing>
          <wp:inline distT="0" distB="0" distL="0" distR="0" wp14:anchorId="2EE87BF6" wp14:editId="27E853B3">
            <wp:extent cx="5943600" cy="2868930"/>
            <wp:effectExtent l="0" t="0" r="0" b="1270"/>
            <wp:docPr id="6" name="Picture 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phical user interface&#10;&#10;Description automatically generated"/>
                    <pic:cNvPicPr/>
                  </pic:nvPicPr>
                  <pic:blipFill>
                    <a:blip r:embed="rId14"/>
                    <a:stretch>
                      <a:fillRect/>
                    </a:stretch>
                  </pic:blipFill>
                  <pic:spPr>
                    <a:xfrm>
                      <a:off x="0" y="0"/>
                      <a:ext cx="5943600" cy="2868930"/>
                    </a:xfrm>
                    <a:prstGeom prst="rect">
                      <a:avLst/>
                    </a:prstGeom>
                  </pic:spPr>
                </pic:pic>
              </a:graphicData>
            </a:graphic>
          </wp:inline>
        </w:drawing>
      </w:r>
    </w:p>
    <w:p w14:paraId="58C9B399" w14:textId="77777777" w:rsidR="00C57D01" w:rsidRDefault="00C57D01" w:rsidP="00C57D01">
      <w:r w:rsidRPr="00226B58">
        <w:rPr>
          <w:b/>
          <w:bCs/>
        </w:rPr>
        <w:t>Figure S</w:t>
      </w:r>
      <w:r>
        <w:rPr>
          <w:b/>
          <w:bCs/>
        </w:rPr>
        <w:t>10</w:t>
      </w:r>
      <w:r w:rsidRPr="00226B58">
        <w:rPr>
          <w:b/>
          <w:bCs/>
        </w:rPr>
        <w:t>.</w:t>
      </w:r>
      <w:r w:rsidRPr="00226B58">
        <w:t xml:space="preserve"> </w:t>
      </w:r>
      <w:r>
        <w:t>Complement to Figure 2, with simulated 36-month duration of natural immunity. Panels A and D represent the fraction of the population, including both compliant and noncompliant individuals, that is susceptible, exposed, infectious, and recovered populations over time after a return to pre-pandemic conditions under (A-C) 95% compliance or (D-F) 50% compliance with a 50% effective intervention. Panels B and E demonstrate the fraction of compliant and noncompliant individuals who are infected over time. Panels C and F demonstrate the cumulative hazard ratio for infection in noncompliant versus compliant individuals.</w:t>
      </w:r>
    </w:p>
    <w:p w14:paraId="4CFBCD12" w14:textId="77777777" w:rsidR="00C57D01" w:rsidRDefault="00C57D01" w:rsidP="00C57D01"/>
    <w:p w14:paraId="72F7193B" w14:textId="77777777" w:rsidR="00C57D01" w:rsidRDefault="00C57D01" w:rsidP="00C57D01"/>
    <w:p w14:paraId="0C8FE9A4" w14:textId="77777777" w:rsidR="00C57D01" w:rsidRDefault="00C57D01" w:rsidP="00C57D01">
      <w:pPr>
        <w:rPr>
          <w:b/>
          <w:bCs/>
        </w:rPr>
      </w:pPr>
      <w:r w:rsidRPr="008E492C">
        <w:rPr>
          <w:b/>
          <w:bCs/>
          <w:noProof/>
        </w:rPr>
        <w:lastRenderedPageBreak/>
        <w:drawing>
          <wp:inline distT="0" distB="0" distL="0" distR="0" wp14:anchorId="16DFD0DF" wp14:editId="235CC27F">
            <wp:extent cx="5943600" cy="2204085"/>
            <wp:effectExtent l="0" t="0" r="0" b="5715"/>
            <wp:docPr id="7" name="Picture 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10;&#10;Description automatically generated"/>
                    <pic:cNvPicPr/>
                  </pic:nvPicPr>
                  <pic:blipFill>
                    <a:blip r:embed="rId15"/>
                    <a:stretch>
                      <a:fillRect/>
                    </a:stretch>
                  </pic:blipFill>
                  <pic:spPr>
                    <a:xfrm>
                      <a:off x="0" y="0"/>
                      <a:ext cx="5943600" cy="2204085"/>
                    </a:xfrm>
                    <a:prstGeom prst="rect">
                      <a:avLst/>
                    </a:prstGeom>
                  </pic:spPr>
                </pic:pic>
              </a:graphicData>
            </a:graphic>
          </wp:inline>
        </w:drawing>
      </w:r>
    </w:p>
    <w:p w14:paraId="08030023" w14:textId="77777777" w:rsidR="00C57D01" w:rsidRDefault="00C57D01" w:rsidP="00C57D01">
      <w:r w:rsidRPr="00226B58">
        <w:rPr>
          <w:b/>
          <w:bCs/>
        </w:rPr>
        <w:t>Figure S</w:t>
      </w:r>
      <w:r>
        <w:rPr>
          <w:b/>
          <w:bCs/>
        </w:rPr>
        <w:t>11</w:t>
      </w:r>
      <w:r w:rsidRPr="00226B58">
        <w:rPr>
          <w:b/>
          <w:bCs/>
        </w:rPr>
        <w:t>.</w:t>
      </w:r>
      <w:r w:rsidRPr="00226B58">
        <w:t xml:space="preserve"> </w:t>
      </w:r>
      <w:r>
        <w:t>Complement to Figure 3, with simulated 36-month duration of natural immunity. Total US COVID-19 infections in the next year under interventions with varying efficacy and compliance. Black box on panel A shows region expanded in panel B. Panel B is displayed on a log scale.</w:t>
      </w:r>
    </w:p>
    <w:p w14:paraId="76290418" w14:textId="77777777" w:rsidR="00C57D01" w:rsidRDefault="00C57D01" w:rsidP="00C57D01"/>
    <w:p w14:paraId="1E8F1491" w14:textId="77777777" w:rsidR="00C57D01" w:rsidRDefault="00C57D01" w:rsidP="00C57D01"/>
    <w:p w14:paraId="7214BE4A" w14:textId="77777777" w:rsidR="00C57D01" w:rsidRDefault="00C57D01" w:rsidP="00C57D01">
      <w:r w:rsidRPr="008E492C">
        <w:rPr>
          <w:noProof/>
        </w:rPr>
        <w:drawing>
          <wp:inline distT="0" distB="0" distL="0" distR="0" wp14:anchorId="389E408E" wp14:editId="2A1F46D4">
            <wp:extent cx="5943600" cy="2187575"/>
            <wp:effectExtent l="0" t="0" r="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6"/>
                    <a:stretch>
                      <a:fillRect/>
                    </a:stretch>
                  </pic:blipFill>
                  <pic:spPr>
                    <a:xfrm>
                      <a:off x="0" y="0"/>
                      <a:ext cx="5943600" cy="2187575"/>
                    </a:xfrm>
                    <a:prstGeom prst="rect">
                      <a:avLst/>
                    </a:prstGeom>
                  </pic:spPr>
                </pic:pic>
              </a:graphicData>
            </a:graphic>
          </wp:inline>
        </w:drawing>
      </w:r>
    </w:p>
    <w:p w14:paraId="20D4FEE4" w14:textId="77777777" w:rsidR="00C57D01" w:rsidRDefault="00C57D01" w:rsidP="00C57D01">
      <w:r w:rsidRPr="00226B58">
        <w:rPr>
          <w:b/>
          <w:bCs/>
        </w:rPr>
        <w:t>Figure S</w:t>
      </w:r>
      <w:r>
        <w:rPr>
          <w:b/>
          <w:bCs/>
        </w:rPr>
        <w:t>12</w:t>
      </w:r>
      <w:r w:rsidRPr="00226B58">
        <w:rPr>
          <w:b/>
          <w:bCs/>
        </w:rPr>
        <w:t>.</w:t>
      </w:r>
      <w:r w:rsidRPr="00226B58">
        <w:t xml:space="preserve"> </w:t>
      </w:r>
      <w:r>
        <w:t>Complement to Figure 4, with simulated 36-month duration of natural immunity.</w:t>
      </w:r>
      <w:r w:rsidRPr="003637BA">
        <w:t xml:space="preserve"> </w:t>
      </w:r>
      <w:r>
        <w:t>Cumulative infections per individual under a 50% or 90% effective intervention. Three scenarios are simulated: full noncompliance, full compliance, and 70% compliance (with outcomes for compliant and noncompliant individuals shown).</w:t>
      </w:r>
    </w:p>
    <w:p w14:paraId="26433AC9" w14:textId="77777777" w:rsidR="00C57D01" w:rsidRDefault="00C57D01" w:rsidP="00C57D01"/>
    <w:p w14:paraId="7C32EF35" w14:textId="77777777" w:rsidR="00C57D01" w:rsidRDefault="00C57D01" w:rsidP="00C57D01"/>
    <w:p w14:paraId="490FBB51" w14:textId="77777777" w:rsidR="00C57D01" w:rsidRDefault="00C57D01" w:rsidP="00C57D01"/>
    <w:p w14:paraId="7B91DE06" w14:textId="77777777" w:rsidR="00C57D01" w:rsidRDefault="00C57D01" w:rsidP="00C57D01">
      <w:r w:rsidRPr="008E492C">
        <w:rPr>
          <w:noProof/>
        </w:rPr>
        <w:lastRenderedPageBreak/>
        <w:drawing>
          <wp:inline distT="0" distB="0" distL="0" distR="0" wp14:anchorId="0CECF22F" wp14:editId="7913AD44">
            <wp:extent cx="4851400" cy="3327400"/>
            <wp:effectExtent l="0" t="0" r="0" b="0"/>
            <wp:docPr id="9" name="Picture 2" descr="Chart&#10;&#10;Description automatically generated">
              <a:extLst xmlns:a="http://schemas.openxmlformats.org/drawingml/2006/main">
                <a:ext uri="{FF2B5EF4-FFF2-40B4-BE49-F238E27FC236}">
                  <a16:creationId xmlns:a16="http://schemas.microsoft.com/office/drawing/2014/main" id="{7C1C919D-4518-C345-AB3B-F3BBF60979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Chart&#10;&#10;Description automatically generated">
                      <a:extLst>
                        <a:ext uri="{FF2B5EF4-FFF2-40B4-BE49-F238E27FC236}">
                          <a16:creationId xmlns:a16="http://schemas.microsoft.com/office/drawing/2014/main" id="{7C1C919D-4518-C345-AB3B-F3BBF6097934}"/>
                        </a:ext>
                      </a:extLst>
                    </pic:cNvPr>
                    <pic:cNvPicPr>
                      <a:picLocks noChangeAspect="1"/>
                    </pic:cNvPicPr>
                  </pic:nvPicPr>
                  <pic:blipFill>
                    <a:blip r:embed="rId17"/>
                    <a:stretch>
                      <a:fillRect/>
                    </a:stretch>
                  </pic:blipFill>
                  <pic:spPr>
                    <a:xfrm>
                      <a:off x="0" y="0"/>
                      <a:ext cx="4851400" cy="3327400"/>
                    </a:xfrm>
                    <a:prstGeom prst="rect">
                      <a:avLst/>
                    </a:prstGeom>
                  </pic:spPr>
                </pic:pic>
              </a:graphicData>
            </a:graphic>
          </wp:inline>
        </w:drawing>
      </w:r>
    </w:p>
    <w:p w14:paraId="25FF96F3" w14:textId="77777777" w:rsidR="00C57D01" w:rsidRDefault="00C57D01" w:rsidP="00C57D01">
      <w:r w:rsidRPr="00226B58">
        <w:rPr>
          <w:b/>
          <w:bCs/>
        </w:rPr>
        <w:t>Figure S</w:t>
      </w:r>
      <w:r>
        <w:rPr>
          <w:b/>
          <w:bCs/>
        </w:rPr>
        <w:t>13</w:t>
      </w:r>
      <w:r w:rsidRPr="00226B58">
        <w:rPr>
          <w:b/>
          <w:bCs/>
        </w:rPr>
        <w:t>.</w:t>
      </w:r>
      <w:r w:rsidRPr="00226B58">
        <w:t xml:space="preserve"> </w:t>
      </w:r>
      <w:r>
        <w:t>Complement to Figure 5, with simulated 36-month duration of natural immunity. Yearly US cases at steady-state under interventions with varying degrees of efficacy and compliance.</w:t>
      </w:r>
    </w:p>
    <w:p w14:paraId="594EAB0A" w14:textId="77777777" w:rsidR="00C57D01" w:rsidRDefault="00C57D01" w:rsidP="00C57D01">
      <w:pPr>
        <w:rPr>
          <w:b/>
          <w:bCs/>
        </w:rPr>
      </w:pPr>
    </w:p>
    <w:p w14:paraId="3A047267" w14:textId="77777777" w:rsidR="00C57D01" w:rsidRDefault="00C57D01" w:rsidP="00C57D01">
      <w:pPr>
        <w:rPr>
          <w:b/>
          <w:bCs/>
        </w:rPr>
      </w:pPr>
    </w:p>
    <w:p w14:paraId="57A5B61A" w14:textId="77777777" w:rsidR="00C57D01" w:rsidRDefault="00C57D01" w:rsidP="00C57D01">
      <w:pPr>
        <w:rPr>
          <w:b/>
          <w:bCs/>
        </w:rPr>
      </w:pPr>
      <w:r w:rsidRPr="008E492C">
        <w:rPr>
          <w:b/>
          <w:bCs/>
          <w:noProof/>
        </w:rPr>
        <w:drawing>
          <wp:inline distT="0" distB="0" distL="0" distR="0" wp14:anchorId="02EB12C0" wp14:editId="0F3B0BC5">
            <wp:extent cx="5943600" cy="2204720"/>
            <wp:effectExtent l="0" t="0" r="0" b="508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8"/>
                    <a:stretch>
                      <a:fillRect/>
                    </a:stretch>
                  </pic:blipFill>
                  <pic:spPr>
                    <a:xfrm>
                      <a:off x="0" y="0"/>
                      <a:ext cx="5943600" cy="2204720"/>
                    </a:xfrm>
                    <a:prstGeom prst="rect">
                      <a:avLst/>
                    </a:prstGeom>
                  </pic:spPr>
                </pic:pic>
              </a:graphicData>
            </a:graphic>
          </wp:inline>
        </w:drawing>
      </w:r>
    </w:p>
    <w:p w14:paraId="0B47F7BD" w14:textId="5F2A536D" w:rsidR="00C57D01" w:rsidRDefault="00C57D01" w:rsidP="00C57D01">
      <w:r w:rsidRPr="00226B58">
        <w:rPr>
          <w:b/>
          <w:bCs/>
        </w:rPr>
        <w:t>Figure S</w:t>
      </w:r>
      <w:r>
        <w:rPr>
          <w:b/>
          <w:bCs/>
        </w:rPr>
        <w:t>14</w:t>
      </w:r>
      <w:r w:rsidRPr="00226B58">
        <w:rPr>
          <w:b/>
          <w:bCs/>
        </w:rPr>
        <w:t>.</w:t>
      </w:r>
      <w:r w:rsidRPr="00226B58">
        <w:t xml:space="preserve"> </w:t>
      </w:r>
      <w:r>
        <w:t>Complement to Figure S2, with simulated 36-month duration of natural immunity. Yearly US cases as a function of compliance for hypothetical scenarios in which R</w:t>
      </w:r>
      <w:r>
        <w:rPr>
          <w:vertAlign w:val="subscript"/>
        </w:rPr>
        <w:t>0</w:t>
      </w:r>
      <w:r>
        <w:t xml:space="preserve"> = 2, 3, 4 or 5.7.</w:t>
      </w:r>
    </w:p>
    <w:p w14:paraId="75CF6FC2" w14:textId="31FF6CA6" w:rsidR="00010E9F" w:rsidRDefault="00010E9F" w:rsidP="00C57D01"/>
    <w:p w14:paraId="2EF7E9DB" w14:textId="77D35052" w:rsidR="00010E9F" w:rsidRDefault="00010E9F" w:rsidP="00C57D01"/>
    <w:p w14:paraId="00BD4ADC" w14:textId="78ED9124" w:rsidR="00010E9F" w:rsidRDefault="00010E9F" w:rsidP="00C57D01"/>
    <w:p w14:paraId="4CE60D43" w14:textId="30979A08" w:rsidR="00010E9F" w:rsidRDefault="00010E9F" w:rsidP="00C57D01"/>
    <w:p w14:paraId="42FD04D1" w14:textId="77777777" w:rsidR="00010E9F" w:rsidRPr="00226B58" w:rsidRDefault="00010E9F" w:rsidP="00C57D01">
      <w:pPr>
        <w:rPr>
          <w:b/>
          <w:bCs/>
        </w:rPr>
      </w:pPr>
    </w:p>
    <w:p w14:paraId="62F7BD8A" w14:textId="77777777" w:rsidR="00C57D01" w:rsidRDefault="00C57D01" w:rsidP="00C57D01"/>
    <w:p w14:paraId="552F3398" w14:textId="77777777" w:rsidR="00C57D01" w:rsidRPr="00C8500C" w:rsidRDefault="00C57D01" w:rsidP="00C57D01">
      <w:pPr>
        <w:jc w:val="center"/>
        <w:rPr>
          <w:b/>
          <w:bCs/>
        </w:rPr>
      </w:pPr>
      <w:r>
        <w:rPr>
          <w:b/>
          <w:bCs/>
        </w:rPr>
        <w:lastRenderedPageBreak/>
        <w:t>References</w:t>
      </w:r>
    </w:p>
    <w:p w14:paraId="0EDB2D9B" w14:textId="77777777" w:rsidR="00C57D01" w:rsidRDefault="00C57D01" w:rsidP="00C57D01"/>
    <w:p w14:paraId="6EB5CD07" w14:textId="77777777" w:rsidR="000C1E68" w:rsidRPr="000C1E68" w:rsidRDefault="000C1E68" w:rsidP="000C1E68">
      <w:pPr>
        <w:pStyle w:val="Bibliography"/>
      </w:pPr>
      <w:r>
        <w:fldChar w:fldCharType="begin"/>
      </w:r>
      <w:r>
        <w:instrText xml:space="preserve"> ADDIN ZOTERO_BIBL {"uncited":[],"omitted":[],"custom":[]} CSL_BIBLIOGRAPHY </w:instrText>
      </w:r>
      <w:r>
        <w:fldChar w:fldCharType="separate"/>
      </w:r>
      <w:r w:rsidRPr="000C1E68">
        <w:t>1. South Dakota Coronavirus: 76,142 Cases and 849 Deaths (COVID-19 ) - Worldometer. https://www.worldometers.info/coronavirus/usa/south-dakota/. Accessed 26 Nov 2020.</w:t>
      </w:r>
    </w:p>
    <w:p w14:paraId="4F877350" w14:textId="77777777" w:rsidR="000C1E68" w:rsidRPr="000C1E68" w:rsidRDefault="000C1E68" w:rsidP="000C1E68">
      <w:pPr>
        <w:pStyle w:val="Bibliography"/>
      </w:pPr>
      <w:r w:rsidRPr="000C1E68">
        <w:t>2. South Dakota Population 2020 (Demographics, Maps, Graphs). https://worldpopulationreview.com/states/south-dakota-population. Accessed 26 Nov 2020.</w:t>
      </w:r>
    </w:p>
    <w:p w14:paraId="1A5FA1F3" w14:textId="77777777" w:rsidR="000C1E68" w:rsidRPr="000C1E68" w:rsidRDefault="000C1E68" w:rsidP="000C1E68">
      <w:pPr>
        <w:pStyle w:val="Bibliography"/>
      </w:pPr>
      <w:r w:rsidRPr="000C1E68">
        <w:t>3. Laxminarayan R, Wahl B, Dudala SR, Gopal K, B CM, Neelima S, et al. Epidemiology and transmission dynamics of COVID-19 in two Indian states. Science. 2020;370:691–7.</w:t>
      </w:r>
    </w:p>
    <w:p w14:paraId="61D4B19B" w14:textId="77777777" w:rsidR="000C1E68" w:rsidRPr="000C1E68" w:rsidRDefault="000C1E68" w:rsidP="000C1E68">
      <w:pPr>
        <w:pStyle w:val="Bibliography"/>
      </w:pPr>
      <w:r w:rsidRPr="000C1E68">
        <w:t>4. Chu DK, Akl EA, Duda S, Solo K, Yaacoub S, Schünemann HJ. Physical distancing, face masks, and eye protection to prevent person-to-person transmission of SARS-CoV-2 and COVID-19: a systematic review and meta-analysis. Lancet. 2020;395:1973–87.</w:t>
      </w:r>
    </w:p>
    <w:p w14:paraId="37AE6857" w14:textId="77777777" w:rsidR="000C1E68" w:rsidRPr="000C1E68" w:rsidRDefault="000C1E68" w:rsidP="000C1E68">
      <w:pPr>
        <w:pStyle w:val="Bibliography"/>
      </w:pPr>
      <w:r w:rsidRPr="000C1E68">
        <w:t>5. Levin AT, Hanage WP, Owusu-Boaitey N, Cochran KB, Walsh SP, Meyerowitz-Katz G. Assessing the age specificity of infection fatality rates for COVID-19: systematic review, meta-analysis, and public policy implications. Eur J Epidemiol. 2020. doi:10.1007/s10654-020-00698-1.</w:t>
      </w:r>
    </w:p>
    <w:p w14:paraId="38E5B410" w14:textId="77777777" w:rsidR="000C1E68" w:rsidRPr="000C1E68" w:rsidRDefault="000C1E68" w:rsidP="000C1E68">
      <w:pPr>
        <w:pStyle w:val="Bibliography"/>
      </w:pPr>
      <w:r w:rsidRPr="000C1E68">
        <w:t>6. 2018 Data: Alcohol-Impaired Driving. NHTSA’s Center for Statistics and Analysis. https://crashstats.nhtsa.dot.gov/Api/Public/ViewPublication/812864. Accessed 22 Dec 2020.</w:t>
      </w:r>
    </w:p>
    <w:p w14:paraId="5F399736" w14:textId="77777777" w:rsidR="000C1E68" w:rsidRPr="000C1E68" w:rsidRDefault="000C1E68" w:rsidP="000C1E68">
      <w:pPr>
        <w:pStyle w:val="Bibliography"/>
      </w:pPr>
      <w:r w:rsidRPr="000C1E68">
        <w:t>7. Gelfand MJ, Raver JL, Nishii L, Leslie LM, Lun J, Lim BC, et al. Differences between tight and loose cultures: a 33-nation study. Science. 2011;332:1100–4.</w:t>
      </w:r>
    </w:p>
    <w:p w14:paraId="78BD0AE5" w14:textId="02D8AC26" w:rsidR="001A77E3" w:rsidRDefault="000C1E68">
      <w:r>
        <w:fldChar w:fldCharType="end"/>
      </w:r>
    </w:p>
    <w:sectPr w:rsidR="001A77E3" w:rsidSect="005860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D01"/>
    <w:rsid w:val="000057D6"/>
    <w:rsid w:val="00006137"/>
    <w:rsid w:val="00010A07"/>
    <w:rsid w:val="00010E9F"/>
    <w:rsid w:val="00026CE0"/>
    <w:rsid w:val="000848C9"/>
    <w:rsid w:val="000C1E68"/>
    <w:rsid w:val="000E7EF1"/>
    <w:rsid w:val="00167771"/>
    <w:rsid w:val="001A77E3"/>
    <w:rsid w:val="001C5D97"/>
    <w:rsid w:val="0023752C"/>
    <w:rsid w:val="00237AEC"/>
    <w:rsid w:val="002B0F3E"/>
    <w:rsid w:val="00440E43"/>
    <w:rsid w:val="00496152"/>
    <w:rsid w:val="00501298"/>
    <w:rsid w:val="0052406F"/>
    <w:rsid w:val="00614D6A"/>
    <w:rsid w:val="00640235"/>
    <w:rsid w:val="00687E05"/>
    <w:rsid w:val="006A49EA"/>
    <w:rsid w:val="006F3014"/>
    <w:rsid w:val="00746515"/>
    <w:rsid w:val="0079409D"/>
    <w:rsid w:val="007D22BB"/>
    <w:rsid w:val="008454CD"/>
    <w:rsid w:val="008A5829"/>
    <w:rsid w:val="008F3EBC"/>
    <w:rsid w:val="00903105"/>
    <w:rsid w:val="0097705A"/>
    <w:rsid w:val="009F55C5"/>
    <w:rsid w:val="00A174B7"/>
    <w:rsid w:val="00A96C88"/>
    <w:rsid w:val="00A96DED"/>
    <w:rsid w:val="00AF003B"/>
    <w:rsid w:val="00B16DFA"/>
    <w:rsid w:val="00B25CE3"/>
    <w:rsid w:val="00B5666C"/>
    <w:rsid w:val="00B934C6"/>
    <w:rsid w:val="00BC537F"/>
    <w:rsid w:val="00BE0CD8"/>
    <w:rsid w:val="00C0189F"/>
    <w:rsid w:val="00C57D01"/>
    <w:rsid w:val="00C71F4B"/>
    <w:rsid w:val="00C72586"/>
    <w:rsid w:val="00CB4F7B"/>
    <w:rsid w:val="00CC79D3"/>
    <w:rsid w:val="00CF0338"/>
    <w:rsid w:val="00D260C5"/>
    <w:rsid w:val="00D57A7F"/>
    <w:rsid w:val="00D85A5A"/>
    <w:rsid w:val="00D86B26"/>
    <w:rsid w:val="00E170FE"/>
    <w:rsid w:val="00E210C5"/>
    <w:rsid w:val="00E252BA"/>
    <w:rsid w:val="00E343F5"/>
    <w:rsid w:val="00E90164"/>
    <w:rsid w:val="00EA2F6A"/>
    <w:rsid w:val="00EE33F9"/>
    <w:rsid w:val="00F501FA"/>
    <w:rsid w:val="00F8593A"/>
    <w:rsid w:val="00FB5B7E"/>
    <w:rsid w:val="00FD0A49"/>
  </w:rsids>
  <m:mathPr>
    <m:mathFont m:val="Cambria Math"/>
    <m:brkBin m:val="before"/>
    <m:brkBinSub m:val="--"/>
    <m:smallFrac/>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441E1"/>
  <w15:docId w15:val="{6447285E-5007-7C48-971E-DEDB8FC4B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57D01"/>
    <w:pPr>
      <w:spacing w:after="0" w:line="240" w:lineRule="auto"/>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C57D01"/>
    <w:pPr>
      <w:tabs>
        <w:tab w:val="left" w:pos="380"/>
      </w:tabs>
      <w:spacing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tiff"/><Relationship Id="rId17" Type="http://schemas.openxmlformats.org/officeDocument/2006/relationships/image" Target="media/image14.tiff"/><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_rels/settings.xml.rels><?xml version="1.0" encoding="UTF-8" standalone="yes"?>
<Relationships xmlns="http://schemas.openxmlformats.org/package/2006/relationships"><Relationship Id="rId1" Type="http://schemas.openxmlformats.org/officeDocument/2006/relationships/attachedTemplate" Target="file:////Applications/Zotero.app/Contents/Resources/extensions/zoteroMacWordIntegration@zotero.org/install/Zotero%20copy.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Zotero copy.dotm</Template>
  <TotalTime>16</TotalTime>
  <Pages>12</Pages>
  <Words>6297</Words>
  <Characters>35894</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Madison Stoddard</cp:lastModifiedBy>
  <cp:revision>5</cp:revision>
  <dcterms:created xsi:type="dcterms:W3CDTF">2020-12-22T18:56:00Z</dcterms:created>
  <dcterms:modified xsi:type="dcterms:W3CDTF">2021-01-25T16:03:00Z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id="zodSRBCD"/&gt;&lt;style id="http://www.zotero.org/styles/bmc-public-health" hasBibliography="1" bibliographyStyleHasBeenSet="1"/&gt;&lt;prefs&gt;&lt;pref name="fieldType" value="Field"/&gt;&lt;pref name="dontAskDelayCit</vt:lpwstr>
  </property>
  <property fmtid="{D5CDD505-2E9C-101B-9397-08002B2CF9AE}" pid="3" name="ZOTERO_PREF_2">
    <vt:lpwstr>ationUpdates" value="true"/&gt;&lt;/prefs&gt;&lt;/data&gt;</vt:lpwstr>
  </property>
</Properties>
</file>