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337D" w:rsidRPr="00D572D5" w:rsidRDefault="00185095" w:rsidP="0030337D">
      <w:pPr>
        <w:pStyle w:val="NoSpacing"/>
        <w:jc w:val="both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>Additional</w:t>
      </w:r>
      <w:bookmarkStart w:id="0" w:name="_GoBack"/>
      <w:bookmarkEnd w:id="0"/>
      <w:r w:rsidR="0032218B">
        <w:rPr>
          <w:rFonts w:ascii="Times New Roman" w:hAnsi="Times New Roman" w:cs="Times New Roman"/>
          <w:b/>
          <w:lang w:val="en-US"/>
        </w:rPr>
        <w:t xml:space="preserve"> Table 1 (A-E</w:t>
      </w:r>
      <w:r w:rsidR="0030337D" w:rsidRPr="00D572D5">
        <w:rPr>
          <w:rFonts w:ascii="Times New Roman" w:hAnsi="Times New Roman" w:cs="Times New Roman"/>
          <w:b/>
          <w:lang w:val="en-US"/>
        </w:rPr>
        <w:t xml:space="preserve">): </w:t>
      </w:r>
      <w:proofErr w:type="spellStart"/>
      <w:r w:rsidR="0030337D" w:rsidRPr="00D572D5">
        <w:rPr>
          <w:rFonts w:ascii="Times New Roman" w:hAnsi="Times New Roman" w:cs="Times New Roman"/>
          <w:b/>
          <w:lang w:val="en-US"/>
        </w:rPr>
        <w:t>ProNGF</w:t>
      </w:r>
      <w:proofErr w:type="spellEnd"/>
      <w:r w:rsidR="0030337D" w:rsidRPr="00D572D5">
        <w:rPr>
          <w:rFonts w:ascii="Times New Roman" w:hAnsi="Times New Roman" w:cs="Times New Roman"/>
          <w:b/>
          <w:lang w:val="en-US"/>
        </w:rPr>
        <w:t xml:space="preserve"> ELISA Validation Experiments </w:t>
      </w:r>
      <w:r w:rsidR="0032218B">
        <w:rPr>
          <w:rFonts w:ascii="Times New Roman" w:hAnsi="Times New Roman" w:cs="Times New Roman"/>
          <w:b/>
          <w:lang w:val="en-US"/>
        </w:rPr>
        <w:t>–</w:t>
      </w:r>
      <w:r w:rsidR="0030337D" w:rsidRPr="00D572D5">
        <w:rPr>
          <w:rFonts w:ascii="Times New Roman" w:hAnsi="Times New Roman" w:cs="Times New Roman"/>
          <w:b/>
          <w:lang w:val="en-US"/>
        </w:rPr>
        <w:t xml:space="preserve"> Serum</w:t>
      </w:r>
      <w:r w:rsidR="0032218B">
        <w:rPr>
          <w:rFonts w:ascii="Times New Roman" w:hAnsi="Times New Roman" w:cs="Times New Roman"/>
          <w:b/>
          <w:lang w:val="en-US"/>
        </w:rPr>
        <w:t xml:space="preserve"> and Rinse</w:t>
      </w:r>
    </w:p>
    <w:p w:rsidR="0030337D" w:rsidRPr="00D572D5" w:rsidRDefault="0030337D" w:rsidP="0030337D">
      <w:pPr>
        <w:pStyle w:val="NoSpacing"/>
        <w:jc w:val="both"/>
        <w:rPr>
          <w:rFonts w:ascii="Times New Roman" w:hAnsi="Times New Roman" w:cs="Times New Roman"/>
          <w:lang w:val="en-US"/>
        </w:rPr>
      </w:pPr>
    </w:p>
    <w:p w:rsidR="0030337D" w:rsidRPr="00D572D5" w:rsidRDefault="0030337D" w:rsidP="0030337D">
      <w:pPr>
        <w:pStyle w:val="NoSpacing"/>
        <w:jc w:val="both"/>
        <w:rPr>
          <w:rFonts w:ascii="Times New Roman" w:hAnsi="Times New Roman" w:cs="Times New Roman"/>
          <w:lang w:val="en-US"/>
        </w:rPr>
      </w:pPr>
      <w:r w:rsidRPr="00D572D5">
        <w:rPr>
          <w:rFonts w:ascii="Times New Roman" w:hAnsi="Times New Roman" w:cs="Times New Roman"/>
          <w:b/>
          <w:lang w:val="en-US"/>
        </w:rPr>
        <w:t xml:space="preserve">1A: Effect of </w:t>
      </w:r>
      <w:proofErr w:type="spellStart"/>
      <w:r w:rsidRPr="00D572D5">
        <w:rPr>
          <w:rFonts w:ascii="Times New Roman" w:hAnsi="Times New Roman" w:cs="Times New Roman"/>
          <w:b/>
          <w:lang w:val="en-US"/>
        </w:rPr>
        <w:t>heterophilic</w:t>
      </w:r>
      <w:proofErr w:type="spellEnd"/>
      <w:r w:rsidRPr="00D572D5">
        <w:rPr>
          <w:rFonts w:ascii="Times New Roman" w:hAnsi="Times New Roman" w:cs="Times New Roman"/>
          <w:b/>
          <w:lang w:val="en-US"/>
        </w:rPr>
        <w:t xml:space="preserve"> blocking antibodies (Ab) (BL-003-1000, </w:t>
      </w:r>
      <w:proofErr w:type="spellStart"/>
      <w:r w:rsidRPr="00D572D5">
        <w:rPr>
          <w:rFonts w:ascii="Times New Roman" w:hAnsi="Times New Roman" w:cs="Times New Roman"/>
          <w:b/>
          <w:lang w:val="en-US"/>
        </w:rPr>
        <w:t>Biosensis</w:t>
      </w:r>
      <w:proofErr w:type="spellEnd"/>
      <w:r w:rsidRPr="00D572D5">
        <w:rPr>
          <w:rFonts w:ascii="Times New Roman" w:hAnsi="Times New Roman" w:cs="Times New Roman"/>
          <w:b/>
          <w:lang w:val="en-US"/>
        </w:rPr>
        <w:t xml:space="preserve">, Australia) on rate of positivity of serum </w:t>
      </w:r>
      <w:proofErr w:type="spellStart"/>
      <w:r w:rsidRPr="00D572D5">
        <w:rPr>
          <w:rFonts w:ascii="Times New Roman" w:hAnsi="Times New Roman" w:cs="Times New Roman"/>
          <w:b/>
          <w:lang w:val="en-US"/>
        </w:rPr>
        <w:t>proNGF</w:t>
      </w:r>
      <w:proofErr w:type="spellEnd"/>
      <w:r w:rsidRPr="00D572D5">
        <w:rPr>
          <w:rFonts w:ascii="Times New Roman" w:hAnsi="Times New Roman" w:cs="Times New Roman"/>
          <w:b/>
          <w:lang w:val="en-US"/>
        </w:rPr>
        <w:t xml:space="preserve"> levels.</w:t>
      </w:r>
      <w:r w:rsidRPr="00D572D5">
        <w:rPr>
          <w:rFonts w:ascii="Times New Roman" w:hAnsi="Times New Roman" w:cs="Times New Roman"/>
          <w:lang w:val="en-US"/>
        </w:rPr>
        <w:t xml:space="preserve">  No changes were observed in performance of the standard curve with presence or absence of blocking antibody (data not shown).  </w:t>
      </w:r>
    </w:p>
    <w:p w:rsidR="0030337D" w:rsidRPr="00D572D5" w:rsidRDefault="0030337D" w:rsidP="0030337D">
      <w:pPr>
        <w:pStyle w:val="NoSpacing"/>
        <w:jc w:val="both"/>
        <w:rPr>
          <w:rFonts w:ascii="Times New Roman" w:hAnsi="Times New Roman" w:cs="Times New Roman"/>
          <w:b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1560"/>
        <w:gridCol w:w="1701"/>
        <w:gridCol w:w="1842"/>
        <w:gridCol w:w="1083"/>
      </w:tblGrid>
      <w:tr w:rsidR="0030337D" w:rsidRPr="00D572D5" w:rsidTr="00047D74">
        <w:tc>
          <w:tcPr>
            <w:tcW w:w="2830" w:type="dxa"/>
            <w:vMerge w:val="restart"/>
            <w:shd w:val="clear" w:color="auto" w:fill="000000" w:themeFill="text1"/>
            <w:vAlign w:val="center"/>
          </w:tcPr>
          <w:p w:rsidR="0030337D" w:rsidRPr="00D572D5" w:rsidRDefault="0030337D" w:rsidP="00047D74">
            <w:pPr>
              <w:pStyle w:val="NoSpacing"/>
              <w:jc w:val="both"/>
              <w:rPr>
                <w:rFonts w:ascii="Times New Roman" w:hAnsi="Times New Roman" w:cs="Times New Roman"/>
                <w:b/>
                <w:lang w:val="en-US"/>
              </w:rPr>
            </w:pPr>
            <w:r w:rsidRPr="00D572D5">
              <w:rPr>
                <w:rFonts w:ascii="Times New Roman" w:hAnsi="Times New Roman" w:cs="Times New Roman"/>
                <w:b/>
                <w:lang w:val="en-US"/>
              </w:rPr>
              <w:t>Disease category</w:t>
            </w:r>
          </w:p>
        </w:tc>
        <w:tc>
          <w:tcPr>
            <w:tcW w:w="1560" w:type="dxa"/>
            <w:vMerge w:val="restart"/>
            <w:shd w:val="clear" w:color="auto" w:fill="000000" w:themeFill="text1"/>
            <w:vAlign w:val="center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D572D5">
              <w:rPr>
                <w:rFonts w:ascii="Times New Roman" w:hAnsi="Times New Roman" w:cs="Times New Roman"/>
                <w:b/>
                <w:lang w:val="en-US"/>
              </w:rPr>
              <w:t>Serum samples assayed (n)</w:t>
            </w:r>
          </w:p>
        </w:tc>
        <w:tc>
          <w:tcPr>
            <w:tcW w:w="3543" w:type="dxa"/>
            <w:gridSpan w:val="2"/>
            <w:shd w:val="clear" w:color="auto" w:fill="000000" w:themeFill="text1"/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D572D5">
              <w:rPr>
                <w:rFonts w:ascii="Times New Roman" w:hAnsi="Times New Roman" w:cs="Times New Roman"/>
                <w:b/>
                <w:lang w:val="en-US"/>
              </w:rPr>
              <w:t>% of samples positive</w:t>
            </w:r>
          </w:p>
        </w:tc>
        <w:tc>
          <w:tcPr>
            <w:tcW w:w="1083" w:type="dxa"/>
            <w:vMerge w:val="restart"/>
            <w:shd w:val="clear" w:color="auto" w:fill="000000" w:themeFill="text1"/>
            <w:vAlign w:val="center"/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D572D5">
              <w:rPr>
                <w:rFonts w:ascii="Times New Roman" w:hAnsi="Times New Roman" w:cs="Times New Roman"/>
                <w:b/>
                <w:lang w:val="en-US"/>
              </w:rPr>
              <w:t>p-value</w:t>
            </w:r>
          </w:p>
        </w:tc>
      </w:tr>
      <w:tr w:rsidR="0030337D" w:rsidRPr="00D572D5" w:rsidTr="00047D74">
        <w:tc>
          <w:tcPr>
            <w:tcW w:w="2830" w:type="dxa"/>
            <w:vMerge/>
            <w:tcBorders>
              <w:bottom w:val="single" w:sz="4" w:space="0" w:color="auto"/>
            </w:tcBorders>
            <w:shd w:val="clear" w:color="auto" w:fill="000000" w:themeFill="text1"/>
          </w:tcPr>
          <w:p w:rsidR="0030337D" w:rsidRPr="00D572D5" w:rsidRDefault="0030337D" w:rsidP="00047D74">
            <w:pPr>
              <w:pStyle w:val="NoSpacing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000000" w:themeFill="text1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000000" w:themeFill="text1"/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 xml:space="preserve">No </w:t>
            </w:r>
            <w:proofErr w:type="spellStart"/>
            <w:r w:rsidRPr="00D572D5">
              <w:rPr>
                <w:rFonts w:ascii="Times New Roman" w:hAnsi="Times New Roman" w:cs="Times New Roman"/>
                <w:lang w:val="en-US"/>
              </w:rPr>
              <w:t>Heterophilic</w:t>
            </w:r>
            <w:proofErr w:type="spellEnd"/>
            <w:r w:rsidRPr="00D572D5">
              <w:rPr>
                <w:rFonts w:ascii="Times New Roman" w:hAnsi="Times New Roman" w:cs="Times New Roman"/>
                <w:lang w:val="en-US"/>
              </w:rPr>
              <w:t xml:space="preserve"> Blocking Ab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000000" w:themeFill="text1"/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 xml:space="preserve">With </w:t>
            </w:r>
            <w:proofErr w:type="spellStart"/>
            <w:r w:rsidRPr="00D572D5">
              <w:rPr>
                <w:rFonts w:ascii="Times New Roman" w:hAnsi="Times New Roman" w:cs="Times New Roman"/>
                <w:lang w:val="en-US"/>
              </w:rPr>
              <w:t>Heterophilic</w:t>
            </w:r>
            <w:proofErr w:type="spellEnd"/>
            <w:r w:rsidRPr="00D572D5">
              <w:rPr>
                <w:rFonts w:ascii="Times New Roman" w:hAnsi="Times New Roman" w:cs="Times New Roman"/>
                <w:lang w:val="en-US"/>
              </w:rPr>
              <w:t xml:space="preserve"> Blocking Ab</w:t>
            </w:r>
          </w:p>
        </w:tc>
        <w:tc>
          <w:tcPr>
            <w:tcW w:w="1083" w:type="dxa"/>
            <w:vMerge/>
            <w:tcBorders>
              <w:bottom w:val="single" w:sz="4" w:space="0" w:color="auto"/>
            </w:tcBorders>
            <w:shd w:val="clear" w:color="auto" w:fill="000000" w:themeFill="text1"/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30337D" w:rsidRPr="00D572D5" w:rsidTr="00047D74">
        <w:tc>
          <w:tcPr>
            <w:tcW w:w="2830" w:type="dxa"/>
            <w:tcBorders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both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Thyroid cancer</w:t>
            </w:r>
          </w:p>
        </w:tc>
        <w:tc>
          <w:tcPr>
            <w:tcW w:w="1560" w:type="dxa"/>
            <w:tcBorders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20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45%</w:t>
            </w:r>
          </w:p>
        </w:tc>
        <w:tc>
          <w:tcPr>
            <w:tcW w:w="1842" w:type="dxa"/>
            <w:tcBorders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15%</w:t>
            </w:r>
          </w:p>
        </w:tc>
        <w:tc>
          <w:tcPr>
            <w:tcW w:w="1083" w:type="dxa"/>
            <w:tcBorders>
              <w:left w:val="nil"/>
              <w:bottom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0.04</w:t>
            </w:r>
          </w:p>
        </w:tc>
      </w:tr>
      <w:tr w:rsidR="0030337D" w:rsidRPr="00D572D5" w:rsidTr="00047D74">
        <w:tc>
          <w:tcPr>
            <w:tcW w:w="2830" w:type="dxa"/>
            <w:tcBorders>
              <w:top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both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Benign thyroid disease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30%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15%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0.25</w:t>
            </w:r>
          </w:p>
        </w:tc>
      </w:tr>
      <w:tr w:rsidR="0030337D" w:rsidRPr="00D572D5" w:rsidTr="00047D74">
        <w:tc>
          <w:tcPr>
            <w:tcW w:w="2830" w:type="dxa"/>
            <w:tcBorders>
              <w:top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both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No thyroid disease</w:t>
            </w: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18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44%</w:t>
            </w:r>
          </w:p>
        </w:tc>
        <w:tc>
          <w:tcPr>
            <w:tcW w:w="1842" w:type="dxa"/>
            <w:tcBorders>
              <w:top w:val="nil"/>
              <w:left w:val="nil"/>
              <w:righ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6%</w:t>
            </w:r>
          </w:p>
        </w:tc>
        <w:tc>
          <w:tcPr>
            <w:tcW w:w="1083" w:type="dxa"/>
            <w:tcBorders>
              <w:top w:val="nil"/>
              <w:left w:val="nil"/>
            </w:tcBorders>
          </w:tcPr>
          <w:p w:rsidR="0030337D" w:rsidRPr="00D572D5" w:rsidRDefault="0030337D" w:rsidP="00047D74">
            <w:pPr>
              <w:pStyle w:val="NoSpacing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0.006</w:t>
            </w:r>
          </w:p>
        </w:tc>
      </w:tr>
    </w:tbl>
    <w:p w:rsidR="0030337D" w:rsidRPr="00D572D5" w:rsidRDefault="0030337D" w:rsidP="0030337D">
      <w:pPr>
        <w:pStyle w:val="NoSpacing"/>
        <w:jc w:val="both"/>
        <w:rPr>
          <w:rFonts w:ascii="Times New Roman" w:hAnsi="Times New Roman" w:cs="Times New Roman"/>
          <w:b/>
          <w:lang w:val="en-US"/>
        </w:rPr>
      </w:pPr>
    </w:p>
    <w:p w:rsidR="0030337D" w:rsidRPr="00D572D5" w:rsidRDefault="0030337D" w:rsidP="0030337D">
      <w:pPr>
        <w:spacing w:line="240" w:lineRule="auto"/>
        <w:jc w:val="both"/>
        <w:rPr>
          <w:rFonts w:ascii="Times New Roman" w:hAnsi="Times New Roman" w:cs="Times New Roman"/>
          <w:b/>
          <w:lang w:val="en-US"/>
        </w:rPr>
      </w:pPr>
      <w:r w:rsidRPr="00D572D5">
        <w:rPr>
          <w:rFonts w:ascii="Times New Roman" w:hAnsi="Times New Roman" w:cs="Times New Roman"/>
          <w:b/>
          <w:lang w:val="en-US"/>
        </w:rPr>
        <w:t xml:space="preserve">1B: Spike and Recovery Experiments. </w:t>
      </w:r>
      <w:r w:rsidRPr="00D572D5">
        <w:rPr>
          <w:rFonts w:ascii="Times New Roman" w:hAnsi="Times New Roman" w:cs="Times New Roman"/>
          <w:lang w:val="en-US"/>
        </w:rPr>
        <w:t xml:space="preserve">4 serum samples were assayed before and after a 2.5ng/mL spike (50ng/mL following adjustment for dilution) of recombinant </w:t>
      </w:r>
      <w:proofErr w:type="spellStart"/>
      <w:r w:rsidRPr="00D572D5">
        <w:rPr>
          <w:rFonts w:ascii="Times New Roman" w:hAnsi="Times New Roman" w:cs="Times New Roman"/>
          <w:lang w:val="en-US"/>
        </w:rPr>
        <w:t>proNGF</w:t>
      </w:r>
      <w:proofErr w:type="spellEnd"/>
      <w:r w:rsidRPr="00D572D5">
        <w:rPr>
          <w:rFonts w:ascii="Times New Roman" w:hAnsi="Times New Roman" w:cs="Times New Roman"/>
          <w:lang w:val="en-US"/>
        </w:rPr>
        <w:t xml:space="preserve"> (</w:t>
      </w:r>
      <w:proofErr w:type="spellStart"/>
      <w:r w:rsidRPr="00D572D5">
        <w:rPr>
          <w:rFonts w:ascii="Times New Roman" w:hAnsi="Times New Roman" w:cs="Times New Roman"/>
          <w:lang w:val="en-US"/>
        </w:rPr>
        <w:t>Biosensis</w:t>
      </w:r>
      <w:proofErr w:type="spellEnd"/>
      <w:r w:rsidRPr="00D572D5">
        <w:rPr>
          <w:rFonts w:ascii="Times New Roman" w:hAnsi="Times New Roman" w:cs="Times New Roman"/>
          <w:lang w:val="en-US"/>
        </w:rPr>
        <w:t xml:space="preserve">, Australia) at 1:20 dilution, in the presence of </w:t>
      </w:r>
      <w:proofErr w:type="spellStart"/>
      <w:r w:rsidRPr="00D572D5">
        <w:rPr>
          <w:rFonts w:ascii="Times New Roman" w:hAnsi="Times New Roman" w:cs="Times New Roman"/>
          <w:lang w:val="en-US"/>
        </w:rPr>
        <w:t>Heterophilic</w:t>
      </w:r>
      <w:proofErr w:type="spellEnd"/>
      <w:r w:rsidRPr="00D572D5">
        <w:rPr>
          <w:rFonts w:ascii="Times New Roman" w:hAnsi="Times New Roman" w:cs="Times New Roman"/>
          <w:lang w:val="en-US"/>
        </w:rPr>
        <w:t xml:space="preserve"> Blocking Antibodies (BL-003-1000).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02"/>
        <w:gridCol w:w="1502"/>
        <w:gridCol w:w="1503"/>
        <w:gridCol w:w="2151"/>
      </w:tblGrid>
      <w:tr w:rsidR="0030337D" w:rsidRPr="00D572D5" w:rsidTr="00047D74">
        <w:tc>
          <w:tcPr>
            <w:tcW w:w="1502" w:type="dxa"/>
            <w:vMerge w:val="restart"/>
            <w:shd w:val="clear" w:color="auto" w:fill="000000" w:themeFill="text1"/>
            <w:vAlign w:val="center"/>
          </w:tcPr>
          <w:p w:rsidR="0030337D" w:rsidRPr="00D572D5" w:rsidRDefault="0030337D" w:rsidP="00047D74">
            <w:pPr>
              <w:jc w:val="both"/>
              <w:rPr>
                <w:rFonts w:ascii="Times New Roman" w:hAnsi="Times New Roman" w:cs="Times New Roman"/>
                <w:b/>
                <w:lang w:val="en-US"/>
              </w:rPr>
            </w:pPr>
            <w:r w:rsidRPr="00D572D5">
              <w:rPr>
                <w:rFonts w:ascii="Times New Roman" w:hAnsi="Times New Roman" w:cs="Times New Roman"/>
                <w:b/>
                <w:lang w:val="en-US"/>
              </w:rPr>
              <w:t>Sample</w:t>
            </w:r>
          </w:p>
        </w:tc>
        <w:tc>
          <w:tcPr>
            <w:tcW w:w="3005" w:type="dxa"/>
            <w:gridSpan w:val="2"/>
            <w:shd w:val="clear" w:color="auto" w:fill="000000" w:themeFill="text1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proofErr w:type="spellStart"/>
            <w:r w:rsidRPr="00D572D5">
              <w:rPr>
                <w:rFonts w:ascii="Times New Roman" w:hAnsi="Times New Roman" w:cs="Times New Roman"/>
                <w:b/>
                <w:lang w:val="en-US"/>
              </w:rPr>
              <w:t>ProNGF</w:t>
            </w:r>
            <w:proofErr w:type="spellEnd"/>
            <w:r w:rsidRPr="00D572D5">
              <w:rPr>
                <w:rFonts w:ascii="Times New Roman" w:hAnsi="Times New Roman" w:cs="Times New Roman"/>
                <w:b/>
                <w:lang w:val="en-US"/>
              </w:rPr>
              <w:t xml:space="preserve"> (ng/mL)</w:t>
            </w:r>
          </w:p>
        </w:tc>
        <w:tc>
          <w:tcPr>
            <w:tcW w:w="2151" w:type="dxa"/>
            <w:vMerge w:val="restart"/>
            <w:shd w:val="clear" w:color="auto" w:fill="000000" w:themeFill="text1"/>
            <w:vAlign w:val="center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D572D5">
              <w:rPr>
                <w:rFonts w:ascii="Times New Roman" w:hAnsi="Times New Roman" w:cs="Times New Roman"/>
                <w:b/>
                <w:lang w:val="en-US"/>
              </w:rPr>
              <w:t>% recovery of spike</w:t>
            </w:r>
          </w:p>
        </w:tc>
      </w:tr>
      <w:tr w:rsidR="0030337D" w:rsidRPr="00D572D5" w:rsidTr="00047D74">
        <w:tc>
          <w:tcPr>
            <w:tcW w:w="1502" w:type="dxa"/>
            <w:vMerge/>
            <w:tcBorders>
              <w:bottom w:val="single" w:sz="4" w:space="0" w:color="auto"/>
            </w:tcBorders>
            <w:shd w:val="clear" w:color="auto" w:fill="000000" w:themeFill="text1"/>
          </w:tcPr>
          <w:p w:rsidR="0030337D" w:rsidRPr="00D572D5" w:rsidRDefault="0030337D" w:rsidP="00047D74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502" w:type="dxa"/>
            <w:tcBorders>
              <w:bottom w:val="single" w:sz="4" w:space="0" w:color="auto"/>
            </w:tcBorders>
            <w:shd w:val="clear" w:color="auto" w:fill="000000" w:themeFill="text1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Pre-spike</w:t>
            </w:r>
          </w:p>
        </w:tc>
        <w:tc>
          <w:tcPr>
            <w:tcW w:w="1503" w:type="dxa"/>
            <w:tcBorders>
              <w:bottom w:val="single" w:sz="4" w:space="0" w:color="auto"/>
            </w:tcBorders>
            <w:shd w:val="clear" w:color="auto" w:fill="000000" w:themeFill="text1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Post-spike</w:t>
            </w:r>
          </w:p>
        </w:tc>
        <w:tc>
          <w:tcPr>
            <w:tcW w:w="2151" w:type="dxa"/>
            <w:vMerge/>
            <w:tcBorders>
              <w:bottom w:val="single" w:sz="4" w:space="0" w:color="auto"/>
            </w:tcBorders>
            <w:shd w:val="clear" w:color="auto" w:fill="000000" w:themeFill="text1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30337D" w:rsidRPr="00D572D5" w:rsidTr="00047D74">
        <w:tc>
          <w:tcPr>
            <w:tcW w:w="1502" w:type="dxa"/>
            <w:tcBorders>
              <w:bottom w:val="nil"/>
              <w:right w:val="nil"/>
            </w:tcBorders>
          </w:tcPr>
          <w:p w:rsidR="0030337D" w:rsidRPr="00D572D5" w:rsidRDefault="0030337D" w:rsidP="00047D74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Sample A</w:t>
            </w:r>
          </w:p>
        </w:tc>
        <w:tc>
          <w:tcPr>
            <w:tcW w:w="1502" w:type="dxa"/>
            <w:tcBorders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2.7</w:t>
            </w:r>
          </w:p>
        </w:tc>
        <w:tc>
          <w:tcPr>
            <w:tcW w:w="1503" w:type="dxa"/>
            <w:tcBorders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66.7</w:t>
            </w:r>
          </w:p>
        </w:tc>
        <w:tc>
          <w:tcPr>
            <w:tcW w:w="2151" w:type="dxa"/>
            <w:tcBorders>
              <w:left w:val="nil"/>
              <w:bottom w:val="nil"/>
            </w:tcBorders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128%</w:t>
            </w:r>
          </w:p>
        </w:tc>
      </w:tr>
      <w:tr w:rsidR="0030337D" w:rsidRPr="00D572D5" w:rsidTr="00047D74">
        <w:tc>
          <w:tcPr>
            <w:tcW w:w="1502" w:type="dxa"/>
            <w:tcBorders>
              <w:top w:val="nil"/>
              <w:bottom w:val="nil"/>
              <w:right w:val="nil"/>
            </w:tcBorders>
          </w:tcPr>
          <w:p w:rsidR="0030337D" w:rsidRPr="00D572D5" w:rsidRDefault="0030337D" w:rsidP="00047D74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Sample B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0.0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47.8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</w:tcBorders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96%</w:t>
            </w:r>
          </w:p>
        </w:tc>
      </w:tr>
      <w:tr w:rsidR="0030337D" w:rsidRPr="00D572D5" w:rsidTr="00047D74">
        <w:tc>
          <w:tcPr>
            <w:tcW w:w="1502" w:type="dxa"/>
            <w:tcBorders>
              <w:top w:val="nil"/>
              <w:bottom w:val="nil"/>
              <w:right w:val="nil"/>
            </w:tcBorders>
          </w:tcPr>
          <w:p w:rsidR="0030337D" w:rsidRPr="00D572D5" w:rsidRDefault="0030337D" w:rsidP="00047D74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Sample C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0.1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41.0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</w:tcBorders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82%</w:t>
            </w:r>
          </w:p>
        </w:tc>
      </w:tr>
      <w:tr w:rsidR="0030337D" w:rsidRPr="00D572D5" w:rsidTr="00047D74">
        <w:tc>
          <w:tcPr>
            <w:tcW w:w="1502" w:type="dxa"/>
            <w:tcBorders>
              <w:top w:val="nil"/>
              <w:bottom w:val="nil"/>
              <w:right w:val="nil"/>
            </w:tcBorders>
          </w:tcPr>
          <w:p w:rsidR="0030337D" w:rsidRPr="00D572D5" w:rsidRDefault="0030337D" w:rsidP="00047D74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Sample D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0.0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40.1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</w:tcBorders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80%</w:t>
            </w:r>
          </w:p>
        </w:tc>
      </w:tr>
      <w:tr w:rsidR="0030337D" w:rsidRPr="00D572D5" w:rsidTr="00047D74">
        <w:tc>
          <w:tcPr>
            <w:tcW w:w="4507" w:type="dxa"/>
            <w:gridSpan w:val="3"/>
            <w:tcBorders>
              <w:top w:val="nil"/>
              <w:right w:val="nil"/>
            </w:tcBorders>
          </w:tcPr>
          <w:p w:rsidR="0030337D" w:rsidRPr="00D572D5" w:rsidRDefault="0030337D" w:rsidP="00047D74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D572D5">
              <w:rPr>
                <w:rFonts w:ascii="Times New Roman" w:hAnsi="Times New Roman" w:cs="Times New Roman"/>
                <w:b/>
                <w:lang w:val="en-US"/>
              </w:rPr>
              <w:t>Mean</w:t>
            </w:r>
          </w:p>
        </w:tc>
        <w:tc>
          <w:tcPr>
            <w:tcW w:w="2151" w:type="dxa"/>
            <w:tcBorders>
              <w:top w:val="nil"/>
              <w:left w:val="nil"/>
            </w:tcBorders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D572D5">
              <w:rPr>
                <w:rFonts w:ascii="Times New Roman" w:hAnsi="Times New Roman" w:cs="Times New Roman"/>
                <w:b/>
                <w:lang w:val="en-US"/>
              </w:rPr>
              <w:t>96%</w:t>
            </w:r>
          </w:p>
        </w:tc>
      </w:tr>
    </w:tbl>
    <w:p w:rsidR="0030337D" w:rsidRPr="00D572D5" w:rsidRDefault="0030337D" w:rsidP="0030337D">
      <w:pPr>
        <w:spacing w:line="240" w:lineRule="auto"/>
        <w:jc w:val="both"/>
        <w:rPr>
          <w:rFonts w:ascii="Times New Roman" w:hAnsi="Times New Roman" w:cs="Times New Roman"/>
          <w:b/>
          <w:lang w:val="en-US"/>
        </w:rPr>
      </w:pPr>
    </w:p>
    <w:p w:rsidR="0030337D" w:rsidRPr="00D572D5" w:rsidRDefault="0030337D" w:rsidP="0030337D">
      <w:pPr>
        <w:spacing w:line="240" w:lineRule="auto"/>
        <w:jc w:val="both"/>
        <w:rPr>
          <w:rFonts w:ascii="Times New Roman" w:hAnsi="Times New Roman" w:cs="Times New Roman"/>
          <w:lang w:val="en-US"/>
        </w:rPr>
      </w:pPr>
      <w:r w:rsidRPr="00D572D5">
        <w:rPr>
          <w:rFonts w:ascii="Times New Roman" w:hAnsi="Times New Roman" w:cs="Times New Roman"/>
          <w:b/>
          <w:lang w:val="en-US"/>
        </w:rPr>
        <w:t xml:space="preserve">1C: Inter-plate Quality Control Samples </w:t>
      </w:r>
      <w:r w:rsidRPr="00D572D5">
        <w:rPr>
          <w:rFonts w:ascii="Times New Roman" w:hAnsi="Times New Roman" w:cs="Times New Roman"/>
          <w:lang w:val="en-US"/>
        </w:rPr>
        <w:t xml:space="preserve">A quality-control solution (QC) was prepared by spiking 1:20 diluted </w:t>
      </w:r>
      <w:proofErr w:type="spellStart"/>
      <w:r w:rsidRPr="00D572D5">
        <w:rPr>
          <w:rFonts w:ascii="Times New Roman" w:hAnsi="Times New Roman" w:cs="Times New Roman"/>
          <w:lang w:val="en-US"/>
        </w:rPr>
        <w:t>proNGF</w:t>
      </w:r>
      <w:proofErr w:type="spellEnd"/>
      <w:r w:rsidRPr="00D572D5">
        <w:rPr>
          <w:rFonts w:ascii="Times New Roman" w:hAnsi="Times New Roman" w:cs="Times New Roman"/>
          <w:lang w:val="en-US"/>
        </w:rPr>
        <w:t xml:space="preserve">-negative serum with 1.61ng/mL (32.15ng/mL after correction for dilution) recombinant </w:t>
      </w:r>
      <w:proofErr w:type="spellStart"/>
      <w:r w:rsidRPr="00D572D5">
        <w:rPr>
          <w:rFonts w:ascii="Times New Roman" w:hAnsi="Times New Roman" w:cs="Times New Roman"/>
          <w:lang w:val="en-US"/>
        </w:rPr>
        <w:t>proNGF</w:t>
      </w:r>
      <w:proofErr w:type="spellEnd"/>
      <w:r w:rsidRPr="00D572D5">
        <w:rPr>
          <w:rFonts w:ascii="Times New Roman" w:hAnsi="Times New Roman" w:cs="Times New Roman"/>
          <w:lang w:val="en-US"/>
        </w:rPr>
        <w:t xml:space="preserve"> with </w:t>
      </w:r>
      <w:proofErr w:type="spellStart"/>
      <w:r w:rsidRPr="00D572D5">
        <w:rPr>
          <w:rFonts w:ascii="Times New Roman" w:hAnsi="Times New Roman" w:cs="Times New Roman"/>
          <w:lang w:val="en-US"/>
        </w:rPr>
        <w:t>heterophilic</w:t>
      </w:r>
      <w:proofErr w:type="spellEnd"/>
      <w:r w:rsidRPr="00D572D5">
        <w:rPr>
          <w:rFonts w:ascii="Times New Roman" w:hAnsi="Times New Roman" w:cs="Times New Roman"/>
          <w:lang w:val="en-US"/>
        </w:rPr>
        <w:t xml:space="preserve"> blocking antibodies.  Aliquots of the QC sample were included on each ELISA plate.  Plate numbers reflect two different batches of ELISA plates.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1062"/>
        <w:gridCol w:w="730"/>
        <w:gridCol w:w="620"/>
        <w:gridCol w:w="730"/>
        <w:gridCol w:w="730"/>
        <w:gridCol w:w="730"/>
        <w:gridCol w:w="620"/>
        <w:gridCol w:w="620"/>
        <w:gridCol w:w="620"/>
        <w:gridCol w:w="620"/>
        <w:gridCol w:w="620"/>
        <w:gridCol w:w="730"/>
        <w:gridCol w:w="777"/>
      </w:tblGrid>
      <w:tr w:rsidR="0030337D" w:rsidRPr="00D572D5" w:rsidTr="00047D74">
        <w:tc>
          <w:tcPr>
            <w:tcW w:w="1069" w:type="dxa"/>
            <w:tcBorders>
              <w:bottom w:val="single" w:sz="4" w:space="0" w:color="auto"/>
            </w:tcBorders>
            <w:shd w:val="clear" w:color="auto" w:fill="000000" w:themeFill="text1"/>
            <w:vAlign w:val="center"/>
          </w:tcPr>
          <w:p w:rsidR="0030337D" w:rsidRPr="00D572D5" w:rsidRDefault="0030337D" w:rsidP="00047D74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Plate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000000" w:themeFill="text1"/>
            <w:vAlign w:val="center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1.1</w:t>
            </w:r>
          </w:p>
        </w:tc>
        <w:tc>
          <w:tcPr>
            <w:tcW w:w="613" w:type="dxa"/>
            <w:tcBorders>
              <w:bottom w:val="single" w:sz="4" w:space="0" w:color="auto"/>
            </w:tcBorders>
            <w:shd w:val="clear" w:color="auto" w:fill="000000" w:themeFill="text1"/>
            <w:vAlign w:val="center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1.2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000000" w:themeFill="text1"/>
            <w:vAlign w:val="center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1.3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000000" w:themeFill="text1"/>
            <w:vAlign w:val="center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1.4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000000" w:themeFill="text1"/>
            <w:vAlign w:val="center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1.5</w:t>
            </w:r>
          </w:p>
        </w:tc>
        <w:tc>
          <w:tcPr>
            <w:tcW w:w="613" w:type="dxa"/>
            <w:tcBorders>
              <w:bottom w:val="single" w:sz="4" w:space="0" w:color="auto"/>
            </w:tcBorders>
            <w:shd w:val="clear" w:color="auto" w:fill="000000" w:themeFill="text1"/>
            <w:vAlign w:val="center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1.6</w:t>
            </w:r>
          </w:p>
        </w:tc>
        <w:tc>
          <w:tcPr>
            <w:tcW w:w="613" w:type="dxa"/>
            <w:tcBorders>
              <w:bottom w:val="single" w:sz="4" w:space="0" w:color="auto"/>
            </w:tcBorders>
            <w:shd w:val="clear" w:color="auto" w:fill="000000" w:themeFill="text1"/>
            <w:vAlign w:val="center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2.1</w:t>
            </w:r>
          </w:p>
        </w:tc>
        <w:tc>
          <w:tcPr>
            <w:tcW w:w="613" w:type="dxa"/>
            <w:tcBorders>
              <w:bottom w:val="single" w:sz="4" w:space="0" w:color="auto"/>
            </w:tcBorders>
            <w:shd w:val="clear" w:color="auto" w:fill="000000" w:themeFill="text1"/>
            <w:vAlign w:val="center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2.2</w:t>
            </w:r>
          </w:p>
        </w:tc>
        <w:tc>
          <w:tcPr>
            <w:tcW w:w="613" w:type="dxa"/>
            <w:tcBorders>
              <w:bottom w:val="single" w:sz="4" w:space="0" w:color="auto"/>
            </w:tcBorders>
            <w:shd w:val="clear" w:color="auto" w:fill="000000" w:themeFill="text1"/>
            <w:vAlign w:val="center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2.3</w:t>
            </w:r>
          </w:p>
        </w:tc>
        <w:tc>
          <w:tcPr>
            <w:tcW w:w="607" w:type="dxa"/>
            <w:tcBorders>
              <w:bottom w:val="single" w:sz="4" w:space="0" w:color="auto"/>
            </w:tcBorders>
            <w:shd w:val="clear" w:color="auto" w:fill="000000" w:themeFill="text1"/>
            <w:vAlign w:val="center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2.4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000000" w:themeFill="text1"/>
            <w:vAlign w:val="center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2.5</w:t>
            </w:r>
          </w:p>
        </w:tc>
        <w:tc>
          <w:tcPr>
            <w:tcW w:w="928" w:type="dxa"/>
            <w:tcBorders>
              <w:bottom w:val="single" w:sz="4" w:space="0" w:color="auto"/>
            </w:tcBorders>
            <w:shd w:val="clear" w:color="auto" w:fill="000000" w:themeFill="text1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Mean (SD)</w:t>
            </w:r>
          </w:p>
        </w:tc>
      </w:tr>
      <w:tr w:rsidR="0030337D" w:rsidRPr="00D572D5" w:rsidTr="00047D74">
        <w:tc>
          <w:tcPr>
            <w:tcW w:w="1069" w:type="dxa"/>
            <w:tcBorders>
              <w:bottom w:val="single" w:sz="4" w:space="0" w:color="auto"/>
              <w:right w:val="single" w:sz="4" w:space="0" w:color="auto"/>
            </w:tcBorders>
          </w:tcPr>
          <w:p w:rsidR="0030337D" w:rsidRPr="00D572D5" w:rsidRDefault="0030337D" w:rsidP="00047D74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572D5">
              <w:rPr>
                <w:rFonts w:ascii="Times New Roman" w:hAnsi="Times New Roman" w:cs="Times New Roman"/>
                <w:lang w:val="en-US"/>
              </w:rPr>
              <w:t>proNGF</w:t>
            </w:r>
            <w:proofErr w:type="spellEnd"/>
            <w:r w:rsidRPr="00D572D5">
              <w:rPr>
                <w:rFonts w:ascii="Times New Roman" w:hAnsi="Times New Roman" w:cs="Times New Roman"/>
                <w:lang w:val="en-US"/>
              </w:rPr>
              <w:t xml:space="preserve"> (ng/mL)</w:t>
            </w:r>
          </w:p>
        </w:tc>
        <w:tc>
          <w:tcPr>
            <w:tcW w:w="708" w:type="dxa"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39.9</w:t>
            </w:r>
          </w:p>
        </w:tc>
        <w:tc>
          <w:tcPr>
            <w:tcW w:w="61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31.9</w:t>
            </w:r>
          </w:p>
        </w:tc>
        <w:tc>
          <w:tcPr>
            <w:tcW w:w="70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34.5</w:t>
            </w:r>
          </w:p>
        </w:tc>
        <w:tc>
          <w:tcPr>
            <w:tcW w:w="70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41.4</w:t>
            </w:r>
          </w:p>
        </w:tc>
        <w:tc>
          <w:tcPr>
            <w:tcW w:w="70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41.1</w:t>
            </w:r>
          </w:p>
        </w:tc>
        <w:tc>
          <w:tcPr>
            <w:tcW w:w="61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29.3</w:t>
            </w:r>
          </w:p>
        </w:tc>
        <w:tc>
          <w:tcPr>
            <w:tcW w:w="61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20.1</w:t>
            </w:r>
          </w:p>
        </w:tc>
        <w:tc>
          <w:tcPr>
            <w:tcW w:w="61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29.0</w:t>
            </w:r>
          </w:p>
        </w:tc>
        <w:tc>
          <w:tcPr>
            <w:tcW w:w="61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29.5</w:t>
            </w:r>
          </w:p>
        </w:tc>
        <w:tc>
          <w:tcPr>
            <w:tcW w:w="60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18.6</w:t>
            </w:r>
          </w:p>
        </w:tc>
        <w:tc>
          <w:tcPr>
            <w:tcW w:w="708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32.2</w:t>
            </w:r>
          </w:p>
        </w:tc>
        <w:tc>
          <w:tcPr>
            <w:tcW w:w="928" w:type="dxa"/>
            <w:tcBorders>
              <w:left w:val="single" w:sz="4" w:space="0" w:color="auto"/>
              <w:bottom w:val="single" w:sz="4" w:space="0" w:color="auto"/>
            </w:tcBorders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D572D5">
              <w:rPr>
                <w:rFonts w:ascii="Times New Roman" w:hAnsi="Times New Roman" w:cs="Times New Roman"/>
                <w:b/>
                <w:lang w:val="en-US"/>
              </w:rPr>
              <w:t>31.6 ± 7.3</w:t>
            </w:r>
          </w:p>
        </w:tc>
      </w:tr>
      <w:tr w:rsidR="0030337D" w:rsidRPr="00D572D5" w:rsidTr="00047D74">
        <w:trPr>
          <w:trHeight w:val="371"/>
        </w:trPr>
        <w:tc>
          <w:tcPr>
            <w:tcW w:w="1069" w:type="dxa"/>
            <w:tcBorders>
              <w:top w:val="single" w:sz="4" w:space="0" w:color="auto"/>
              <w:right w:val="single" w:sz="4" w:space="0" w:color="auto"/>
            </w:tcBorders>
          </w:tcPr>
          <w:p w:rsidR="0030337D" w:rsidRPr="00D572D5" w:rsidRDefault="0030337D" w:rsidP="00047D74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Percent</w:t>
            </w:r>
          </w:p>
          <w:p w:rsidR="0030337D" w:rsidRPr="00D572D5" w:rsidRDefault="0030337D" w:rsidP="00047D74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Recovery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124%</w:t>
            </w:r>
          </w:p>
        </w:tc>
        <w:tc>
          <w:tcPr>
            <w:tcW w:w="613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99%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107%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129%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128%</w:t>
            </w:r>
          </w:p>
        </w:tc>
        <w:tc>
          <w:tcPr>
            <w:tcW w:w="613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91%</w:t>
            </w:r>
          </w:p>
        </w:tc>
        <w:tc>
          <w:tcPr>
            <w:tcW w:w="613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63%</w:t>
            </w:r>
          </w:p>
        </w:tc>
        <w:tc>
          <w:tcPr>
            <w:tcW w:w="613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90%</w:t>
            </w:r>
          </w:p>
        </w:tc>
        <w:tc>
          <w:tcPr>
            <w:tcW w:w="613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92%</w:t>
            </w:r>
          </w:p>
        </w:tc>
        <w:tc>
          <w:tcPr>
            <w:tcW w:w="60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58%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100%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</w:tcBorders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D572D5">
              <w:rPr>
                <w:rFonts w:ascii="Times New Roman" w:hAnsi="Times New Roman" w:cs="Times New Roman"/>
                <w:b/>
                <w:lang w:val="en-US"/>
              </w:rPr>
              <w:t>98 ± 22%</w:t>
            </w:r>
          </w:p>
        </w:tc>
      </w:tr>
    </w:tbl>
    <w:p w:rsidR="0030337D" w:rsidRPr="00D572D5" w:rsidRDefault="0030337D" w:rsidP="0030337D">
      <w:pPr>
        <w:spacing w:line="240" w:lineRule="auto"/>
        <w:jc w:val="both"/>
        <w:rPr>
          <w:rFonts w:ascii="Times New Roman" w:hAnsi="Times New Roman" w:cs="Times New Roman"/>
          <w:lang w:val="en-US"/>
        </w:rPr>
      </w:pPr>
      <w:r w:rsidRPr="00D572D5">
        <w:rPr>
          <w:rFonts w:ascii="Times New Roman" w:hAnsi="Times New Roman" w:cs="Times New Roman"/>
          <w:lang w:val="en-US"/>
        </w:rPr>
        <w:t xml:space="preserve">For the biopsy rinse, a similar QC solution was prepared by spiking 1.6ng/mL recombinant </w:t>
      </w:r>
      <w:proofErr w:type="spellStart"/>
      <w:r w:rsidRPr="00D572D5">
        <w:rPr>
          <w:rFonts w:ascii="Times New Roman" w:hAnsi="Times New Roman" w:cs="Times New Roman"/>
          <w:lang w:val="en-US"/>
        </w:rPr>
        <w:t>proNGF</w:t>
      </w:r>
      <w:proofErr w:type="spellEnd"/>
      <w:r w:rsidRPr="00D572D5">
        <w:rPr>
          <w:rFonts w:ascii="Times New Roman" w:hAnsi="Times New Roman" w:cs="Times New Roman"/>
          <w:lang w:val="en-US"/>
        </w:rPr>
        <w:t xml:space="preserve"> into phosphate buffered saline with the addition of protease inhibitors and </w:t>
      </w:r>
      <w:proofErr w:type="spellStart"/>
      <w:r w:rsidRPr="00D572D5">
        <w:rPr>
          <w:rFonts w:ascii="Times New Roman" w:hAnsi="Times New Roman" w:cs="Times New Roman"/>
          <w:lang w:val="en-US"/>
        </w:rPr>
        <w:t>heterophilic</w:t>
      </w:r>
      <w:proofErr w:type="spellEnd"/>
      <w:r w:rsidRPr="00D572D5">
        <w:rPr>
          <w:rFonts w:ascii="Times New Roman" w:hAnsi="Times New Roman" w:cs="Times New Roman"/>
          <w:lang w:val="en-US"/>
        </w:rPr>
        <w:t xml:space="preserve"> blocking antibodies (38µg/mL).  Aliquots of the QC sample were included on each ELISA plate.  Plate number represent different batches.  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1068"/>
        <w:gridCol w:w="730"/>
        <w:gridCol w:w="620"/>
        <w:gridCol w:w="730"/>
        <w:gridCol w:w="730"/>
        <w:gridCol w:w="730"/>
        <w:gridCol w:w="620"/>
        <w:gridCol w:w="620"/>
        <w:gridCol w:w="590"/>
        <w:gridCol w:w="590"/>
        <w:gridCol w:w="585"/>
        <w:gridCol w:w="680"/>
        <w:gridCol w:w="916"/>
      </w:tblGrid>
      <w:tr w:rsidR="0030337D" w:rsidRPr="00D572D5" w:rsidTr="00047D74">
        <w:tc>
          <w:tcPr>
            <w:tcW w:w="1069" w:type="dxa"/>
            <w:tcBorders>
              <w:bottom w:val="single" w:sz="4" w:space="0" w:color="auto"/>
            </w:tcBorders>
            <w:shd w:val="clear" w:color="auto" w:fill="000000" w:themeFill="text1"/>
            <w:vAlign w:val="center"/>
          </w:tcPr>
          <w:p w:rsidR="0030337D" w:rsidRPr="00D572D5" w:rsidRDefault="0030337D" w:rsidP="00047D74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Plate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000000" w:themeFill="text1"/>
            <w:vAlign w:val="center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1.5</w:t>
            </w:r>
          </w:p>
        </w:tc>
        <w:tc>
          <w:tcPr>
            <w:tcW w:w="613" w:type="dxa"/>
            <w:tcBorders>
              <w:bottom w:val="single" w:sz="4" w:space="0" w:color="auto"/>
            </w:tcBorders>
            <w:shd w:val="clear" w:color="auto" w:fill="000000" w:themeFill="text1"/>
            <w:vAlign w:val="center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1.6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000000" w:themeFill="text1"/>
            <w:vAlign w:val="center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1.8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000000" w:themeFill="text1"/>
            <w:vAlign w:val="center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3.1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000000" w:themeFill="text1"/>
            <w:vAlign w:val="center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3.2</w:t>
            </w:r>
          </w:p>
        </w:tc>
        <w:tc>
          <w:tcPr>
            <w:tcW w:w="613" w:type="dxa"/>
            <w:tcBorders>
              <w:bottom w:val="single" w:sz="4" w:space="0" w:color="auto"/>
            </w:tcBorders>
            <w:shd w:val="clear" w:color="auto" w:fill="000000" w:themeFill="text1"/>
            <w:vAlign w:val="center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4.1</w:t>
            </w:r>
          </w:p>
        </w:tc>
        <w:tc>
          <w:tcPr>
            <w:tcW w:w="613" w:type="dxa"/>
            <w:tcBorders>
              <w:bottom w:val="single" w:sz="4" w:space="0" w:color="auto"/>
            </w:tcBorders>
            <w:shd w:val="clear" w:color="auto" w:fill="000000" w:themeFill="text1"/>
            <w:vAlign w:val="center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4.2</w:t>
            </w:r>
          </w:p>
        </w:tc>
        <w:tc>
          <w:tcPr>
            <w:tcW w:w="613" w:type="dxa"/>
            <w:tcBorders>
              <w:bottom w:val="single" w:sz="4" w:space="0" w:color="auto"/>
            </w:tcBorders>
            <w:shd w:val="clear" w:color="auto" w:fill="000000" w:themeFill="text1"/>
            <w:vAlign w:val="center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613" w:type="dxa"/>
            <w:tcBorders>
              <w:bottom w:val="single" w:sz="4" w:space="0" w:color="auto"/>
            </w:tcBorders>
            <w:shd w:val="clear" w:color="auto" w:fill="000000" w:themeFill="text1"/>
            <w:vAlign w:val="center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607" w:type="dxa"/>
            <w:tcBorders>
              <w:bottom w:val="single" w:sz="4" w:space="0" w:color="auto"/>
            </w:tcBorders>
            <w:shd w:val="clear" w:color="auto" w:fill="000000" w:themeFill="text1"/>
            <w:vAlign w:val="center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000000" w:themeFill="text1"/>
            <w:vAlign w:val="center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28" w:type="dxa"/>
            <w:tcBorders>
              <w:bottom w:val="single" w:sz="4" w:space="0" w:color="auto"/>
            </w:tcBorders>
            <w:shd w:val="clear" w:color="auto" w:fill="000000" w:themeFill="text1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Mean (SD)</w:t>
            </w:r>
          </w:p>
        </w:tc>
      </w:tr>
      <w:tr w:rsidR="0030337D" w:rsidRPr="00D572D5" w:rsidTr="00047D74">
        <w:tc>
          <w:tcPr>
            <w:tcW w:w="1069" w:type="dxa"/>
            <w:tcBorders>
              <w:bottom w:val="single" w:sz="4" w:space="0" w:color="auto"/>
              <w:right w:val="single" w:sz="4" w:space="0" w:color="auto"/>
            </w:tcBorders>
          </w:tcPr>
          <w:p w:rsidR="0030337D" w:rsidRPr="00D572D5" w:rsidRDefault="0030337D" w:rsidP="00047D74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572D5">
              <w:rPr>
                <w:rFonts w:ascii="Times New Roman" w:hAnsi="Times New Roman" w:cs="Times New Roman"/>
                <w:lang w:val="en-US"/>
              </w:rPr>
              <w:t>proNGF</w:t>
            </w:r>
            <w:proofErr w:type="spellEnd"/>
            <w:r w:rsidRPr="00D572D5">
              <w:rPr>
                <w:rFonts w:ascii="Times New Roman" w:hAnsi="Times New Roman" w:cs="Times New Roman"/>
                <w:lang w:val="en-US"/>
              </w:rPr>
              <w:t xml:space="preserve"> (ng/mL)</w:t>
            </w:r>
          </w:p>
        </w:tc>
        <w:tc>
          <w:tcPr>
            <w:tcW w:w="708" w:type="dxa"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2.03</w:t>
            </w:r>
          </w:p>
        </w:tc>
        <w:tc>
          <w:tcPr>
            <w:tcW w:w="61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1.53</w:t>
            </w:r>
          </w:p>
        </w:tc>
        <w:tc>
          <w:tcPr>
            <w:tcW w:w="70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1.77</w:t>
            </w:r>
          </w:p>
        </w:tc>
        <w:tc>
          <w:tcPr>
            <w:tcW w:w="70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2.27</w:t>
            </w:r>
          </w:p>
        </w:tc>
        <w:tc>
          <w:tcPr>
            <w:tcW w:w="70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2.41</w:t>
            </w:r>
          </w:p>
        </w:tc>
        <w:tc>
          <w:tcPr>
            <w:tcW w:w="61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1.56</w:t>
            </w:r>
          </w:p>
        </w:tc>
        <w:tc>
          <w:tcPr>
            <w:tcW w:w="61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1.55</w:t>
            </w:r>
          </w:p>
        </w:tc>
        <w:tc>
          <w:tcPr>
            <w:tcW w:w="61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61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60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08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28" w:type="dxa"/>
            <w:tcBorders>
              <w:left w:val="single" w:sz="4" w:space="0" w:color="auto"/>
              <w:bottom w:val="single" w:sz="4" w:space="0" w:color="auto"/>
            </w:tcBorders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D572D5">
              <w:rPr>
                <w:rFonts w:ascii="Times New Roman" w:hAnsi="Times New Roman" w:cs="Times New Roman"/>
                <w:b/>
                <w:lang w:val="en-US"/>
              </w:rPr>
              <w:t>1.87 ± 0.34</w:t>
            </w:r>
          </w:p>
        </w:tc>
      </w:tr>
      <w:tr w:rsidR="0030337D" w:rsidRPr="00D572D5" w:rsidTr="00047D74">
        <w:trPr>
          <w:trHeight w:val="371"/>
        </w:trPr>
        <w:tc>
          <w:tcPr>
            <w:tcW w:w="1069" w:type="dxa"/>
            <w:tcBorders>
              <w:top w:val="single" w:sz="4" w:space="0" w:color="auto"/>
              <w:right w:val="single" w:sz="4" w:space="0" w:color="auto"/>
            </w:tcBorders>
          </w:tcPr>
          <w:p w:rsidR="0030337D" w:rsidRPr="00D572D5" w:rsidRDefault="0030337D" w:rsidP="00047D74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Percent</w:t>
            </w:r>
          </w:p>
          <w:p w:rsidR="0030337D" w:rsidRPr="00D572D5" w:rsidRDefault="0030337D" w:rsidP="00047D74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Recovery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127%</w:t>
            </w:r>
          </w:p>
        </w:tc>
        <w:tc>
          <w:tcPr>
            <w:tcW w:w="613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96%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111%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142%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151%</w:t>
            </w:r>
          </w:p>
        </w:tc>
        <w:tc>
          <w:tcPr>
            <w:tcW w:w="613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98%</w:t>
            </w:r>
          </w:p>
        </w:tc>
        <w:tc>
          <w:tcPr>
            <w:tcW w:w="613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97%</w:t>
            </w:r>
          </w:p>
        </w:tc>
        <w:tc>
          <w:tcPr>
            <w:tcW w:w="613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613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60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</w:tcBorders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D572D5">
              <w:rPr>
                <w:rFonts w:ascii="Times New Roman" w:hAnsi="Times New Roman" w:cs="Times New Roman"/>
                <w:b/>
                <w:lang w:val="en-US"/>
              </w:rPr>
              <w:t>117 ± 20%</w:t>
            </w:r>
          </w:p>
        </w:tc>
      </w:tr>
    </w:tbl>
    <w:p w:rsidR="0030337D" w:rsidRPr="00D572D5" w:rsidRDefault="0030337D" w:rsidP="0030337D">
      <w:pPr>
        <w:spacing w:line="240" w:lineRule="auto"/>
        <w:jc w:val="both"/>
        <w:rPr>
          <w:rFonts w:ascii="Times New Roman" w:hAnsi="Times New Roman" w:cs="Times New Roman"/>
          <w:lang w:val="en-US"/>
        </w:rPr>
      </w:pPr>
    </w:p>
    <w:p w:rsidR="0030337D" w:rsidRPr="00D572D5" w:rsidRDefault="0030337D" w:rsidP="0030337D">
      <w:pPr>
        <w:spacing w:line="240" w:lineRule="auto"/>
        <w:jc w:val="both"/>
        <w:rPr>
          <w:rFonts w:ascii="Times New Roman" w:hAnsi="Times New Roman" w:cs="Times New Roman"/>
          <w:lang w:val="en-US"/>
        </w:rPr>
      </w:pPr>
      <w:r w:rsidRPr="00D572D5">
        <w:rPr>
          <w:rFonts w:ascii="Times New Roman" w:hAnsi="Times New Roman" w:cs="Times New Roman"/>
          <w:b/>
          <w:lang w:val="en-US"/>
        </w:rPr>
        <w:t xml:space="preserve">1D: Linearity of Dilution </w:t>
      </w:r>
      <w:r w:rsidRPr="00D572D5">
        <w:rPr>
          <w:rFonts w:ascii="Times New Roman" w:hAnsi="Times New Roman" w:cs="Times New Roman"/>
          <w:lang w:val="en-US"/>
        </w:rPr>
        <w:t xml:space="preserve">3 serum samples positive for endogenous </w:t>
      </w:r>
      <w:proofErr w:type="spellStart"/>
      <w:r w:rsidRPr="00D572D5">
        <w:rPr>
          <w:rFonts w:ascii="Times New Roman" w:hAnsi="Times New Roman" w:cs="Times New Roman"/>
          <w:lang w:val="en-US"/>
        </w:rPr>
        <w:t>proNGF</w:t>
      </w:r>
      <w:proofErr w:type="spellEnd"/>
      <w:r w:rsidRPr="00D572D5">
        <w:rPr>
          <w:rFonts w:ascii="Times New Roman" w:hAnsi="Times New Roman" w:cs="Times New Roman"/>
          <w:lang w:val="en-US"/>
        </w:rPr>
        <w:t xml:space="preserve"> were assayed in serial dilution using As</w:t>
      </w:r>
      <w:r w:rsidRPr="00D572D5">
        <w:rPr>
          <w:rFonts w:ascii="Times New Roman" w:hAnsi="Times New Roman" w:cs="Times New Roman"/>
          <w:color w:val="000000" w:themeColor="text1"/>
          <w:lang w:val="en-US"/>
        </w:rPr>
        <w:t>say Diluent A (</w:t>
      </w:r>
      <w:proofErr w:type="spellStart"/>
      <w:r w:rsidRPr="00D572D5">
        <w:rPr>
          <w:rFonts w:ascii="Times New Roman" w:hAnsi="Times New Roman" w:cs="Times New Roman"/>
          <w:color w:val="000000" w:themeColor="text1"/>
          <w:lang w:val="en-US"/>
        </w:rPr>
        <w:t>Biosensis</w:t>
      </w:r>
      <w:proofErr w:type="spellEnd"/>
      <w:r w:rsidRPr="00D572D5">
        <w:rPr>
          <w:rFonts w:ascii="Times New Roman" w:hAnsi="Times New Roman" w:cs="Times New Roman"/>
          <w:color w:val="000000" w:themeColor="text1"/>
          <w:lang w:val="en-US"/>
        </w:rPr>
        <w:t xml:space="preserve">, Australia) and </w:t>
      </w:r>
      <w:proofErr w:type="spellStart"/>
      <w:r w:rsidRPr="00D572D5">
        <w:rPr>
          <w:rFonts w:ascii="Times New Roman" w:hAnsi="Times New Roman" w:cs="Times New Roman"/>
          <w:color w:val="000000" w:themeColor="text1"/>
          <w:lang w:val="en-US"/>
        </w:rPr>
        <w:t>Heterophilic</w:t>
      </w:r>
      <w:proofErr w:type="spellEnd"/>
      <w:r w:rsidRPr="00D572D5">
        <w:rPr>
          <w:rFonts w:ascii="Times New Roman" w:hAnsi="Times New Roman" w:cs="Times New Roman"/>
          <w:color w:val="000000" w:themeColor="text1"/>
          <w:lang w:val="en-US"/>
        </w:rPr>
        <w:t xml:space="preserve"> Blocking Antibodies (BL-003-1000, </w:t>
      </w:r>
      <w:proofErr w:type="spellStart"/>
      <w:r w:rsidRPr="00D572D5">
        <w:rPr>
          <w:rFonts w:ascii="Times New Roman" w:hAnsi="Times New Roman" w:cs="Times New Roman"/>
          <w:color w:val="000000" w:themeColor="text1"/>
          <w:lang w:val="en-US"/>
        </w:rPr>
        <w:t>Biosensis</w:t>
      </w:r>
      <w:proofErr w:type="spellEnd"/>
      <w:r w:rsidRPr="00D572D5">
        <w:rPr>
          <w:rFonts w:ascii="Times New Roman" w:hAnsi="Times New Roman" w:cs="Times New Roman"/>
          <w:color w:val="000000" w:themeColor="text1"/>
          <w:lang w:val="en-US"/>
        </w:rPr>
        <w:t xml:space="preserve">, Australia).  The measured concentration at 1:20 dilution was defined as 100%. Reasonable linearity of dilution was observed.  The zero values observed correspond to expected values below the limit of detection.   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30337D" w:rsidRPr="00D572D5" w:rsidTr="00047D74">
        <w:tc>
          <w:tcPr>
            <w:tcW w:w="1803" w:type="dxa"/>
            <w:vMerge w:val="restart"/>
            <w:shd w:val="clear" w:color="auto" w:fill="000000" w:themeFill="text1"/>
            <w:vAlign w:val="center"/>
          </w:tcPr>
          <w:p w:rsidR="0030337D" w:rsidRPr="00D572D5" w:rsidRDefault="0030337D" w:rsidP="00047D74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lastRenderedPageBreak/>
              <w:t>Sample</w:t>
            </w:r>
          </w:p>
        </w:tc>
        <w:tc>
          <w:tcPr>
            <w:tcW w:w="7213" w:type="dxa"/>
            <w:gridSpan w:val="4"/>
            <w:shd w:val="clear" w:color="auto" w:fill="000000" w:themeFill="text1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 xml:space="preserve">Endogenous </w:t>
            </w:r>
            <w:proofErr w:type="spellStart"/>
            <w:r w:rsidRPr="00D572D5">
              <w:rPr>
                <w:rFonts w:ascii="Times New Roman" w:hAnsi="Times New Roman" w:cs="Times New Roman"/>
                <w:lang w:val="en-US"/>
              </w:rPr>
              <w:t>ProNGF</w:t>
            </w:r>
            <w:proofErr w:type="spellEnd"/>
            <w:r w:rsidRPr="00D572D5">
              <w:rPr>
                <w:rFonts w:ascii="Times New Roman" w:hAnsi="Times New Roman" w:cs="Times New Roman"/>
                <w:lang w:val="en-US"/>
              </w:rPr>
              <w:t xml:space="preserve"> (ng/mL), corrected for dilution</w:t>
            </w:r>
          </w:p>
        </w:tc>
      </w:tr>
      <w:tr w:rsidR="0030337D" w:rsidRPr="00D572D5" w:rsidTr="00047D74">
        <w:tc>
          <w:tcPr>
            <w:tcW w:w="1803" w:type="dxa"/>
            <w:vMerge/>
            <w:tcBorders>
              <w:bottom w:val="single" w:sz="4" w:space="0" w:color="auto"/>
            </w:tcBorders>
            <w:shd w:val="clear" w:color="auto" w:fill="000000" w:themeFill="text1"/>
          </w:tcPr>
          <w:p w:rsidR="0030337D" w:rsidRPr="00D572D5" w:rsidRDefault="0030337D" w:rsidP="00047D74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03" w:type="dxa"/>
            <w:tcBorders>
              <w:bottom w:val="single" w:sz="4" w:space="0" w:color="auto"/>
            </w:tcBorders>
            <w:shd w:val="clear" w:color="auto" w:fill="000000" w:themeFill="text1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1:10</w:t>
            </w:r>
          </w:p>
        </w:tc>
        <w:tc>
          <w:tcPr>
            <w:tcW w:w="1803" w:type="dxa"/>
            <w:tcBorders>
              <w:bottom w:val="single" w:sz="4" w:space="0" w:color="auto"/>
            </w:tcBorders>
            <w:shd w:val="clear" w:color="auto" w:fill="000000" w:themeFill="text1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1:20</w:t>
            </w:r>
          </w:p>
        </w:tc>
        <w:tc>
          <w:tcPr>
            <w:tcW w:w="1803" w:type="dxa"/>
            <w:tcBorders>
              <w:bottom w:val="single" w:sz="4" w:space="0" w:color="auto"/>
            </w:tcBorders>
            <w:shd w:val="clear" w:color="auto" w:fill="000000" w:themeFill="text1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1:40</w:t>
            </w:r>
          </w:p>
        </w:tc>
        <w:tc>
          <w:tcPr>
            <w:tcW w:w="1804" w:type="dxa"/>
            <w:tcBorders>
              <w:bottom w:val="single" w:sz="4" w:space="0" w:color="auto"/>
            </w:tcBorders>
            <w:shd w:val="clear" w:color="auto" w:fill="000000" w:themeFill="text1"/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1:80</w:t>
            </w:r>
          </w:p>
        </w:tc>
      </w:tr>
      <w:tr w:rsidR="0030337D" w:rsidRPr="00D572D5" w:rsidTr="00047D74">
        <w:tc>
          <w:tcPr>
            <w:tcW w:w="1803" w:type="dxa"/>
            <w:tcBorders>
              <w:bottom w:val="nil"/>
              <w:right w:val="nil"/>
            </w:tcBorders>
          </w:tcPr>
          <w:p w:rsidR="0030337D" w:rsidRPr="00D572D5" w:rsidRDefault="0030337D" w:rsidP="00047D74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Sample A</w:t>
            </w:r>
          </w:p>
        </w:tc>
        <w:tc>
          <w:tcPr>
            <w:tcW w:w="1803" w:type="dxa"/>
            <w:tcBorders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18.9 (109%)</w:t>
            </w:r>
          </w:p>
        </w:tc>
        <w:tc>
          <w:tcPr>
            <w:tcW w:w="1803" w:type="dxa"/>
            <w:tcBorders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17.3 (100%)</w:t>
            </w:r>
          </w:p>
        </w:tc>
        <w:tc>
          <w:tcPr>
            <w:tcW w:w="1803" w:type="dxa"/>
            <w:tcBorders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10.4 (60%)</w:t>
            </w:r>
          </w:p>
        </w:tc>
        <w:tc>
          <w:tcPr>
            <w:tcW w:w="1804" w:type="dxa"/>
            <w:tcBorders>
              <w:left w:val="nil"/>
              <w:bottom w:val="nil"/>
            </w:tcBorders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14.6 (84%)</w:t>
            </w:r>
          </w:p>
        </w:tc>
      </w:tr>
      <w:tr w:rsidR="0030337D" w:rsidRPr="00D572D5" w:rsidTr="00047D74">
        <w:tc>
          <w:tcPr>
            <w:tcW w:w="1803" w:type="dxa"/>
            <w:tcBorders>
              <w:top w:val="nil"/>
              <w:bottom w:val="nil"/>
              <w:right w:val="nil"/>
            </w:tcBorders>
          </w:tcPr>
          <w:p w:rsidR="0030337D" w:rsidRPr="00D572D5" w:rsidRDefault="0030337D" w:rsidP="00047D74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Sample B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2.6 (106%)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2.4 (100%)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</w:tcBorders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30337D" w:rsidRPr="00D572D5" w:rsidTr="00047D74">
        <w:tc>
          <w:tcPr>
            <w:tcW w:w="1803" w:type="dxa"/>
            <w:tcBorders>
              <w:top w:val="nil"/>
              <w:right w:val="nil"/>
            </w:tcBorders>
          </w:tcPr>
          <w:p w:rsidR="0030337D" w:rsidRPr="00D572D5" w:rsidRDefault="0030337D" w:rsidP="00047D74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Sample C</w:t>
            </w:r>
          </w:p>
        </w:tc>
        <w:tc>
          <w:tcPr>
            <w:tcW w:w="1803" w:type="dxa"/>
            <w:tcBorders>
              <w:top w:val="nil"/>
              <w:left w:val="nil"/>
              <w:right w:val="nil"/>
            </w:tcBorders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13.5 (124%)</w:t>
            </w:r>
          </w:p>
        </w:tc>
        <w:tc>
          <w:tcPr>
            <w:tcW w:w="1803" w:type="dxa"/>
            <w:tcBorders>
              <w:top w:val="nil"/>
              <w:left w:val="nil"/>
              <w:right w:val="nil"/>
            </w:tcBorders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10.9 (100%)</w:t>
            </w:r>
          </w:p>
        </w:tc>
        <w:tc>
          <w:tcPr>
            <w:tcW w:w="1803" w:type="dxa"/>
            <w:tcBorders>
              <w:top w:val="nil"/>
              <w:left w:val="nil"/>
              <w:right w:val="nil"/>
            </w:tcBorders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6.7 (62%)</w:t>
            </w:r>
          </w:p>
        </w:tc>
        <w:tc>
          <w:tcPr>
            <w:tcW w:w="1804" w:type="dxa"/>
            <w:tcBorders>
              <w:top w:val="nil"/>
              <w:left w:val="nil"/>
            </w:tcBorders>
          </w:tcPr>
          <w:p w:rsidR="0030337D" w:rsidRPr="00D572D5" w:rsidRDefault="0030337D" w:rsidP="00047D7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72D5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</w:tbl>
    <w:p w:rsidR="0030337D" w:rsidRPr="00D572D5" w:rsidRDefault="0030337D" w:rsidP="0030337D">
      <w:pPr>
        <w:pStyle w:val="NoSpacing"/>
        <w:jc w:val="both"/>
        <w:rPr>
          <w:rFonts w:ascii="Times New Roman" w:hAnsi="Times New Roman" w:cs="Times New Roman"/>
          <w:lang w:val="en-US"/>
        </w:rPr>
      </w:pPr>
    </w:p>
    <w:p w:rsidR="0030337D" w:rsidRPr="00D572D5" w:rsidRDefault="0030337D" w:rsidP="0030337D">
      <w:pPr>
        <w:pStyle w:val="NoSpacing"/>
        <w:jc w:val="both"/>
        <w:rPr>
          <w:rFonts w:ascii="Times New Roman" w:hAnsi="Times New Roman" w:cs="Times New Roman"/>
          <w:b/>
          <w:lang w:val="en-US"/>
        </w:rPr>
      </w:pPr>
      <w:r w:rsidRPr="00D572D5">
        <w:rPr>
          <w:rFonts w:ascii="Times New Roman" w:hAnsi="Times New Roman" w:cs="Times New Roman"/>
          <w:b/>
          <w:lang w:val="en-US"/>
        </w:rPr>
        <w:t>1E: Linearity of Dilution of Biopsy Rinse Diluent</w:t>
      </w:r>
    </w:p>
    <w:p w:rsidR="0030337D" w:rsidRPr="00D572D5" w:rsidRDefault="0030337D" w:rsidP="0030337D">
      <w:pPr>
        <w:pStyle w:val="NoSpacing"/>
        <w:jc w:val="both"/>
        <w:rPr>
          <w:rFonts w:ascii="Times New Roman" w:hAnsi="Times New Roman" w:cs="Times New Roman"/>
          <w:lang w:val="en-US"/>
        </w:rPr>
      </w:pPr>
    </w:p>
    <w:p w:rsidR="0030337D" w:rsidRPr="00D572D5" w:rsidRDefault="0030337D" w:rsidP="0030337D">
      <w:pPr>
        <w:pStyle w:val="NoSpacing"/>
        <w:jc w:val="both"/>
        <w:rPr>
          <w:rFonts w:ascii="Times New Roman" w:hAnsi="Times New Roman" w:cs="Times New Roman"/>
          <w:lang w:val="en-US"/>
        </w:rPr>
      </w:pPr>
      <w:r w:rsidRPr="00D572D5">
        <w:rPr>
          <w:rFonts w:ascii="Times New Roman" w:hAnsi="Times New Roman" w:cs="Times New Roman"/>
          <w:lang w:val="en-US"/>
        </w:rPr>
        <w:t>In addition to the spike and recovery experiments performed above</w:t>
      </w:r>
      <w:proofErr w:type="gramStart"/>
      <w:r w:rsidRPr="00D572D5">
        <w:rPr>
          <w:rFonts w:ascii="Times New Roman" w:hAnsi="Times New Roman" w:cs="Times New Roman"/>
          <w:lang w:val="en-US"/>
        </w:rPr>
        <w:t>,  a</w:t>
      </w:r>
      <w:proofErr w:type="gramEnd"/>
      <w:r w:rsidRPr="00D572D5">
        <w:rPr>
          <w:rFonts w:ascii="Times New Roman" w:hAnsi="Times New Roman" w:cs="Times New Roman"/>
          <w:lang w:val="en-US"/>
        </w:rPr>
        <w:t xml:space="preserve"> 1 in 2 dilution series from 5ng/mL was prepared as the standard curve for biopsy rinse specimens using the same phosphate-buffered saline with the addition of protease inhibitors and </w:t>
      </w:r>
      <w:proofErr w:type="spellStart"/>
      <w:r w:rsidRPr="00D572D5">
        <w:rPr>
          <w:rFonts w:ascii="Times New Roman" w:hAnsi="Times New Roman" w:cs="Times New Roman"/>
          <w:lang w:val="en-US"/>
        </w:rPr>
        <w:t>heterophilic</w:t>
      </w:r>
      <w:proofErr w:type="spellEnd"/>
      <w:r w:rsidRPr="00D572D5">
        <w:rPr>
          <w:rFonts w:ascii="Times New Roman" w:hAnsi="Times New Roman" w:cs="Times New Roman"/>
          <w:lang w:val="en-US"/>
        </w:rPr>
        <w:t xml:space="preserve"> antibody blockers that was used to prepare the biopsy rinse specimens.  4 </w:t>
      </w:r>
      <w:proofErr w:type="spellStart"/>
      <w:r w:rsidRPr="00D572D5">
        <w:rPr>
          <w:rFonts w:ascii="Times New Roman" w:hAnsi="Times New Roman" w:cs="Times New Roman"/>
          <w:lang w:val="en-US"/>
        </w:rPr>
        <w:t>paramater</w:t>
      </w:r>
      <w:proofErr w:type="spellEnd"/>
      <w:r w:rsidRPr="00D572D5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D572D5">
        <w:rPr>
          <w:rFonts w:ascii="Times New Roman" w:hAnsi="Times New Roman" w:cs="Times New Roman"/>
          <w:lang w:val="en-US"/>
        </w:rPr>
        <w:t>logisitic</w:t>
      </w:r>
      <w:proofErr w:type="spellEnd"/>
      <w:r w:rsidRPr="00D572D5">
        <w:rPr>
          <w:rFonts w:ascii="Times New Roman" w:hAnsi="Times New Roman" w:cs="Times New Roman"/>
          <w:lang w:val="en-US"/>
        </w:rPr>
        <w:t xml:space="preserve"> regression curves are shown below for the first three ELISA plates, showing excellent linearity of dilution.  </w:t>
      </w:r>
    </w:p>
    <w:p w:rsidR="0030337D" w:rsidRPr="00D572D5" w:rsidRDefault="0030337D" w:rsidP="0030337D">
      <w:pPr>
        <w:pStyle w:val="NoSpacing"/>
        <w:jc w:val="both"/>
        <w:rPr>
          <w:rFonts w:ascii="Times New Roman" w:hAnsi="Times New Roman" w:cs="Times New Roman"/>
          <w:lang w:val="en-US"/>
        </w:rPr>
      </w:pPr>
    </w:p>
    <w:p w:rsidR="0030337D" w:rsidRPr="00D572D5" w:rsidRDefault="0030337D" w:rsidP="0030337D">
      <w:pPr>
        <w:pStyle w:val="NoSpacing"/>
        <w:jc w:val="both"/>
        <w:rPr>
          <w:rFonts w:ascii="Times New Roman" w:hAnsi="Times New Roman" w:cs="Times New Roman"/>
        </w:rPr>
      </w:pPr>
      <w:r w:rsidRPr="00D572D5">
        <w:rPr>
          <w:rFonts w:ascii="Times New Roman" w:hAnsi="Times New Roman" w:cs="Times New Roman"/>
          <w:noProof/>
          <w:lang w:eastAsia="en-AU"/>
        </w:rPr>
        <w:drawing>
          <wp:inline distT="0" distB="0" distL="0" distR="0" wp14:anchorId="06FFD61D" wp14:editId="1FC5B808">
            <wp:extent cx="6230620" cy="1520456"/>
            <wp:effectExtent l="0" t="0" r="0" b="381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1400"/>
                    <a:stretch/>
                  </pic:blipFill>
                  <pic:spPr bwMode="auto">
                    <a:xfrm>
                      <a:off x="0" y="0"/>
                      <a:ext cx="6230620" cy="1520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30337D" w:rsidRPr="00D572D5" w:rsidSect="0032218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37D"/>
    <w:rsid w:val="00185095"/>
    <w:rsid w:val="0030337D"/>
    <w:rsid w:val="0032218B"/>
    <w:rsid w:val="006069BB"/>
    <w:rsid w:val="00A41347"/>
    <w:rsid w:val="00B07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F328E8C-B5BB-49E2-AAB4-6B7163335C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337D"/>
    <w:rPr>
      <w:lang w:val="en-AU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B07DA2"/>
    <w:pPr>
      <w:spacing w:after="200" w:line="240" w:lineRule="auto"/>
      <w:jc w:val="both"/>
    </w:pPr>
    <w:rPr>
      <w:i/>
      <w:iCs/>
      <w:color w:val="44546A" w:themeColor="text2"/>
      <w:szCs w:val="18"/>
    </w:rPr>
  </w:style>
  <w:style w:type="paragraph" w:styleId="NoSpacing">
    <w:name w:val="No Spacing"/>
    <w:link w:val="NoSpacingChar"/>
    <w:uiPriority w:val="1"/>
    <w:qFormat/>
    <w:rsid w:val="0030337D"/>
    <w:pPr>
      <w:spacing w:after="0" w:line="240" w:lineRule="auto"/>
    </w:pPr>
    <w:rPr>
      <w:lang w:val="en-AU" w:eastAsia="en-US"/>
    </w:rPr>
  </w:style>
  <w:style w:type="table" w:styleId="TableGrid">
    <w:name w:val="Table Grid"/>
    <w:basedOn w:val="TableNormal"/>
    <w:uiPriority w:val="39"/>
    <w:rsid w:val="0030337D"/>
    <w:pPr>
      <w:spacing w:after="0" w:line="240" w:lineRule="auto"/>
    </w:pPr>
    <w:rPr>
      <w:lang w:val="en-A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SpacingChar">
    <w:name w:val="No Spacing Char"/>
    <w:basedOn w:val="DefaultParagraphFont"/>
    <w:link w:val="NoSpacing"/>
    <w:uiPriority w:val="1"/>
    <w:rsid w:val="0030337D"/>
    <w:rPr>
      <w:lang w:val="en-A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492</Words>
  <Characters>2808</Characters>
  <Application>Microsoft Office Word</Application>
  <DocSecurity>0</DocSecurity>
  <Lines>23</Lines>
  <Paragraphs>6</Paragraphs>
  <ScaleCrop>false</ScaleCrop>
  <Company/>
  <LinksUpToDate>false</LinksUpToDate>
  <CharactersWithSpaces>3294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Rowe</dc:creator>
  <cp:keywords/>
  <dc:description/>
  <cp:lastModifiedBy>Christopher Rowe</cp:lastModifiedBy>
  <cp:revision>3</cp:revision>
  <dcterms:created xsi:type="dcterms:W3CDTF">2019-05-03T02:50:00Z</dcterms:created>
  <dcterms:modified xsi:type="dcterms:W3CDTF">2019-06-03T10:08:00Z</dcterms:modified>
</cp:coreProperties>
</file>