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970EF" w14:textId="573F503E" w:rsidR="003227B0" w:rsidRDefault="00180600" w:rsidP="00795549">
      <w:pPr>
        <w:pStyle w:val="Titel"/>
        <w:pBdr>
          <w:bottom w:val="single" w:sz="4" w:space="1" w:color="auto"/>
        </w:pBdr>
        <w:spacing w:line="360" w:lineRule="auto"/>
        <w:rPr>
          <w:rFonts w:ascii="Times New Roman" w:hAnsi="Times New Roman" w:cs="Times New Roman"/>
          <w:lang w:val="en-GB"/>
        </w:rPr>
      </w:pPr>
      <w:r>
        <w:rPr>
          <w:rFonts w:ascii="Times New Roman" w:hAnsi="Times New Roman" w:cs="Times New Roman"/>
          <w:lang w:val="en-GB"/>
        </w:rPr>
        <w:t>Additional file 1</w:t>
      </w:r>
    </w:p>
    <w:p w14:paraId="17D8F7B1" w14:textId="77777777" w:rsidR="00180600" w:rsidRDefault="00180600" w:rsidP="00795549">
      <w:pPr>
        <w:spacing w:line="360" w:lineRule="auto"/>
        <w:rPr>
          <w:b/>
          <w:bCs/>
          <w:lang w:val="en-GB"/>
        </w:rPr>
      </w:pPr>
    </w:p>
    <w:p w14:paraId="32F64C57" w14:textId="2F56869C" w:rsidR="00180600" w:rsidRPr="00EF160A" w:rsidRDefault="00180600" w:rsidP="00795549">
      <w:pPr>
        <w:spacing w:line="360" w:lineRule="auto"/>
        <w:rPr>
          <w:rFonts w:ascii="Times New Roman" w:hAnsi="Times New Roman" w:cs="Times New Roman"/>
          <w:b/>
          <w:bCs/>
          <w:sz w:val="32"/>
          <w:szCs w:val="32"/>
          <w:lang w:val="en-GB"/>
        </w:rPr>
      </w:pPr>
      <w:r w:rsidRPr="00EF160A">
        <w:rPr>
          <w:rFonts w:ascii="Times New Roman" w:hAnsi="Times New Roman" w:cs="Times New Roman"/>
          <w:b/>
          <w:bCs/>
          <w:sz w:val="32"/>
          <w:szCs w:val="32"/>
          <w:lang w:val="en-GB"/>
        </w:rPr>
        <w:t>Additional Materials and Methods</w:t>
      </w:r>
      <w:r w:rsidR="00795549" w:rsidRPr="00EF160A">
        <w:rPr>
          <w:rFonts w:ascii="Times New Roman" w:hAnsi="Times New Roman" w:cs="Times New Roman"/>
          <w:b/>
          <w:bCs/>
          <w:sz w:val="32"/>
          <w:szCs w:val="32"/>
          <w:lang w:val="en-GB"/>
        </w:rPr>
        <w:t xml:space="preserve"> – in vitro labelling optimization</w:t>
      </w:r>
    </w:p>
    <w:p w14:paraId="113E3E46" w14:textId="590809EE" w:rsidR="004553D8" w:rsidRPr="00EF160A" w:rsidRDefault="004553D8" w:rsidP="00795549">
      <w:pPr>
        <w:spacing w:line="360" w:lineRule="auto"/>
        <w:rPr>
          <w:rFonts w:ascii="Times New Roman" w:hAnsi="Times New Roman" w:cs="Times New Roman"/>
          <w:b/>
          <w:bCs/>
          <w:lang w:val="en-GB"/>
        </w:rPr>
      </w:pPr>
    </w:p>
    <w:p w14:paraId="1880B2D1" w14:textId="77777777" w:rsidR="0045696D" w:rsidRPr="00996128" w:rsidRDefault="0045696D" w:rsidP="00795549">
      <w:pPr>
        <w:spacing w:line="360" w:lineRule="auto"/>
        <w:rPr>
          <w:rFonts w:ascii="Times New Roman" w:hAnsi="Times New Roman" w:cs="Times New Roman"/>
          <w:i/>
          <w:iCs/>
          <w:lang w:val="en-US"/>
        </w:rPr>
      </w:pPr>
      <w:r w:rsidRPr="00996128">
        <w:rPr>
          <w:rFonts w:ascii="Times New Roman" w:hAnsi="Times New Roman" w:cs="Times New Roman"/>
          <w:i/>
          <w:iCs/>
          <w:lang w:val="en-US"/>
        </w:rPr>
        <w:t xml:space="preserve">SPION labelling of integrin </w:t>
      </w:r>
      <w:r w:rsidRPr="00996128">
        <w:rPr>
          <w:rFonts w:ascii="Times New Roman" w:hAnsi="Times New Roman" w:cs="Times New Roman"/>
          <w:lang w:val="en-GB"/>
        </w:rPr>
        <w:sym w:font="Symbol" w:char="F061"/>
      </w:r>
      <w:r w:rsidRPr="00996128">
        <w:rPr>
          <w:rFonts w:ascii="Times New Roman" w:hAnsi="Times New Roman" w:cs="Times New Roman"/>
          <w:i/>
          <w:iCs/>
          <w:lang w:val="en-US"/>
        </w:rPr>
        <w:t xml:space="preserve">10-selected MSCs </w:t>
      </w:r>
    </w:p>
    <w:p w14:paraId="1C58C223" w14:textId="7B9CCBA2"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lang w:val="en-US"/>
        </w:rPr>
        <w:t>Cells were grown in cell culture flasks to 80% confluency in standard GMP serum-free cell medium (</w:t>
      </w:r>
      <w:proofErr w:type="spellStart"/>
      <w:r w:rsidRPr="00996128">
        <w:rPr>
          <w:rFonts w:ascii="Times New Roman" w:hAnsi="Times New Roman" w:cs="Times New Roman"/>
          <w:lang w:val="en-US"/>
        </w:rPr>
        <w:t>Miltenyi</w:t>
      </w:r>
      <w:proofErr w:type="spellEnd"/>
      <w:r w:rsidRPr="00996128">
        <w:rPr>
          <w:rFonts w:ascii="Times New Roman" w:hAnsi="Times New Roman" w:cs="Times New Roman"/>
          <w:lang w:val="en-US"/>
        </w:rPr>
        <w:t xml:space="preserve">) before labelling. Labelling of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MSCs with SPIONs was conducted using the commercially available Molday ION conjugated with the fluorescent dye Rhodamine B (MIRB) (</w:t>
      </w:r>
      <w:proofErr w:type="spellStart"/>
      <w:r w:rsidRPr="00996128">
        <w:rPr>
          <w:rFonts w:ascii="Times New Roman" w:hAnsi="Times New Roman" w:cs="Times New Roman"/>
          <w:lang w:val="en-US"/>
        </w:rPr>
        <w:t>BioPal</w:t>
      </w:r>
      <w:proofErr w:type="spellEnd"/>
      <w:r w:rsidRPr="00996128">
        <w:rPr>
          <w:rFonts w:ascii="Times New Roman" w:hAnsi="Times New Roman" w:cs="Times New Roman"/>
          <w:lang w:val="en-US"/>
        </w:rPr>
        <w:t xml:space="preserve"> Inc.) specifically designed for cell labelling and visualization both by MRI and fluorescence</w:t>
      </w:r>
      <w:r w:rsidRPr="00996128">
        <w:rPr>
          <w:rFonts w:ascii="Times New Roman" w:hAnsi="Times New Roman" w:cs="Times New Roman"/>
          <w:lang w:val="en-US"/>
        </w:rPr>
        <w:fldChar w:fldCharType="begin" w:fldLock="1"/>
      </w:r>
      <w:r w:rsidR="00795549">
        <w:rPr>
          <w:rFonts w:ascii="Times New Roman" w:hAnsi="Times New Roman" w:cs="Times New Roman"/>
          <w:lang w:val="en-US"/>
        </w:rPr>
        <w:instrText>ADDIN CSL_CITATION {"citationItems":[{"id":"ITEM-1","itemData":{"DOI":"10.1089/ten.tea.2017.0039","ISSN":"1937-3341","abstract":"Although a number of studies have reported efficacy of autologous adipose‐derived mesenchymal stem cells (AD‐MSCs) in treating osteoarthritis (OA), no reliable evidences demonstrate whether allogeneic AD‐MSCs can efficiently block OA progression in a large animal model. The current study explored the efficacy and survival of allogeneic AD‐MSCs combined with hyaluronic acid (HA) after intra‐articular (IA) injection in a sheep OA model, which were conventionally established by anterior cruciate ligament resection and medial meniscectomy. Allogeneic AD‐MSCs from donor sheep at high (5×107 cells) and low (1×107 cells) doses combined with HA, HA alone, or saline alone were injected into the OA sheep at 3 and 6 weeks after surgery, respectively. Evaluations by magnetic resonance imaging (MRI), macroscopy, micro ‐ computed tomography (CT), and cartilage‐ specific staining demonstrated that AD‐MSCs + HA treated groups preserved typical articular cartilage feature. Inflammatory factors from synovial fluid of AD‐MSCs + HA treated groups were significant lower than those in the HA alone group. Notably, transforming growth factor beta 1 (TGF‐β1) and insulin‐like growth factor 1 (IGF‐1) were detected in the supernatant of cultured AD‐ MSCs. In addition, labeling signals of allogeneic AD‐MSCs could be detected by MRI after 14 weeks of injection and be found in synovium by histology. These results indicated that IA injection of allogeneic AD‐MSCs combined with HA could efficiently block OA progression and promote cartilage regeneration and allogeneic AD‐MSCs might survive at least 14 weeks after IA injection","author":[{"dropping-particle":"","family":"Feng","given":"Chenchen","non-dropping-particle":"","parse-names":false,"suffix":""},{"dropping-particle":"","family":"Luo","given":"Xuan","non-dropping-particle":"","parse-names":false,"suffix":""},{"dropping-particle":"","family":"He","given":"Na","non-dropping-particle":"","parse-names":false,"suffix":""},{"dropping-particle":"","family":"Xia","given":"Huitang","non-dropping-particle":"","parse-names":false,"suffix":""},{"dropping-particle":"","family":"Lv","given":"Xiaoteng","non-dropping-particle":"","parse-names":false,"suffix":""},{"dropping-particle":"","family":"Zhang","given":"Xue","non-dropping-particle":"","parse-names":false,"suffix":""},{"dropping-particle":"","family":"Li","given":"Dan","non-dropping-particle":"","parse-names":false,"suffix":""},{"dropping-particle":"","family":"Wang","given":"Fei","non-dropping-particle":"","parse-names":false,"suffix":""},{"dropping-particle":"","family":"He","given":"Jiaping","non-dropping-particle":"","parse-names":false,"suffix":""},{"dropping-particle":"","family":"Zhang","given":"Li","non-dropping-particle":"","parse-names":false,"suffix":""},{"dropping-particle":"","family":"Lin","given":"Xiangming","non-dropping-particle":"","parse-names":false,"suffix":""},{"dropping-particle":"","family":"Lin","given":"Liping","non-dropping-particle":"","parse-names":false,"suffix":""},{"dropping-particle":"","family":"Yin","given":"Huabin","non-dropping-particle":"","parse-names":false,"suffix":""},{"dropping-particle":"","family":"He","given":"Jiyin","non-dropping-particle":"","parse-names":false,"suffix":""},{"dropping-particle":"","family":"Wang","given":"Jingwu","non-dropping-particle":"","parse-names":false,"suffix":""},{"dropping-particle":"","family":"Cao","given":"Wei","non-dropping-particle":"","parse-names":false,"suffix":""},{"dropping-particle":"","family":"Wang","given":"Richard","non-dropping-particle":"","parse-names":false,"suffix":""},{"dropping-particle":"","family":"Zhou","given":"Guangdong","non-dropping-particle":"","parse-names":false,"suffix":""},{"dropping-particle":"","family":"Wang","given":"Wen","non-dropping-particle":"","parse-names":false,"suffix":""}],"container-title":"Tissue Engineering Part A","id":"ITEM-1","issue":"3-4","issued":{"date-parts":[["2018"]]},"page":"219-233","title":"Efficacy and Persistence of Allogeneic Adipose-Derived Mesenchymal Stem Cells Combined with Hyaluronic Acid in Osteoarthritis After Intra-articular Injection in a Sheep Model","type":"article-journal","volume":"24"},"uris":["http://www.mendeley.com/documents/?uuid=3d770589-a520-4261-beda-1916278795ab"]},{"id":"ITEM-2","itemData":{"author":[{"dropping-particle":"","family":"Delling","given":"U.","non-dropping-particle":"","parse-names":false,"suffix":""},{"dropping-particle":"","family":"Brehm","given":"W.","non-dropping-particle":"","parse-names":false,"suffix":""},{"dropping-particle":"","family":"Metzger","given":"M.","non-dropping-particle":"","parse-names":false,"suffix":""},{"dropping-particle":"","family":"Ludewig","given":"E.","non-dropping-particle":"","parse-names":false,"suffix":""},{"dropping-particle":"","family":"Winter","given":"K.","non-dropping-particle":"","parse-names":false,"suffix":""},{"dropping-particle":"","family":"Julke","given":"H.","non-dropping-particle":"","parse-names":false,"suffix":""}],"container-title":"Cell Transplantation","id":"ITEM-2","issue":"11","issued":{"date-parts":[["2015"]]},"page":"2379-90","title":"In vivo tracking and fate of intra-articularly injected superparamagnetic iron oxide particle-labeled multipotent stromal cells in an ovine model of osteoarthritis","type":"article-journal","volume":"24"},"uris":["http://www.mendeley.com/documents/?uuid=d18c19c1-ec6b-48c5-b362-a1fdaf7ac3c9"]},{"id":"ITEM-3","itemData":{"DOI":"10.1155/2016/8610964","ISSN":"1687-966X","abstract":" Ultrasound-guided intralesional injection of mesenchymal stem cells (MSCs) is held as the benchmark for cell delivery in tendonitis. The primary objective of this study was to investigate the immediate cell distribution following intralesional injection of MSCs. Unilateral superficial digital flexor tendon (SDFT) lesions were created in the forelimb of six horses and injected with 10 × 10 6 MSCs labeled with superparamagnetic iron oxide nanoparticles (SPIOs) under ultrasound guidance. Assays were performed to confirm that there were no significant changes in cell viability, proliferation, migration, or trilineage differentiation due to the presence of SPIOs. Limbs were imaged on a 1.5-tesla clinical MRI scanner postmortem before and after injection to determine the extent of tendonitis and detect SPIO MSCs. Clusters of labeled cells were visible as signal voids in 6/6 subjects. Coalescing regions of signal void were diffusely present in the peritendinous tissues. Although previous reports have determined that local injury retains cells within a small radius of the site of injection, our study shows greater than expected delocalization and relatively few cells retained within collagenous tendon compared to surrounding fascia. Further work is needed if this is a reality in vivo and to determine if directed intralesional delivery of MSCs is as critical as presently thought. ","author":[{"dropping-particle":"","family":"Scharf","given":"Alexandra","non-dropping-particle":"","parse-names":false,"suffix":""},{"dropping-particle":"","family":"Holmes","given":"Shannon P.","non-dropping-particle":"","parse-names":false,"suffix":""},{"dropping-particle":"","family":"Thoresen","given":"Merrilee","non-dropping-particle":"","parse-names":false,"suffix":""},{"dropping-particle":"","family":"Mumaw","given":"Jennifer","non-dropping-particle":"","parse-names":false,"suffix":""},{"dropping-particle":"","family":"Stumpf","given":"Alaina","non-dropping-particle":"","parse-names":false,"suffix":""},{"dropping-particle":"","family":"Peroni","given":"John","non-dropping-particle":"","parse-names":false,"suffix":""}],"container-title":"Stem Cells International","id":"ITEM-3","issued":{"date-parts":[["2016"]]},"page":"1-13","publisher":"Hindawi Publishing Corporation","title":"MRI-Based Assessment of Intralesional Delivery of Bone Marrow-Derived Mesenchymal Stem Cells in a Model of Equine Tendonitis","type":"article-journal","volume":"2016"},"uris":["http://www.mendeley.com/documents/?uuid=9d46d6ab-408c-4d39-bffa-72152944e2a8"]},{"id":"ITEM-4","itemData":{"DOI":"10.3727/096368913x675737","ISSN":"0963-6897","abstract":"The purpose of this study was to evaluate the use of three different superparamagnetic iron oxide (SPIO) particles for labeling of ovine and equine bone marrow (BM)-derived multipotent stromal cells (MSCs) in vitro. MSCs were obtained from five adult sheep and horses, respectively. After three passages (p3), cells were labeled with either 1) Molday ION Rhodamine B, 2) Endorem, 3) Resovist, or 4) remained unlabeled as control. Labeling efficiency, marker retention, and long-term detectability in MRI until p7 were evaluated. Further, proliferation capacity and trilineage differentiation as indicators for potential impact on stromal cell characteristics were assessed. MSCs of both species were successfully labeled with all three SPIO products. A high, exclusively intracellular, iron uptake was achieved by Molday ION Rhodamine B only. Labeling with Resovist led to prominent extracellular iron presence; labeling with Endorem was less efficient. During MRI, all labeled cells showed strong hypointense signals, contrary to unlabeled controls. Resovist induced the largest areas of hypointense signals, followed by Molday ION Rhodamine B and Endorem. MRI signal detectability decreased from p4 to p7. Proliferation, adipogenic, and osteogenic differentiation potential were not reduced by cell labeling compared to unlabeled cells. Chondrogenic differentiation capacity decreased with increasing amount of iron associated with the cells. Among the three products, Resovist and Molday were identified as promising labeling agents. While Resovist achieved superior results in most of the assessed parameters, Molday ION Rhodamine B ensured intracellular iron uptake without extracellular SPIO complexes and consistent hypointense signals on MRI.","author":[{"dropping-particle":"","family":"Jülke","given":"Henriette","non-dropping-particle":"","parse-names":false,"suffix":""},{"dropping-particle":"","family":"Veit","given":"Christin","non-dropping-particle":"","parse-names":false,"suffix":""},{"dropping-particle":"","family":"Ribitsch","given":"Iris","non-dropping-particle":"","parse-names":false,"suffix":""},{"dropping-particle":"","family":"Brehm","given":"Walter","non-dropping-particle":"","parse-names":false,"suffix":""},{"dropping-particle":"","family":"Ludewig","given":"Eberhard","non-dropping-particle":"","parse-names":false,"suffix":""},{"dropping-particle":"","family":"Delling","given":"Uta","non-dropping-particle":"","parse-names":false,"suffix":""}],"container-title":"Cell Transplantation","id":"ITEM-4","issue":"6","issued":{"date-parts":[["2013"]]},"page":"1111-1125","title":"Comparative Labeling of Equine and Ovine Multipotent Stromal Cells with Superparamagnetic Iron Oxide Particles for Magnetic Resonance Imaging in Vitro","type":"article-journal","volume":"24"},"uris":["http://www.mendeley.com/documents/?uuid=7d25874c-371a-4d3d-a382-469371067f38"]},{"id":"ITEM-5","itemData":{"DOI":"10.1177/0963689718773333","ISSN":"15553892","abstract":"The current study explored whether intra-articular (IA) injection of autologous adipose mesenchymal stem cells (ASCs) combined with hyaluronic acid (HA) achieved better therapeutic efficacy than autologous stromal vascular fraction (SVF) combined with HA to prevent osteoarthritis (OA) progression and determined how long autologous ASCs combined with HA must remain in the joint to observe efficacy. OA models were established by performing anterior cruciate ligament transection (ACLT) and medial meniscectomy (MM). Autologous SVF (1×107 mononuclear cells), autologous low-dose ASCs (1×107), and autologous high-dose ASCs (5×107) combined with HA, and HA alone, or saline alone were injected into the OA model animals at 12 and 15 weeks after surgery, respectively. Compared with SVF+HA treatment, low-dose ASC+HA treatment yielded better magnetic resonance imaging (MRI) scores and macroscopic results, while the cartilage thickness of the tibial plateau did not differ between low, high ASC+HA and SVF+HA treatments detected by micro-computed tomography (µCT). Immunohistochemistry revealed that high-dose ASC+HA treatment rescued hypertrophic chondrocytes expressing collagen X in the deep area of articular cartilage. Western blotting analysis indicated the high- and low-dose ASC+HA groups expressed more collagen X than did the SVF+HA group. Enzyme-linked immunosorbent assay showed treatment with both ASC+HA and SVF+HA resulted in differing anti-inflammatory and trophic effects. Moreover, superparamagnetic iron oxide particle (SPIO)-labeled autologous ASC signals were detected by MRI at 2 and 18 weeks post-injection and were found in the lateral meniscus at 2 weeks and in the marrow cavity of the femoral condyle at 18 weeks post-injection. Thus, IA injection of autologous ASC+HA may demonstrate better efficacy than autologous SVF+HA in blocking OA progression and promoting cartilage regeneration, and autologous ASCs (5×107 cells) combined with HA potentially survive for at least 18 weeks after IA injection.","author":[{"dropping-particle":"","family":"Lv","given":"Xiaoteng","non-dropping-particle":"","parse-names":false,"suffix":""},{"dropping-particle":"","family":"He","given":"Jiyin","non-dropping-particle":"","parse-names":false,"suffix":""},{"dropping-particle":"","family":"Zhang","given":"Xue","non-dropping-particle":"","parse-names":false,"suffix":""},{"dropping-particle":"","family":"Luo","given":"Xuan","non-dropping-particle":"","parse-names":false,"suffix":""},{"dropping-particle":"","family":"He","given":"Na","non-dropping-particle":"","parse-names":false,"suffix":""},{"dropping-particle":"","family":"Sun","given":"Zhongwei","non-dropping-particle":"","parse-names":false,"suffix":""},{"dropping-particle":"","family":"Xia","given":"Huitang","non-dropping-particle":"","parse-names":false,"suffix":""},{"dropping-particle":"","family":"Liu","given":"Victor","non-dropping-particle":"","parse-names":false,"suffix":""},{"dropping-particle":"","family":"Zhang","given":"Li","non-dropping-particle":"","parse-names":false,"suffix":""},{"dropping-particle":"","family":"Lin","given":"Xiangming","non-dropping-particle":"","parse-names":false,"suffix":""},{"dropping-particle":"","family":"Lin","given":"Liping","non-dropping-particle":"","parse-names":false,"suffix":""},{"dropping-particle":"","family":"Yin","given":"Huabin","non-dropping-particle":"","parse-names":false,"suffix":""},{"dropping-particle":"","family":"Jiang","given":"Dong","non-dropping-particle":"","parse-names":false,"suffix":""},{"dropping-particle":"","family":"Cao","given":"Wei","non-dropping-particle":"","parse-names":false,"suffix":""},{"dropping-particle":"","family":"Wang","given":"Richard","non-dropping-particle":"","parse-names":false,"suffix":""},{"dropping-particle":"","family":"Zhou","given":"Guangdong","non-dropping-particle":"","parse-names":false,"suffix":""},{"dropping-particle":"","family":"Wang","given":"Wen","non-dropping-particle":"","parse-names":false,"suffix":""}],"container-title":"Cell Transplantation","id":"ITEM-5","issue":"7","issued":{"date-parts":[["2018"]]},"page":"1111-1125","title":"Comparative Efficacy of Autologous Stromal Vascular Fraction and Autologous Adipose-Derived Mesenchymal Stem Cells Combined With Hyaluronic Acid for the Treatment of Sheep Osteoarthritis","type":"article-journal","volume":"27"},"uris":["http://www.mendeley.com/documents/?uuid=b2eefea4-1707-45c8-adec-7aa614f4d00a"]},{"id":"ITEM-6","itemData":{"DOI":"10.4137/MRI.S23557","ISSN":"1178-623X","abstract":"Iron oxide contrast agents have been combined with magnetic resonance imaging for cell tracking. In this review, we discuss coating properties and provide an overview of ex vivo and in vivo labeling of different cell types, including stem cells, red blood cells, and monocytes/macrophages. Furthermore, we provide examples of applications of cell tracking with iron contrast agents in stroke, multiple sclerosis, cancer, arteriovenous malformations, and aortic and cerebral aneurysms. Attempts at quantifying iron oxide concentrations and other vascular properties are examined. We advise on designing studies using iron contrast agents including methods for validation.","author":[{"dropping-particle":"","family":"Korchinski","given":"Daniel J.","non-dropping-particle":"","parse-names":false,"suffix":""},{"dropping-particle":"","family":"Taha","given":"May","non-dropping-particle":"","parse-names":false,"suffix":""},{"dropping-particle":"","family":"Yang","given":"Runze","non-dropping-particle":"","parse-names":false,"suffix":""},{"dropping-particle":"","family":"Nathoo","given":"Nabeela","non-dropping-particle":"","parse-names":false,"suffix":""},{"dropping-particle":"","family":"Dunn","given":"Jeff F.","non-dropping-particle":"","parse-names":false,"suffix":""}],"container-title":"Magnetic Resonance Insights","id":"ITEM-6","issued":{"date-parts":[["2015"]]},"page":"MRI.S23557","title":"Iron Oxide as an Mri Contrast Agent for Cell Tracking: Supplementary Issue","type":"article-journal","volume":"8s1"},"uris":["http://www.mendeley.com/documents/?uuid=40f9b19a-6ccb-4e60-906c-ea4acb8a5958"]},{"id":"ITEM-7","itemData":{"DOI":"10.1371/journal.pone.0097631","ISSN":"19326203","abstract":"BACKGROUND: The purpose of the study was to evaluate the long-term clinical tracking of magnetically labeled stem cells after intracerebroventricular transplantation as well as to investigate in vitro feasibility for magnetic guidance of cell therapy within large fluid compartments.\\n\\nMETHOD: After approval by our Institutional Review Board, an 18-month-old patient, diagnosed as being in a vegetative state due to global cerebral ischemia, underwent cell transplantation to the frontal horn of the lateral ventricle, with umbilical cord blood-derived stem cells labeled with superparamagnetic iron oxide (SPIO) contrast agent. The patient was followed over 33 months with clinical examinations and MRI. To evaluate the forces governing the distribution of cells within the fluid compartment of the ventricular system in vivo, a gravity-driven sedimentation assay and a magnetic field-driven cell attraction assay were developed in vitro.\\n\\nRESULTS: Twenty-four hours post-transplantation, MR imaging (MRI) was able to detect hypointense cells in the occipital horn of the lateral ventricle. The signal gradually decreased over 4 months and became undetectable at 33 months. In vitro, no significant difference in cell sedimentation between SPIO-labeled and unlabeled cells was observed (p = NS). An external magnet was effective in attracting cells over distances comparable to the size of human lateral ventricles.\\n\\nCONCLUSIONS: MR imaging of SPIO-labeled cells allows monitoring of cells within lateral ventricles. While the initial biodistribution is governed by gravity-driven sedimentation, an external magnetic field may possibly be applied to further direct the distribution of labeled cells within large fluid compartments such as the ventricular system.","author":[{"dropping-particle":"","family":"Janowski","given":"Miroslaw","non-dropping-particle":"","parse-names":false,"suffix":""},{"dropping-particle":"","family":"Walczak","given":"Piotr","non-dropping-particle":"","parse-names":false,"suffix":""},{"dropping-particle":"","family":"Kropiwnicki","given":"Tomasz","non-dropping-particle":"","parse-names":false,"suffix":""},{"dropping-particle":"","family":"Jurkiewicz","given":"Elzbieta","non-dropping-particle":"","parse-names":false,"suffix":""},{"dropping-particle":"","family":"Domanska-Janik","given":"Krystyna","non-dropping-particle":"","parse-names":false,"suffix":""},{"dropping-particle":"","family":"Bulte","given":"Jeff W.M.","non-dropping-particle":"","parse-names":false,"suffix":""},{"dropping-particle":"","family":"Lukomska","given":"Barbara","non-dropping-particle":"","parse-names":false,"suffix":""},{"dropping-particle":"","family":"Roszkowski","given":"Marcin","non-dropping-particle":"","parse-names":false,"suffix":""}],"container-title":"PLoS ONE","id":"ITEM-7","issue":"6","issued":{"date-parts":[["2014"]]},"title":"Long-term MRI cell tracking after intraventricular delivery in a patient with global cerebral ischemia and prospects for magnetic navigation of stem cells within the CSF","type":"article-journal","volume":"9"},"uris":["http://www.mendeley.com/documents/?uuid=708ff454-6780-4da3-9f1a-b7de08294a15"]},{"id":"ITEM-8","itemData":{"DOI":"10.3727/096368916x692104","ISSN":"0963-6897","abstract":"Tendon disease has been treated with multipotent mesenchymal stromal cells (MSCs) in the equine large-animal model with promising success. The aim of this study was to gain more insight into the fate and biodistribution of MSCs after local application into tendon lesions by long-term cell tracking in this large-animal model. Superficial digital flexor tendon lesions were induced in all limbs in six horses and injected with 10106 Molday ION Rhodamine B-labeled MSCs suspended in serum or serum alone. Follow-up was performed using low-field magnetic resonance imaging (MRI), flow cytometry, and histology. Cell tracking based on the hypointense artifacts induced by the superparamagnetic iron oxide (SPIO) labeling agent in MRI as well as based on Rhodamine B fluorescence was feasible. However, Prussian blue staining for assessment of histology was not entirely specific for SPIO. Labeled cells could be traced at their injection site by MRI as well as histology for the whole follow-up period of 24 weeks. Although the numbers of labeled cells within the injected tendon lesions decreased over time, part of the applied cells appeared to remain viable and integrated within the injured tissue. Furthermore, small numbers of labeled cells were identified in peripheral blood within the first 24 h after cell injection and could also be found until week 24 within the contralateral control tendon lesions that had been injected with serum. The present findings unveil details on MSC biodistribution and persistence after their local application, which are of clinical relevance with regard to MSC safety and mechanisms of action.","author":[{"dropping-particle":"","family":"Burk","given":"Janina","non-dropping-particle":"","parse-names":false,"suffix":""},{"dropping-particle":"","family":"Berner","given":"Dagmar","non-dropping-particle":"","parse-names":false,"suffix":""},{"dropping-particle":"","family":"Brehm","given":"Walter","non-dropping-particle":"","parse-names":false,"suffix":""},{"dropping-particle":"","family":"Hillmann","given":"Aline","non-dropping-particle":"","parse-names":false,"suffix":""},{"dropping-particle":"","family":"Horstmeier","given":"Carolin","non-dropping-particle":"","parse-names":false,"suffix":""},{"dropping-particle":"","family":"Josten","given":"Christoph","non-dropping-particle":"","parse-names":false,"suffix":""},{"dropping-particle":"","family":"Paebst","given":"Felicitas","non-dropping-particle":"","parse-names":false,"suffix":""},{"dropping-particle":"","family":"Rossi","given":"Giacomo","non-dropping-particle":"","parse-names":false,"suffix":""},{"dropping-particle":"","family":"Schubert","given":"Susanna","non-dropping-particle":"","parse-names":false,"suffix":""},{"dropping-particle":"","family":"Ahrberg","given":"Annette B.","non-dropping-particle":"","parse-names":false,"suffix":""}],"container-title":"Cell Transplantation","id":"ITEM-8","issue":"12","issued":{"date-parts":[["2016"]]},"page":"2199-2211","title":"Long-Term Cell Tracking following Local Injection of Mesenchymal Stromal Cells in the Equine Model of Induced Tendon Disease","type":"article-journal","volume":"25"},"uris":["http://www.mendeley.com/documents/?uuid=3f61d4b9-d404-40ae-8c41-8469a690fe0e"]},{"id":"ITEM-9","itemData":{"DOI":"10.1002/cmmi.456","ISSN":"15554309","abstract":"Stem cells, cancer cells and immune cells were labeled by co-incubation with a new ultra-small iron oxide nanoparticle called Molday ION Rhodamine-B (MIRB). Iron staining, fluorescence imaging, transmission electron microscopy and flow cytometry were used to assess cell viability, function and labeling efficiency. This study has shown that MIRB can be used to label both adherent and nonadherent cell lines, with high viability and loading levels sufficient for their detection in vivo by MRI at 3 T.","author":[{"dropping-particle":"","family":"Mcfadden","given":"C.","non-dropping-particle":"","parse-names":false,"suffix":""},{"dropping-particle":"","family":"Mallett","given":"C. L.","non-dropping-particle":"","parse-names":false,"suffix":""},{"dropping-particle":"","family":"Foster","given":"P. J.","non-dropping-particle":"","parse-names":false,"suffix":""}],"container-title":"Contrast Media and Molecular Imaging","id":"ITEM-9","issue":"6","issued":{"date-parts":[["2011"]]},"page":"514-522","title":"Labeling of multiple cell lines using a new iron oxide agent for cell tracking by MRI","type":"article-journal","volume":"6"},"uris":["http://www.mendeley.com/documents/?uuid=0a7b7f9d-6b5c-439a-8de7-e28b16c94ff3"]}],"mendeley":{"formattedCitation":"(1–9)","plainTextFormattedCitation":"(1–9)","previouslyFormattedCitation":"(1–9)"},"properties":{"noteIndex":0},"schema":"https://github.com/citation-style-language/schema/raw/master/csl-citation.json"}</w:instrText>
      </w:r>
      <w:r w:rsidRPr="00996128">
        <w:rPr>
          <w:rFonts w:ascii="Times New Roman" w:hAnsi="Times New Roman" w:cs="Times New Roman"/>
          <w:lang w:val="en-US"/>
        </w:rPr>
        <w:fldChar w:fldCharType="separate"/>
      </w:r>
      <w:r w:rsidR="00E02D61" w:rsidRPr="00E02D61">
        <w:rPr>
          <w:rFonts w:ascii="Times New Roman" w:hAnsi="Times New Roman" w:cs="Times New Roman"/>
          <w:noProof/>
          <w:lang w:val="en-US"/>
        </w:rPr>
        <w:t>(1–9)</w:t>
      </w:r>
      <w:r w:rsidRPr="00996128">
        <w:rPr>
          <w:rFonts w:ascii="Times New Roman" w:hAnsi="Times New Roman" w:cs="Times New Roman"/>
          <w:lang w:val="en-US"/>
        </w:rPr>
        <w:fldChar w:fldCharType="end"/>
      </w:r>
      <w:r w:rsidRPr="00996128">
        <w:rPr>
          <w:rFonts w:ascii="Times New Roman" w:hAnsi="Times New Roman" w:cs="Times New Roman"/>
          <w:lang w:val="en-US"/>
        </w:rPr>
        <w:t xml:space="preserve">. The labelling was conducted according to the manufacturer’s protocol with some optimization regarding MIRB concentration and incubation times </w:t>
      </w:r>
      <w:proofErr w:type="gramStart"/>
      <w:r w:rsidRPr="00996128">
        <w:rPr>
          <w:rFonts w:ascii="Times New Roman" w:hAnsi="Times New Roman" w:cs="Times New Roman"/>
          <w:lang w:val="en-US"/>
        </w:rPr>
        <w:t>in order to</w:t>
      </w:r>
      <w:proofErr w:type="gramEnd"/>
      <w:r w:rsidRPr="00996128">
        <w:rPr>
          <w:rFonts w:ascii="Times New Roman" w:hAnsi="Times New Roman" w:cs="Times New Roman"/>
          <w:lang w:val="en-US"/>
        </w:rPr>
        <w:t xml:space="preserve"> determine the best protocol that would allow satisfactory MRI contrast without negative impact on cell viability, proliferation and trilineage differentiation capacity.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MSCs were incubated with MIRB at a concentration of 25</w:t>
      </w:r>
      <w:r w:rsidRPr="00996128">
        <w:rPr>
          <w:rFonts w:ascii="Times New Roman" w:hAnsi="Times New Roman" w:cs="Times New Roman"/>
        </w:rPr>
        <w:sym w:font="Symbol" w:char="F06D"/>
      </w:r>
      <w:r w:rsidRPr="00996128">
        <w:rPr>
          <w:rFonts w:ascii="Times New Roman" w:hAnsi="Times New Roman" w:cs="Times New Roman"/>
          <w:lang w:val="en-US"/>
        </w:rPr>
        <w:t>g/ml with an incubation time of either 6 hours (6h</w:t>
      </w:r>
      <w:r w:rsidR="00763629">
        <w:rPr>
          <w:rFonts w:ascii="Times New Roman" w:hAnsi="Times New Roman" w:cs="Times New Roman"/>
          <w:lang w:val="en-US"/>
        </w:rPr>
        <w:t>-MIRB</w:t>
      </w:r>
      <w:r w:rsidRPr="00996128">
        <w:rPr>
          <w:rFonts w:ascii="Times New Roman" w:hAnsi="Times New Roman" w:cs="Times New Roman"/>
          <w:lang w:val="en-US"/>
        </w:rPr>
        <w:t>) or 16 hours (16h</w:t>
      </w:r>
      <w:r w:rsidR="00763629">
        <w:rPr>
          <w:rFonts w:ascii="Times New Roman" w:hAnsi="Times New Roman" w:cs="Times New Roman"/>
          <w:lang w:val="en-US"/>
        </w:rPr>
        <w:t>-MIRB</w:t>
      </w:r>
      <w:r w:rsidRPr="00996128">
        <w:rPr>
          <w:rFonts w:ascii="Times New Roman" w:hAnsi="Times New Roman" w:cs="Times New Roman"/>
          <w:lang w:val="en-US"/>
        </w:rPr>
        <w:t>). Un</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 xml:space="preserve">MSCs </w:t>
      </w:r>
      <w:r w:rsidR="00763629">
        <w:rPr>
          <w:rFonts w:ascii="Times New Roman" w:hAnsi="Times New Roman" w:cs="Times New Roman"/>
          <w:lang w:val="en-US"/>
        </w:rPr>
        <w:t xml:space="preserve">(UL) </w:t>
      </w:r>
      <w:r w:rsidRPr="00996128">
        <w:rPr>
          <w:rFonts w:ascii="Times New Roman" w:hAnsi="Times New Roman" w:cs="Times New Roman"/>
          <w:lang w:val="en-US"/>
        </w:rPr>
        <w:t xml:space="preserve">served as controls for </w:t>
      </w:r>
      <w:r w:rsidRPr="00996128">
        <w:rPr>
          <w:rFonts w:ascii="Times New Roman" w:hAnsi="Times New Roman" w:cs="Times New Roman"/>
          <w:i/>
          <w:iCs/>
          <w:lang w:val="en-US"/>
        </w:rPr>
        <w:t>in vitro</w:t>
      </w:r>
      <w:r w:rsidRPr="00996128">
        <w:rPr>
          <w:rFonts w:ascii="Times New Roman" w:hAnsi="Times New Roman" w:cs="Times New Roman"/>
          <w:lang w:val="en-US"/>
        </w:rPr>
        <w:t xml:space="preserve"> optimization. After labelling, all cells were harvested with </w:t>
      </w:r>
      <w:proofErr w:type="spellStart"/>
      <w:r w:rsidRPr="00996128">
        <w:rPr>
          <w:rFonts w:ascii="Times New Roman" w:hAnsi="Times New Roman" w:cs="Times New Roman"/>
          <w:lang w:val="en-US"/>
        </w:rPr>
        <w:t>Accutase</w:t>
      </w:r>
      <w:proofErr w:type="spellEnd"/>
      <w:r w:rsidRPr="00996128">
        <w:rPr>
          <w:rFonts w:ascii="Calibri" w:hAnsi="Calibri" w:cs="Calibri"/>
          <w:lang w:val="en-US"/>
        </w:rPr>
        <w:t>﻿</w:t>
      </w:r>
      <w:r w:rsidRPr="00996128">
        <w:rPr>
          <w:rFonts w:ascii="Times New Roman" w:hAnsi="Times New Roman" w:cs="Times New Roman"/>
          <w:lang w:val="en-US"/>
        </w:rPr>
        <w:t xml:space="preserve"> (Gibco). </w:t>
      </w:r>
    </w:p>
    <w:p w14:paraId="141C73C3" w14:textId="77777777" w:rsidR="0045696D" w:rsidRPr="00996128" w:rsidRDefault="0045696D" w:rsidP="00795549">
      <w:pPr>
        <w:spacing w:line="360" w:lineRule="auto"/>
        <w:rPr>
          <w:rFonts w:ascii="Times New Roman" w:hAnsi="Times New Roman" w:cs="Times New Roman"/>
          <w:lang w:val="en-US"/>
        </w:rPr>
      </w:pPr>
    </w:p>
    <w:p w14:paraId="2291B86A" w14:textId="77777777" w:rsidR="0045696D" w:rsidRPr="00996128" w:rsidRDefault="0045696D" w:rsidP="00795549">
      <w:pPr>
        <w:spacing w:line="360" w:lineRule="auto"/>
        <w:rPr>
          <w:rFonts w:ascii="Times New Roman" w:hAnsi="Times New Roman" w:cs="Times New Roman"/>
          <w:bCs/>
          <w:i/>
          <w:iCs/>
          <w:lang w:val="en-US"/>
        </w:rPr>
      </w:pPr>
      <w:r w:rsidRPr="00996128">
        <w:rPr>
          <w:rFonts w:ascii="Times New Roman" w:hAnsi="Times New Roman" w:cs="Times New Roman"/>
          <w:bCs/>
          <w:i/>
          <w:iCs/>
          <w:lang w:val="en-US"/>
        </w:rPr>
        <w:t>Labelling efficacy</w:t>
      </w:r>
    </w:p>
    <w:p w14:paraId="4B5C734E" w14:textId="3330206D"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lang w:val="en-US"/>
        </w:rPr>
        <w:t xml:space="preserve">Labelling efficacy, expressed as frequency of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 xml:space="preserve">MSCs successfully </w:t>
      </w:r>
      <w:r w:rsidR="00840713">
        <w:rPr>
          <w:rFonts w:ascii="Times New Roman" w:hAnsi="Times New Roman" w:cs="Times New Roman"/>
          <w:lang w:val="en-US"/>
        </w:rPr>
        <w:t>labeled</w:t>
      </w:r>
      <w:r w:rsidRPr="00996128">
        <w:rPr>
          <w:rFonts w:ascii="Times New Roman" w:hAnsi="Times New Roman" w:cs="Times New Roman"/>
          <w:lang w:val="en-US"/>
        </w:rPr>
        <w:t xml:space="preserve"> with MIRB and by median fluorescence intensity (MFI), was assessed by flow cytometric analysis (</w:t>
      </w:r>
      <w:proofErr w:type="spellStart"/>
      <w:r w:rsidRPr="00996128">
        <w:rPr>
          <w:rFonts w:ascii="Times New Roman" w:hAnsi="Times New Roman" w:cs="Times New Roman"/>
          <w:lang w:val="en-US"/>
        </w:rPr>
        <w:t>CytoFLEX</w:t>
      </w:r>
      <w:proofErr w:type="spellEnd"/>
      <w:r w:rsidRPr="00996128">
        <w:rPr>
          <w:rFonts w:ascii="Times New Roman" w:hAnsi="Times New Roman" w:cs="Times New Roman"/>
          <w:lang w:val="en-US"/>
        </w:rPr>
        <w:t xml:space="preserve">, Beckman Coulter) of Rhodamine B. In addition, intracellular Rhodamine B was visualized by fluorescence microscopy. Labelling efficacy was </w:t>
      </w:r>
      <w:proofErr w:type="spellStart"/>
      <w:r w:rsidRPr="00996128">
        <w:rPr>
          <w:rFonts w:ascii="Times New Roman" w:hAnsi="Times New Roman" w:cs="Times New Roman"/>
          <w:lang w:val="en-US"/>
        </w:rPr>
        <w:t>analysed</w:t>
      </w:r>
      <w:proofErr w:type="spellEnd"/>
      <w:r w:rsidRPr="00996128">
        <w:rPr>
          <w:rFonts w:ascii="Times New Roman" w:hAnsi="Times New Roman" w:cs="Times New Roman"/>
          <w:lang w:val="en-US"/>
        </w:rPr>
        <w:t xml:space="preserve"> immediately after labelling and again after three days of culture to assess stability and effect of proliferation after labelling.</w:t>
      </w:r>
    </w:p>
    <w:p w14:paraId="34C0450A" w14:textId="77777777" w:rsidR="0045696D" w:rsidRPr="00996128" w:rsidRDefault="0045696D" w:rsidP="00795549">
      <w:pPr>
        <w:spacing w:line="360" w:lineRule="auto"/>
        <w:rPr>
          <w:rFonts w:ascii="Times New Roman" w:hAnsi="Times New Roman" w:cs="Times New Roman"/>
          <w:b/>
          <w:lang w:val="en-US"/>
        </w:rPr>
      </w:pPr>
    </w:p>
    <w:p w14:paraId="4F2551F8" w14:textId="77777777" w:rsidR="0045696D" w:rsidRPr="00996128" w:rsidRDefault="0045696D" w:rsidP="00795549">
      <w:pPr>
        <w:spacing w:line="360" w:lineRule="auto"/>
        <w:rPr>
          <w:rFonts w:ascii="Times New Roman" w:hAnsi="Times New Roman" w:cs="Times New Roman"/>
          <w:bCs/>
          <w:i/>
          <w:iCs/>
          <w:lang w:val="en-US"/>
        </w:rPr>
      </w:pPr>
      <w:r w:rsidRPr="00996128">
        <w:rPr>
          <w:rFonts w:ascii="Times New Roman" w:hAnsi="Times New Roman" w:cs="Times New Roman"/>
          <w:bCs/>
          <w:i/>
          <w:iCs/>
          <w:lang w:val="en-US"/>
        </w:rPr>
        <w:t>Viability</w:t>
      </w:r>
    </w:p>
    <w:p w14:paraId="65C67FEB" w14:textId="7AD67CC3"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lang w:val="en-US"/>
        </w:rPr>
        <w:t xml:space="preserve">Viability of </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MSCs and un</w:t>
      </w:r>
      <w:r w:rsidR="00840713">
        <w:rPr>
          <w:rFonts w:ascii="Times New Roman" w:hAnsi="Times New Roman" w:cs="Times New Roman"/>
          <w:lang w:val="en-US"/>
        </w:rPr>
        <w:t>labeled</w:t>
      </w:r>
      <w:r w:rsidRPr="00996128">
        <w:rPr>
          <w:rFonts w:ascii="Times New Roman" w:hAnsi="Times New Roman" w:cs="Times New Roman"/>
          <w:lang w:val="en-US"/>
        </w:rPr>
        <w:t xml:space="preserve"> controls was assessed by the Trypan Blue </w:t>
      </w:r>
      <w:r w:rsidRPr="00996128">
        <w:rPr>
          <w:rFonts w:ascii="Calibri" w:hAnsi="Calibri" w:cs="Calibri"/>
          <w:lang w:val="en-US"/>
        </w:rPr>
        <w:t>﻿</w:t>
      </w:r>
      <w:r w:rsidRPr="00996128">
        <w:rPr>
          <w:rFonts w:ascii="Times New Roman" w:hAnsi="Times New Roman" w:cs="Times New Roman"/>
          <w:lang w:val="en-US"/>
        </w:rPr>
        <w:t>(Sigma Aldrich, St. Louis, MO) exclusion assay and by discrimination of live/dead cells by 7-AAD (</w:t>
      </w:r>
      <w:r w:rsidR="00A10438" w:rsidRPr="00A10438">
        <w:rPr>
          <w:rFonts w:ascii="Calibri" w:hAnsi="Calibri" w:cs="Calibri"/>
          <w:lang w:val="en-US"/>
        </w:rPr>
        <w:t>﻿</w:t>
      </w:r>
      <w:r w:rsidR="00A10438" w:rsidRPr="00A10438">
        <w:rPr>
          <w:rFonts w:ascii="Times New Roman" w:hAnsi="Times New Roman" w:cs="Times New Roman"/>
          <w:lang w:val="en-US"/>
        </w:rPr>
        <w:t>7-</w:t>
      </w:r>
      <w:r w:rsidR="00A10438">
        <w:rPr>
          <w:rFonts w:ascii="Times New Roman" w:hAnsi="Times New Roman" w:cs="Times New Roman"/>
          <w:lang w:val="en-US"/>
        </w:rPr>
        <w:t>A</w:t>
      </w:r>
      <w:r w:rsidR="00A10438" w:rsidRPr="00A10438">
        <w:rPr>
          <w:rFonts w:ascii="Times New Roman" w:hAnsi="Times New Roman" w:cs="Times New Roman"/>
          <w:lang w:val="en-US"/>
        </w:rPr>
        <w:t>mino</w:t>
      </w:r>
      <w:r w:rsidR="00A10438">
        <w:rPr>
          <w:rFonts w:ascii="Times New Roman" w:hAnsi="Times New Roman" w:cs="Times New Roman"/>
          <w:lang w:val="en-US"/>
        </w:rPr>
        <w:t>-A</w:t>
      </w:r>
      <w:r w:rsidR="00A10438" w:rsidRPr="00A10438">
        <w:rPr>
          <w:rFonts w:ascii="Times New Roman" w:hAnsi="Times New Roman" w:cs="Times New Roman"/>
          <w:lang w:val="en-US"/>
        </w:rPr>
        <w:t>ctinomycin</w:t>
      </w:r>
      <w:r w:rsidR="00A10438">
        <w:rPr>
          <w:rFonts w:ascii="Times New Roman" w:hAnsi="Times New Roman" w:cs="Times New Roman"/>
          <w:lang w:val="en-US"/>
        </w:rPr>
        <w:t xml:space="preserve"> D, </w:t>
      </w:r>
      <w:proofErr w:type="spellStart"/>
      <w:r w:rsidRPr="00996128">
        <w:rPr>
          <w:rFonts w:ascii="Times New Roman" w:hAnsi="Times New Roman" w:cs="Times New Roman"/>
          <w:lang w:val="en-US"/>
        </w:rPr>
        <w:t>Biolegend</w:t>
      </w:r>
      <w:proofErr w:type="spellEnd"/>
      <w:r w:rsidRPr="00996128">
        <w:rPr>
          <w:rFonts w:ascii="Times New Roman" w:hAnsi="Times New Roman" w:cs="Times New Roman"/>
          <w:lang w:val="en-US"/>
        </w:rPr>
        <w:t xml:space="preserve">) staining and flowcytometry analysis. Because non-viable </w:t>
      </w:r>
      <w:r w:rsidR="00840713">
        <w:rPr>
          <w:rFonts w:ascii="Times New Roman" w:hAnsi="Times New Roman" w:cs="Times New Roman"/>
          <w:lang w:val="en-US"/>
        </w:rPr>
        <w:t>labeled</w:t>
      </w:r>
      <w:r w:rsidRPr="00996128">
        <w:rPr>
          <w:rFonts w:ascii="Times New Roman" w:hAnsi="Times New Roman" w:cs="Times New Roman"/>
          <w:lang w:val="en-US"/>
        </w:rPr>
        <w:t xml:space="preserve"> cells tend to disintegrate, viability was also assessed through total cell count at harvest.</w:t>
      </w:r>
    </w:p>
    <w:p w14:paraId="0B2638A2" w14:textId="77777777" w:rsidR="0045696D" w:rsidRPr="00996128" w:rsidRDefault="0045696D" w:rsidP="00795549">
      <w:pPr>
        <w:spacing w:line="360" w:lineRule="auto"/>
        <w:rPr>
          <w:rFonts w:ascii="Times New Roman" w:hAnsi="Times New Roman" w:cs="Times New Roman"/>
          <w:lang w:val="en-US"/>
        </w:rPr>
      </w:pPr>
    </w:p>
    <w:p w14:paraId="545765A8" w14:textId="77777777" w:rsidR="0045696D" w:rsidRPr="00996128" w:rsidRDefault="0045696D" w:rsidP="00795549">
      <w:pPr>
        <w:spacing w:line="360" w:lineRule="auto"/>
        <w:rPr>
          <w:rFonts w:ascii="Times New Roman" w:hAnsi="Times New Roman" w:cs="Times New Roman"/>
          <w:bCs/>
          <w:i/>
          <w:iCs/>
          <w:lang w:val="en-US"/>
        </w:rPr>
      </w:pPr>
      <w:r w:rsidRPr="00996128">
        <w:rPr>
          <w:rFonts w:ascii="Times New Roman" w:hAnsi="Times New Roman" w:cs="Times New Roman"/>
          <w:bCs/>
          <w:i/>
          <w:iCs/>
          <w:lang w:val="en-US"/>
        </w:rPr>
        <w:lastRenderedPageBreak/>
        <w:t>Proliferative capacity</w:t>
      </w:r>
    </w:p>
    <w:p w14:paraId="37E3D0D2" w14:textId="4DF5286E" w:rsidR="0045696D" w:rsidRPr="00996128" w:rsidRDefault="0045696D" w:rsidP="00795549">
      <w:pPr>
        <w:spacing w:line="360" w:lineRule="auto"/>
        <w:rPr>
          <w:rFonts w:ascii="Times New Roman" w:hAnsi="Times New Roman" w:cs="Times New Roman"/>
          <w:b/>
          <w:bCs/>
          <w:lang w:val="en-US"/>
        </w:rPr>
      </w:pPr>
      <w:r w:rsidRPr="00996128">
        <w:rPr>
          <w:rFonts w:ascii="Times New Roman" w:hAnsi="Times New Roman" w:cs="Times New Roman"/>
          <w:lang w:val="en-US"/>
        </w:rPr>
        <w:t>Proliferation was assessed by reseeding un</w:t>
      </w:r>
      <w:r w:rsidR="00840713">
        <w:rPr>
          <w:rFonts w:ascii="Times New Roman" w:hAnsi="Times New Roman" w:cs="Times New Roman"/>
          <w:lang w:val="en-US"/>
        </w:rPr>
        <w:t>labeled</w:t>
      </w:r>
      <w:r w:rsidRPr="00996128">
        <w:rPr>
          <w:rFonts w:ascii="Times New Roman" w:hAnsi="Times New Roman" w:cs="Times New Roman"/>
          <w:lang w:val="en-US"/>
        </w:rPr>
        <w:t xml:space="preserve">, 6h and 16h </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MSCs at a density of 2000 cells/cm</w:t>
      </w:r>
      <w:r w:rsidRPr="00996128">
        <w:rPr>
          <w:rFonts w:ascii="Times New Roman" w:hAnsi="Times New Roman" w:cs="Times New Roman"/>
          <w:vertAlign w:val="superscript"/>
          <w:lang w:val="en-US"/>
        </w:rPr>
        <w:t>2</w:t>
      </w:r>
      <w:r w:rsidRPr="00996128">
        <w:rPr>
          <w:rFonts w:ascii="Times New Roman" w:hAnsi="Times New Roman" w:cs="Times New Roman"/>
          <w:lang w:val="en-US"/>
        </w:rPr>
        <w:t xml:space="preserve"> in 6-well plates (19,800 cells/well) and counting the number of viable cells and calculating cell doublings and cell doubling time after three days in culture. Proliferation after 5 days in culture was assessed for the un</w:t>
      </w:r>
      <w:r w:rsidR="00840713">
        <w:rPr>
          <w:rFonts w:ascii="Times New Roman" w:hAnsi="Times New Roman" w:cs="Times New Roman"/>
          <w:lang w:val="en-US"/>
        </w:rPr>
        <w:t>labeled</w:t>
      </w:r>
      <w:r w:rsidRPr="00996128">
        <w:rPr>
          <w:rFonts w:ascii="Times New Roman" w:hAnsi="Times New Roman" w:cs="Times New Roman"/>
          <w:lang w:val="en-US"/>
        </w:rPr>
        <w:t xml:space="preserve"> and 6h </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MSCs by seeding 3000 cells/cm</w:t>
      </w:r>
      <w:r w:rsidRPr="00996128">
        <w:rPr>
          <w:rFonts w:ascii="Times New Roman" w:hAnsi="Times New Roman" w:cs="Times New Roman"/>
          <w:vertAlign w:val="superscript"/>
          <w:lang w:val="en-US"/>
        </w:rPr>
        <w:t>2</w:t>
      </w:r>
      <w:r w:rsidRPr="00996128">
        <w:rPr>
          <w:rFonts w:ascii="Times New Roman" w:hAnsi="Times New Roman" w:cs="Times New Roman"/>
          <w:lang w:val="en-US"/>
        </w:rPr>
        <w:t xml:space="preserve"> in 6-well plates (28,800 cells/well) and counting cells and cell doublings.</w:t>
      </w:r>
    </w:p>
    <w:p w14:paraId="39CEEC9E" w14:textId="77777777" w:rsidR="0045696D" w:rsidRPr="00996128" w:rsidRDefault="0045696D" w:rsidP="00795549">
      <w:pPr>
        <w:spacing w:line="360" w:lineRule="auto"/>
        <w:rPr>
          <w:rFonts w:ascii="Times New Roman" w:hAnsi="Times New Roman" w:cs="Times New Roman"/>
          <w:lang w:val="en-US"/>
        </w:rPr>
      </w:pPr>
    </w:p>
    <w:p w14:paraId="52584B8E" w14:textId="5D643CE6" w:rsidR="0045696D" w:rsidRPr="00996128" w:rsidRDefault="0045696D" w:rsidP="00795549">
      <w:pPr>
        <w:spacing w:line="360" w:lineRule="auto"/>
        <w:rPr>
          <w:rFonts w:ascii="Times New Roman" w:hAnsi="Times New Roman" w:cs="Times New Roman"/>
          <w:i/>
          <w:iCs/>
          <w:lang w:val="en-US"/>
        </w:rPr>
      </w:pPr>
      <w:r w:rsidRPr="00996128">
        <w:rPr>
          <w:rFonts w:ascii="Times New Roman" w:hAnsi="Times New Roman" w:cs="Times New Roman"/>
          <w:i/>
          <w:iCs/>
          <w:lang w:val="en-US"/>
        </w:rPr>
        <w:t>Stability of cryo-preserved MIRB-</w:t>
      </w:r>
      <w:r w:rsidR="00840713">
        <w:rPr>
          <w:rFonts w:ascii="Times New Roman" w:hAnsi="Times New Roman" w:cs="Times New Roman"/>
          <w:i/>
          <w:iCs/>
          <w:lang w:val="en-US"/>
        </w:rPr>
        <w:t>labeled</w:t>
      </w:r>
      <w:r w:rsidRPr="00996128">
        <w:rPr>
          <w:rFonts w:ascii="Times New Roman" w:hAnsi="Times New Roman" w:cs="Times New Roman"/>
          <w:i/>
          <w:iCs/>
          <w:lang w:val="en-US"/>
        </w:rPr>
        <w:t xml:space="preserve"> </w:t>
      </w:r>
      <w:r w:rsidRPr="00996128">
        <w:rPr>
          <w:rFonts w:ascii="Times New Roman" w:hAnsi="Times New Roman" w:cs="Times New Roman"/>
          <w:i/>
          <w:iCs/>
          <w:lang w:val="en-GB"/>
        </w:rPr>
        <w:sym w:font="Symbol" w:char="F061"/>
      </w:r>
      <w:r w:rsidRPr="00996128">
        <w:rPr>
          <w:rFonts w:ascii="Times New Roman" w:hAnsi="Times New Roman" w:cs="Times New Roman"/>
          <w:i/>
          <w:iCs/>
          <w:lang w:val="en-US"/>
        </w:rPr>
        <w:t xml:space="preserve">10-MSC </w:t>
      </w:r>
    </w:p>
    <w:p w14:paraId="20575E7B" w14:textId="0B24BB8C"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lang w:val="en-US"/>
        </w:rPr>
        <w:t xml:space="preserve">To test the stability of cryo-preserved </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rPr>
        <w:t>α</w:t>
      </w:r>
      <w:r w:rsidRPr="00996128">
        <w:rPr>
          <w:rFonts w:ascii="Times New Roman" w:hAnsi="Times New Roman" w:cs="Times New Roman"/>
          <w:lang w:val="en-US"/>
        </w:rPr>
        <w:t>10-MSCs, a dose of 1x10</w:t>
      </w:r>
      <w:r w:rsidRPr="00996128">
        <w:rPr>
          <w:rFonts w:ascii="Times New Roman" w:hAnsi="Times New Roman" w:cs="Times New Roman"/>
          <w:vertAlign w:val="superscript"/>
          <w:lang w:val="en-US"/>
        </w:rPr>
        <w:t>6</w:t>
      </w:r>
      <w:r w:rsidRPr="00996128">
        <w:rPr>
          <w:rFonts w:ascii="Times New Roman" w:hAnsi="Times New Roman" w:cs="Times New Roman"/>
          <w:lang w:val="en-US"/>
        </w:rPr>
        <w:t xml:space="preserve"> MIRB-</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rPr>
        <w:t>α</w:t>
      </w:r>
      <w:r w:rsidRPr="00996128">
        <w:rPr>
          <w:rFonts w:ascii="Times New Roman" w:hAnsi="Times New Roman" w:cs="Times New Roman"/>
          <w:lang w:val="en-US"/>
        </w:rPr>
        <w:t>10-MSCs (</w:t>
      </w:r>
      <w:r w:rsidR="00840713">
        <w:rPr>
          <w:rFonts w:ascii="Times New Roman" w:hAnsi="Times New Roman" w:cs="Times New Roman"/>
          <w:lang w:val="en-US"/>
        </w:rPr>
        <w:t>labeled</w:t>
      </w:r>
      <w:r w:rsidRPr="00996128">
        <w:rPr>
          <w:rFonts w:ascii="Times New Roman" w:hAnsi="Times New Roman" w:cs="Times New Roman"/>
          <w:lang w:val="en-US"/>
        </w:rPr>
        <w:t xml:space="preserve"> at 25 </w:t>
      </w:r>
      <w:r w:rsidRPr="00996128">
        <w:rPr>
          <w:rFonts w:ascii="Times New Roman" w:hAnsi="Times New Roman" w:cs="Times New Roman"/>
        </w:rPr>
        <w:sym w:font="Symbol" w:char="F06D"/>
      </w:r>
      <w:r w:rsidRPr="00996128">
        <w:rPr>
          <w:rFonts w:ascii="Times New Roman" w:hAnsi="Times New Roman" w:cs="Times New Roman"/>
          <w:lang w:val="en-US"/>
        </w:rPr>
        <w:t>g/ml for 6 hours) and 1x10</w:t>
      </w:r>
      <w:r w:rsidRPr="00996128">
        <w:rPr>
          <w:rFonts w:ascii="Times New Roman" w:hAnsi="Times New Roman" w:cs="Times New Roman"/>
          <w:vertAlign w:val="superscript"/>
          <w:lang w:val="en-US"/>
        </w:rPr>
        <w:t>6</w:t>
      </w:r>
      <w:r w:rsidRPr="00996128">
        <w:rPr>
          <w:rFonts w:ascii="Times New Roman" w:hAnsi="Times New Roman" w:cs="Times New Roman"/>
          <w:lang w:val="en-US"/>
        </w:rPr>
        <w:t xml:space="preserve"> un</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rPr>
        <w:t>α</w:t>
      </w:r>
      <w:r w:rsidRPr="00996128">
        <w:rPr>
          <w:rFonts w:ascii="Times New Roman" w:hAnsi="Times New Roman" w:cs="Times New Roman"/>
          <w:lang w:val="en-US"/>
        </w:rPr>
        <w:t xml:space="preserve">10-MSCs were frozen in a </w:t>
      </w:r>
      <w:proofErr w:type="spellStart"/>
      <w:r w:rsidRPr="00996128">
        <w:rPr>
          <w:rFonts w:ascii="Times New Roman" w:hAnsi="Times New Roman" w:cs="Times New Roman"/>
          <w:lang w:val="en-US"/>
        </w:rPr>
        <w:t>CoolCell</w:t>
      </w:r>
      <w:proofErr w:type="spellEnd"/>
      <w:r w:rsidRPr="00996128">
        <w:rPr>
          <w:rFonts w:ascii="Times New Roman" w:hAnsi="Times New Roman" w:cs="Times New Roman"/>
          <w:lang w:val="en-US"/>
        </w:rPr>
        <w:sym w:font="Symbol" w:char="F0D2"/>
      </w:r>
      <w:r w:rsidRPr="00996128">
        <w:rPr>
          <w:rFonts w:ascii="Times New Roman" w:hAnsi="Times New Roman" w:cs="Times New Roman"/>
          <w:lang w:val="en-US"/>
        </w:rPr>
        <w:t xml:space="preserve"> freezing container in DMSO freezing medium (</w:t>
      </w:r>
      <w:proofErr w:type="spellStart"/>
      <w:r w:rsidRPr="00996128">
        <w:rPr>
          <w:rFonts w:ascii="Times New Roman" w:hAnsi="Times New Roman" w:cs="Times New Roman"/>
          <w:lang w:val="en-US"/>
        </w:rPr>
        <w:t>Cryostor</w:t>
      </w:r>
      <w:proofErr w:type="spellEnd"/>
      <w:r w:rsidRPr="00996128">
        <w:rPr>
          <w:rFonts w:ascii="Times New Roman" w:hAnsi="Times New Roman" w:cs="Times New Roman"/>
          <w:lang w:val="en-US"/>
        </w:rPr>
        <w:t xml:space="preserve">, </w:t>
      </w:r>
      <w:proofErr w:type="spellStart"/>
      <w:r w:rsidRPr="00996128">
        <w:rPr>
          <w:rFonts w:ascii="Times New Roman" w:hAnsi="Times New Roman" w:cs="Times New Roman"/>
          <w:lang w:val="en-US"/>
        </w:rPr>
        <w:t>BioLife</w:t>
      </w:r>
      <w:proofErr w:type="spellEnd"/>
      <w:r w:rsidRPr="00996128">
        <w:rPr>
          <w:rFonts w:ascii="Times New Roman" w:hAnsi="Times New Roman" w:cs="Times New Roman"/>
          <w:lang w:val="en-US"/>
        </w:rPr>
        <w:t xml:space="preserve"> Solutions) at -80</w:t>
      </w:r>
      <w:r w:rsidRPr="00996128">
        <w:rPr>
          <w:rFonts w:ascii="Times New Roman" w:hAnsi="Times New Roman" w:cs="Times New Roman"/>
          <w:lang w:val="en-US"/>
        </w:rPr>
        <w:sym w:font="Symbol" w:char="F0B0"/>
      </w:r>
      <w:r w:rsidRPr="00996128">
        <w:rPr>
          <w:rFonts w:ascii="Times New Roman" w:hAnsi="Times New Roman" w:cs="Times New Roman"/>
          <w:lang w:val="en-US"/>
        </w:rPr>
        <w:t xml:space="preserve">C for 24 hours and then transferred to liquid nitrogen. After 4 days the </w:t>
      </w:r>
      <w:r w:rsidRPr="00996128">
        <w:rPr>
          <w:rFonts w:ascii="Times New Roman" w:hAnsi="Times New Roman" w:cs="Times New Roman"/>
        </w:rPr>
        <w:t>α</w:t>
      </w:r>
      <w:r w:rsidRPr="00996128">
        <w:rPr>
          <w:rFonts w:ascii="Times New Roman" w:hAnsi="Times New Roman" w:cs="Times New Roman"/>
          <w:lang w:val="en-US"/>
        </w:rPr>
        <w:t>10-MSCs were thawed in a 37</w:t>
      </w:r>
      <w:r w:rsidRPr="00996128">
        <w:rPr>
          <w:rFonts w:ascii="Times New Roman" w:hAnsi="Times New Roman" w:cs="Times New Roman"/>
          <w:lang w:val="en-US"/>
        </w:rPr>
        <w:sym w:font="Symbol" w:char="F0B0"/>
      </w:r>
      <w:r w:rsidRPr="00996128">
        <w:rPr>
          <w:rFonts w:ascii="Times New Roman" w:hAnsi="Times New Roman" w:cs="Times New Roman"/>
          <w:lang w:val="en-US"/>
        </w:rPr>
        <w:t xml:space="preserve">C water bath and viability and proliferation was evaluated. Viability was assessed by 7-AAD staining and flow cytometry analysis as descried above. MIRB retention was assessed by Rhodamine B signal intensity by flow cytometry. Attachment and proliferation ability after the cryo-storage was assessed by seeding the </w:t>
      </w:r>
      <w:r w:rsidRPr="00996128">
        <w:rPr>
          <w:rFonts w:ascii="Times New Roman" w:hAnsi="Times New Roman" w:cs="Times New Roman"/>
        </w:rPr>
        <w:t>α</w:t>
      </w:r>
      <w:r w:rsidRPr="00996128">
        <w:rPr>
          <w:rFonts w:ascii="Times New Roman" w:hAnsi="Times New Roman" w:cs="Times New Roman"/>
          <w:lang w:val="en-US"/>
        </w:rPr>
        <w:t>10-MSCs at 3000 cells/cm</w:t>
      </w:r>
      <w:r w:rsidRPr="00996128">
        <w:rPr>
          <w:rFonts w:ascii="Times New Roman" w:hAnsi="Times New Roman" w:cs="Times New Roman"/>
          <w:vertAlign w:val="superscript"/>
          <w:lang w:val="en-US"/>
        </w:rPr>
        <w:t>2</w:t>
      </w:r>
      <w:r w:rsidRPr="00996128">
        <w:rPr>
          <w:rFonts w:ascii="Times New Roman" w:hAnsi="Times New Roman" w:cs="Times New Roman"/>
          <w:lang w:val="en-US"/>
        </w:rPr>
        <w:t xml:space="preserve"> in T75 cell culture flasks and culturing the cells for three days.</w:t>
      </w:r>
    </w:p>
    <w:p w14:paraId="52D04AA2" w14:textId="77777777" w:rsidR="0045696D" w:rsidRPr="00996128" w:rsidRDefault="0045696D" w:rsidP="00795549">
      <w:pPr>
        <w:spacing w:line="360" w:lineRule="auto"/>
        <w:rPr>
          <w:rFonts w:ascii="Times New Roman" w:hAnsi="Times New Roman" w:cs="Times New Roman"/>
          <w:lang w:val="en-US"/>
        </w:rPr>
      </w:pPr>
    </w:p>
    <w:p w14:paraId="1BCBFA4D" w14:textId="5AA7EB8C"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b/>
          <w:bCs/>
          <w:lang w:val="en-US"/>
        </w:rPr>
        <w:t xml:space="preserve">Characterization of MIRB </w:t>
      </w:r>
      <w:r w:rsidR="00840713">
        <w:rPr>
          <w:rFonts w:ascii="Times New Roman" w:hAnsi="Times New Roman" w:cs="Times New Roman"/>
          <w:b/>
          <w:bCs/>
          <w:lang w:val="en-US"/>
        </w:rPr>
        <w:t>labeled</w:t>
      </w:r>
      <w:r w:rsidRPr="00996128">
        <w:rPr>
          <w:rFonts w:ascii="Times New Roman" w:hAnsi="Times New Roman" w:cs="Times New Roman"/>
          <w:b/>
          <w:bCs/>
          <w:lang w:val="en-US"/>
        </w:rPr>
        <w:t xml:space="preserve"> integrin </w:t>
      </w:r>
      <w:r w:rsidRPr="00996128">
        <w:rPr>
          <w:rFonts w:ascii="Times New Roman" w:hAnsi="Times New Roman" w:cs="Times New Roman"/>
          <w:b/>
          <w:bCs/>
        </w:rPr>
        <w:t>α</w:t>
      </w:r>
      <w:r w:rsidRPr="00996128">
        <w:rPr>
          <w:rFonts w:ascii="Times New Roman" w:hAnsi="Times New Roman" w:cs="Times New Roman"/>
          <w:b/>
          <w:bCs/>
          <w:lang w:val="en-US"/>
        </w:rPr>
        <w:t>10-selected MSCs</w:t>
      </w:r>
    </w:p>
    <w:p w14:paraId="7B4E2074" w14:textId="77777777" w:rsidR="0045696D" w:rsidRPr="00996128" w:rsidRDefault="0045696D" w:rsidP="00795549">
      <w:pPr>
        <w:spacing w:line="360" w:lineRule="auto"/>
        <w:rPr>
          <w:rFonts w:ascii="Times New Roman" w:hAnsi="Times New Roman" w:cs="Times New Roman"/>
          <w:bCs/>
          <w:i/>
          <w:iCs/>
          <w:lang w:val="en-US"/>
        </w:rPr>
      </w:pPr>
      <w:r w:rsidRPr="00996128">
        <w:rPr>
          <w:rFonts w:ascii="Times New Roman" w:hAnsi="Times New Roman" w:cs="Times New Roman"/>
          <w:bCs/>
          <w:i/>
          <w:iCs/>
          <w:lang w:val="en-US"/>
        </w:rPr>
        <w:t>Phenotyping</w:t>
      </w:r>
    </w:p>
    <w:p w14:paraId="7F400317" w14:textId="001AB200" w:rsidR="0045696D" w:rsidRPr="00996128" w:rsidRDefault="0045696D" w:rsidP="00795549">
      <w:pPr>
        <w:spacing w:line="360" w:lineRule="auto"/>
        <w:rPr>
          <w:rFonts w:ascii="Times New Roman" w:hAnsi="Times New Roman" w:cs="Times New Roman"/>
          <w:lang w:val="en-GB"/>
        </w:rPr>
      </w:pPr>
      <w:r w:rsidRPr="00996128">
        <w:rPr>
          <w:rFonts w:ascii="Times New Roman" w:hAnsi="Times New Roman" w:cs="Times New Roman"/>
          <w:lang w:val="en-US"/>
        </w:rPr>
        <w:t>Expression of the stem cell markers CD73, CD90</w:t>
      </w:r>
      <w:r w:rsidR="00E664C7">
        <w:rPr>
          <w:rFonts w:ascii="Times New Roman" w:hAnsi="Times New Roman" w:cs="Times New Roman"/>
          <w:lang w:val="en-US"/>
        </w:rPr>
        <w:t xml:space="preserve"> </w:t>
      </w:r>
      <w:r w:rsidRPr="00996128">
        <w:rPr>
          <w:rFonts w:ascii="Times New Roman" w:hAnsi="Times New Roman" w:cs="Times New Roman"/>
          <w:lang w:val="en-US"/>
        </w:rPr>
        <w:t>and CD105</w:t>
      </w:r>
      <w:r w:rsidR="00E02D61" w:rsidRPr="007F33E3">
        <w:rPr>
          <w:sz w:val="22"/>
          <w:lang w:val="en-US"/>
        </w:rPr>
        <w:fldChar w:fldCharType="begin" w:fldLock="1"/>
      </w:r>
      <w:r w:rsidR="00795549">
        <w:rPr>
          <w:sz w:val="22"/>
          <w:lang w:val="en-US"/>
        </w:rPr>
        <w:instrText>ADDIN CSL_CITATION {"citationItems":[{"id":"ITEM-1","itemData":{"DOI":"10.1080/14653240500319234","ISSN":"14653249","PMID":"16236628","abstract":"The plastic-adherent cells isolated from BM and other sources have come to be widely known as mesenchymal stem cells (MSC). However the recognized biologic properties of the unfractionated population of cells do not seem to meet generally accepted criteria for stem cell activity, rendering the name scientifically inaccurate and potentially misleading to the lay public. Nonetheless, a bona fide MSC most certainly exists. To address this inconsistency between nomenclature and biologic properties, and to clarify the terminology, we suggest that the fibroblast-like plastic-adherent cells, regardless of the tissue from which they are isolated, be termed multipotent mesenchymal stromal cells, while the term mesenchymal stem cells is used only for cells that meet specified stem cell criteria. The widely recognized acronym, MSC, may be used for both cell populations as is the current practice; thus, investigators must clearly define the more scientifically correct designation in their reports. The International Society for Cellular Therapy (ISCT) encourages the scientific community to adopt this uniform nomenclature in all written and oral communications. © 2005 ISCT.","author":[{"dropping-particle":"","family":"Horwitz","given":"Edwin M.","non-dropping-particle":"","parse-names":false,"suffix":""},{"dropping-particle":"","family":"Blanc","given":"K.","non-dropping-particle":"Le","parse-names":false,"suffix":""},{"dropping-particle":"","family":"Dominici","given":"M.","non-dropping-particle":"","parse-names":false,"suffix":""},{"dropping-particle":"","family":"Mueller","given":"I.","non-dropping-particle":"","parse-names":false,"suffix":""},{"dropping-particle":"","family":"Slaper-Cortenbach","given":"I.","non-dropping-particle":"","parse-names":false,"suffix":""},{"dropping-particle":"","family":"Marini","given":"F. C.","non-dropping-particle":"","parse-names":false,"suffix":""},{"dropping-particle":"","family":"Deans","given":"R. J.","non-dropping-particle":"","parse-names":false,"suffix":""},{"dropping-particle":"","family":"Krause","given":"D. S.","non-dropping-particle":"","parse-names":false,"suffix":""},{"dropping-particle":"","family":"Keating","given":"A.","non-dropping-particle":"","parse-names":false,"suffix":""}],"container-title":"Cytotherapy","id":"ITEM-1","issue":"5","issued":{"date-parts":[["2005"]]},"page":"393-395","title":"Clarification of the nomenclature for MSC: The International Society for Cellular Therapy position statement","type":"article-journal","volume":"7"},"uris":["http://www.mendeley.com/documents/?uuid=2d56d21c-01fa-49d3-8965-5a1a20075046"]},{"id":"ITEM-2","itemData":{"DOI":"10.1080/14653240600855905","ISSN":"14653249","PMID":"16923606","abstract":"The considerable therapeutic potential of human multipotent mesenchymal stromal cells (MSC) has generated markedly increasing interest in a wide variety of biomedical disciplines. However, investigators report studies of MSC using different methods of isolation and expansion, and different approaches to characterizing the cells. Thus it is increasingly difficult to compare and contrast study outcomes, which hinders progress in the field. To begin to address this issue, the Mesenchymal and Tissue Stem Cell Committee of the International Society for Cellular Therapy proposes minimal criteria to define human MSC. First, MSC must be plastic-adherent when maintained in standard culture conditions. Second, MSC must express CD105, CD73 and CD90, and lack expression of CD45, CD34, CD14 or CD11b, CD79α or CD19 and HLA-DR surface molecules. Third, MSC must differentiate to osteoblasts, adipocytes and chondroblasts in vitro. While these criteria will probably require modification as new knowledge unfolds, we believe this minimal set of standard criteria will foster a more uniform characterization of MSC and facilitate the exchange of data among investigators.","author":[{"dropping-particle":"","family":"Dominici","given":"M.","non-dropping-particle":"","parse-names":false,"suffix":""},{"dropping-particle":"","family":"Blanc","given":"K.","non-dropping-particle":"Le","parse-names":false,"suffix":""},{"dropping-particle":"","family":"Mueller","given":"I.","non-dropping-particle":"","parse-names":false,"suffix":""},{"dropping-particle":"","family":"Slaper-Cortenbach","given":"I.","non-dropping-particle":"","parse-names":false,"suffix":""},{"dropping-particle":"","family":"Marini","given":"F. C.","non-dropping-particle":"","parse-names":false,"suffix":""},{"dropping-particle":"","family":"Krause","given":"D. S.","non-dropping-particle":"","parse-names":false,"suffix":""},{"dropping-particle":"","family":"Deans","given":"R. J.","non-dropping-particle":"","parse-names":false,"suffix":""},{"dropping-particle":"","family":"Keating","given":"A.","non-dropping-particle":"","parse-names":false,"suffix":""},{"dropping-particle":"","family":"Prockop","given":"D. J.","non-dropping-particle":"","parse-names":false,"suffix":""},{"dropping-particle":"","family":"Horwitz","given":"E. M.","non-dropping-particle":"","parse-names":false,"suffix":""}],"container-title":"Cytotherapy","id":"ITEM-2","issue":"4","issued":{"date-parts":[["2006"]]},"page":"315-317","title":"Minimal criteria for defining multipotent mesenchymal stromal cells. The International Society for Cellular Therapy position statement","type":"article-journal","volume":"8"},"uris":["http://www.mendeley.com/documents/?uuid=3ad2b48f-c5b2-456a-8c21-6cc5ea70a296"]}],"mendeley":{"formattedCitation":"(10,11)","plainTextFormattedCitation":"(10,11)","previouslyFormattedCitation":"(10,11)"},"properties":{"noteIndex":0},"schema":"https://github.com/citation-style-language/schema/raw/master/csl-citation.json"}</w:instrText>
      </w:r>
      <w:r w:rsidR="00E02D61" w:rsidRPr="007F33E3">
        <w:rPr>
          <w:sz w:val="22"/>
          <w:lang w:val="en-US"/>
        </w:rPr>
        <w:fldChar w:fldCharType="separate"/>
      </w:r>
      <w:r w:rsidR="00E02D61" w:rsidRPr="00E02D61">
        <w:rPr>
          <w:noProof/>
          <w:sz w:val="22"/>
          <w:lang w:val="en-US"/>
        </w:rPr>
        <w:t>(10,11)</w:t>
      </w:r>
      <w:r w:rsidR="00E02D61" w:rsidRPr="007F33E3">
        <w:rPr>
          <w:sz w:val="22"/>
          <w:lang w:val="en-US"/>
        </w:rPr>
        <w:fldChar w:fldCharType="end"/>
      </w:r>
      <w:r w:rsidR="00E664C7">
        <w:rPr>
          <w:rFonts w:ascii="Times New Roman" w:hAnsi="Times New Roman" w:cs="Times New Roman"/>
          <w:lang w:val="en-US"/>
        </w:rPr>
        <w:t xml:space="preserve"> </w:t>
      </w:r>
      <w:r w:rsidRPr="00996128">
        <w:rPr>
          <w:rFonts w:ascii="Times New Roman" w:hAnsi="Times New Roman" w:cs="Times New Roman"/>
          <w:lang w:val="en-US"/>
        </w:rPr>
        <w:t>(</w:t>
      </w:r>
      <w:r w:rsidR="00840713" w:rsidRPr="00996128">
        <w:rPr>
          <w:rFonts w:ascii="Times New Roman" w:hAnsi="Times New Roman" w:cs="Times New Roman"/>
          <w:lang w:val="en-US"/>
        </w:rPr>
        <w:t>CD73</w:t>
      </w:r>
      <w:r w:rsidR="00840713">
        <w:rPr>
          <w:rFonts w:ascii="Times New Roman" w:hAnsi="Times New Roman" w:cs="Times New Roman"/>
          <w:lang w:val="en-US"/>
        </w:rPr>
        <w:t>-</w:t>
      </w:r>
      <w:r w:rsidR="00840713" w:rsidRPr="00996128">
        <w:rPr>
          <w:rFonts w:ascii="Times New Roman" w:hAnsi="Times New Roman" w:cs="Times New Roman"/>
          <w:lang w:val="en-US"/>
        </w:rPr>
        <w:t>PB450, CD90</w:t>
      </w:r>
      <w:r w:rsidR="00840713">
        <w:rPr>
          <w:rFonts w:ascii="Times New Roman" w:hAnsi="Times New Roman" w:cs="Times New Roman"/>
          <w:lang w:val="en-US"/>
        </w:rPr>
        <w:t>-</w:t>
      </w:r>
      <w:r w:rsidR="00840713" w:rsidRPr="00996128">
        <w:rPr>
          <w:rFonts w:ascii="Times New Roman" w:hAnsi="Times New Roman" w:cs="Times New Roman"/>
          <w:lang w:val="en-US"/>
        </w:rPr>
        <w:t>APC and CD105</w:t>
      </w:r>
      <w:r w:rsidR="00840713">
        <w:rPr>
          <w:rFonts w:ascii="Times New Roman" w:hAnsi="Times New Roman" w:cs="Times New Roman"/>
          <w:lang w:val="en-US"/>
        </w:rPr>
        <w:t>-</w:t>
      </w:r>
      <w:r w:rsidR="00840713" w:rsidRPr="00996128">
        <w:rPr>
          <w:rFonts w:ascii="Times New Roman" w:hAnsi="Times New Roman" w:cs="Times New Roman"/>
          <w:lang w:val="en-US"/>
        </w:rPr>
        <w:t>PB450</w:t>
      </w:r>
      <w:r w:rsidR="00840713">
        <w:rPr>
          <w:rFonts w:ascii="Times New Roman" w:hAnsi="Times New Roman" w:cs="Times New Roman"/>
          <w:lang w:val="en-US"/>
        </w:rPr>
        <w:t xml:space="preserve">, </w:t>
      </w:r>
      <w:proofErr w:type="spellStart"/>
      <w:r w:rsidRPr="00996128">
        <w:rPr>
          <w:rFonts w:ascii="Times New Roman" w:hAnsi="Times New Roman" w:cs="Times New Roman"/>
          <w:lang w:val="en-US"/>
        </w:rPr>
        <w:t>BioLegend</w:t>
      </w:r>
      <w:proofErr w:type="spellEnd"/>
      <w:r w:rsidRPr="00996128">
        <w:rPr>
          <w:rFonts w:ascii="Times New Roman" w:hAnsi="Times New Roman" w:cs="Times New Roman"/>
          <w:lang w:val="en-US"/>
        </w:rPr>
        <w:t xml:space="preserve">), as well as expression of integrin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00E664C7">
        <w:rPr>
          <w:rFonts w:ascii="Times New Roman" w:hAnsi="Times New Roman" w:cs="Times New Roman"/>
          <w:lang w:val="en-GB"/>
        </w:rPr>
        <w:t xml:space="preserve"> (</w:t>
      </w:r>
      <w:r w:rsidRPr="00996128">
        <w:rPr>
          <w:rFonts w:ascii="Times New Roman" w:hAnsi="Times New Roman" w:cs="Times New Roman"/>
          <w:lang w:val="en-GB"/>
        </w:rPr>
        <w:t>Alexa647</w:t>
      </w:r>
      <w:r w:rsidR="00E664C7">
        <w:rPr>
          <w:rFonts w:ascii="Times New Roman" w:hAnsi="Times New Roman" w:cs="Times New Roman"/>
          <w:lang w:val="en-GB"/>
        </w:rPr>
        <w:t>,</w:t>
      </w:r>
      <w:r w:rsidRPr="00996128">
        <w:rPr>
          <w:rFonts w:ascii="Times New Roman" w:hAnsi="Times New Roman" w:cs="Times New Roman"/>
          <w:lang w:val="en-GB"/>
        </w:rPr>
        <w:t xml:space="preserve"> </w:t>
      </w:r>
      <w:proofErr w:type="spellStart"/>
      <w:r w:rsidRPr="00996128">
        <w:rPr>
          <w:rFonts w:ascii="Times New Roman" w:hAnsi="Times New Roman" w:cs="Times New Roman"/>
          <w:lang w:val="en-GB"/>
        </w:rPr>
        <w:t>Xintela</w:t>
      </w:r>
      <w:proofErr w:type="spellEnd"/>
      <w:r w:rsidRPr="00996128">
        <w:rPr>
          <w:rFonts w:ascii="Times New Roman" w:hAnsi="Times New Roman" w:cs="Times New Roman"/>
          <w:lang w:val="en-GB"/>
        </w:rPr>
        <w:t>) were analysed by flow cytometry. Results are presented as frequency of positive cells.</w:t>
      </w:r>
    </w:p>
    <w:p w14:paraId="55C37A6C" w14:textId="77777777" w:rsidR="0045696D" w:rsidRPr="00996128" w:rsidRDefault="0045696D" w:rsidP="00795549">
      <w:pPr>
        <w:spacing w:line="360" w:lineRule="auto"/>
        <w:rPr>
          <w:rFonts w:ascii="Times New Roman" w:hAnsi="Times New Roman" w:cs="Times New Roman"/>
          <w:lang w:val="en-GB"/>
        </w:rPr>
      </w:pPr>
    </w:p>
    <w:p w14:paraId="473C5ED2" w14:textId="7B78FB12" w:rsidR="0045696D" w:rsidRPr="00996128" w:rsidRDefault="0045696D" w:rsidP="00795549">
      <w:pPr>
        <w:pStyle w:val="Default"/>
        <w:spacing w:line="360" w:lineRule="auto"/>
        <w:rPr>
          <w:lang w:val="en-US"/>
        </w:rPr>
      </w:pPr>
      <w:r w:rsidRPr="00996128">
        <w:rPr>
          <w:i/>
          <w:iCs/>
          <w:lang w:val="en-US"/>
        </w:rPr>
        <w:t xml:space="preserve">Trilineage differentiation capacity of MIRB </w:t>
      </w:r>
      <w:r w:rsidR="00840713">
        <w:rPr>
          <w:i/>
          <w:iCs/>
          <w:lang w:val="en-US"/>
        </w:rPr>
        <w:t>labeled</w:t>
      </w:r>
      <w:r w:rsidRPr="00996128">
        <w:rPr>
          <w:i/>
          <w:iCs/>
          <w:lang w:val="en-US"/>
        </w:rPr>
        <w:t xml:space="preserve"> </w:t>
      </w:r>
      <w:r w:rsidRPr="00996128">
        <w:rPr>
          <w:i/>
          <w:iCs/>
          <w:lang w:val="en-GB"/>
        </w:rPr>
        <w:sym w:font="Symbol" w:char="F061"/>
      </w:r>
      <w:r w:rsidRPr="00996128">
        <w:rPr>
          <w:i/>
          <w:iCs/>
          <w:lang w:val="en-US"/>
        </w:rPr>
        <w:t xml:space="preserve">10-MSC </w:t>
      </w:r>
    </w:p>
    <w:p w14:paraId="720E731B" w14:textId="188438AC"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lang w:val="en-US"/>
        </w:rPr>
        <w:t>Trilineage differentiation capacity of the MIRB-</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rPr>
        <w:t>α</w:t>
      </w:r>
      <w:r w:rsidRPr="00996128">
        <w:rPr>
          <w:rFonts w:ascii="Times New Roman" w:hAnsi="Times New Roman" w:cs="Times New Roman"/>
          <w:lang w:val="en-US"/>
        </w:rPr>
        <w:t xml:space="preserve">10-MSCs was demonstrated as detailed below using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 xml:space="preserve">MSCs </w:t>
      </w:r>
      <w:r w:rsidR="00840713">
        <w:rPr>
          <w:rFonts w:ascii="Times New Roman" w:hAnsi="Times New Roman" w:cs="Times New Roman"/>
          <w:lang w:val="en-US"/>
        </w:rPr>
        <w:t>labeled</w:t>
      </w:r>
      <w:r w:rsidRPr="00996128">
        <w:rPr>
          <w:rFonts w:ascii="Times New Roman" w:hAnsi="Times New Roman" w:cs="Times New Roman"/>
          <w:lang w:val="en-US"/>
        </w:rPr>
        <w:t xml:space="preserve"> for 6 hours with a MIRB concentration of 25 </w:t>
      </w:r>
      <w:r w:rsidRPr="00996128">
        <w:rPr>
          <w:rFonts w:ascii="Times New Roman" w:hAnsi="Times New Roman" w:cs="Times New Roman"/>
        </w:rPr>
        <w:sym w:font="Symbol" w:char="F06D"/>
      </w:r>
      <w:r w:rsidRPr="00996128">
        <w:rPr>
          <w:rFonts w:ascii="Times New Roman" w:hAnsi="Times New Roman" w:cs="Times New Roman"/>
          <w:lang w:val="en-US"/>
        </w:rPr>
        <w:t>g/ml. Un</w:t>
      </w:r>
      <w:r w:rsidR="00840713">
        <w:rPr>
          <w:rFonts w:ascii="Times New Roman" w:hAnsi="Times New Roman" w:cs="Times New Roman"/>
          <w:lang w:val="en-US"/>
        </w:rPr>
        <w:t>labeled</w:t>
      </w:r>
      <w:r w:rsidRPr="00996128">
        <w:rPr>
          <w:rFonts w:ascii="Times New Roman" w:hAnsi="Times New Roman" w:cs="Times New Roman"/>
          <w:lang w:val="en-US"/>
        </w:rPr>
        <w:t xml:space="preserve"> </w:t>
      </w:r>
      <w:r w:rsidRPr="00996128">
        <w:rPr>
          <w:rFonts w:ascii="Times New Roman" w:hAnsi="Times New Roman" w:cs="Times New Roman"/>
        </w:rPr>
        <w:t>α</w:t>
      </w:r>
      <w:r w:rsidRPr="00996128">
        <w:rPr>
          <w:rFonts w:ascii="Times New Roman" w:hAnsi="Times New Roman" w:cs="Times New Roman"/>
          <w:lang w:val="en-US"/>
        </w:rPr>
        <w:t>10-MSCs were used as control.</w:t>
      </w:r>
    </w:p>
    <w:p w14:paraId="2F62C454" w14:textId="77777777" w:rsidR="0045696D" w:rsidRPr="00996128" w:rsidRDefault="0045696D" w:rsidP="00795549">
      <w:pPr>
        <w:spacing w:line="360" w:lineRule="auto"/>
        <w:rPr>
          <w:rFonts w:ascii="Times New Roman" w:hAnsi="Times New Roman" w:cs="Times New Roman"/>
          <w:lang w:val="en-US"/>
        </w:rPr>
      </w:pPr>
    </w:p>
    <w:p w14:paraId="7B12852E" w14:textId="77777777" w:rsidR="0045696D" w:rsidRPr="00996128" w:rsidRDefault="0045696D" w:rsidP="00795549">
      <w:pPr>
        <w:spacing w:line="360" w:lineRule="auto"/>
        <w:rPr>
          <w:rFonts w:ascii="Times New Roman" w:hAnsi="Times New Roman" w:cs="Times New Roman"/>
          <w:i/>
          <w:iCs/>
          <w:lang w:val="en-US"/>
        </w:rPr>
      </w:pPr>
      <w:r w:rsidRPr="00996128">
        <w:rPr>
          <w:rFonts w:ascii="Times New Roman" w:hAnsi="Times New Roman" w:cs="Times New Roman"/>
          <w:i/>
          <w:iCs/>
          <w:lang w:val="en-US"/>
        </w:rPr>
        <w:t>Chondrogenic differentiation</w:t>
      </w:r>
    </w:p>
    <w:p w14:paraId="108C3E89" w14:textId="532CDD55"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rPr>
        <w:t>α</w:t>
      </w:r>
      <w:r w:rsidRPr="00996128">
        <w:rPr>
          <w:rFonts w:ascii="Times New Roman" w:hAnsi="Times New Roman" w:cs="Times New Roman"/>
          <w:lang w:val="en-US"/>
        </w:rPr>
        <w:t>10-MSCs were seeded into a 6-well plate (4000 cells/cm</w:t>
      </w:r>
      <w:r w:rsidRPr="00996128">
        <w:rPr>
          <w:rFonts w:ascii="Times New Roman" w:hAnsi="Times New Roman" w:cs="Times New Roman"/>
          <w:vertAlign w:val="superscript"/>
          <w:lang w:val="en-US"/>
        </w:rPr>
        <w:t>2</w:t>
      </w:r>
      <w:r w:rsidRPr="00996128">
        <w:rPr>
          <w:rFonts w:ascii="Times New Roman" w:hAnsi="Times New Roman" w:cs="Times New Roman"/>
          <w:lang w:val="en-US"/>
        </w:rPr>
        <w:t xml:space="preserve">) and cultured in MSC expansion medium until the next day when the medium was changed either to complete chondrogenic </w:t>
      </w:r>
      <w:r w:rsidRPr="00996128">
        <w:rPr>
          <w:rFonts w:ascii="Times New Roman" w:hAnsi="Times New Roman" w:cs="Times New Roman"/>
          <w:lang w:val="en-US"/>
        </w:rPr>
        <w:lastRenderedPageBreak/>
        <w:t xml:space="preserve">differentiation medium or incomplete chondrogenic </w:t>
      </w:r>
      <w:proofErr w:type="gramStart"/>
      <w:r w:rsidRPr="00996128">
        <w:rPr>
          <w:rFonts w:ascii="Times New Roman" w:hAnsi="Times New Roman" w:cs="Times New Roman"/>
          <w:lang w:val="en-US"/>
        </w:rPr>
        <w:t>basal medium</w:t>
      </w:r>
      <w:proofErr w:type="gramEnd"/>
      <w:r w:rsidRPr="00996128">
        <w:rPr>
          <w:rFonts w:ascii="Times New Roman" w:hAnsi="Times New Roman" w:cs="Times New Roman"/>
          <w:lang w:val="en-US"/>
        </w:rPr>
        <w:t xml:space="preserve"> in the monolayer cultures. Incubated at 37°C, 5% CO</w:t>
      </w:r>
      <w:r w:rsidRPr="00996128">
        <w:rPr>
          <w:rFonts w:ascii="Times New Roman" w:hAnsi="Times New Roman" w:cs="Times New Roman"/>
          <w:vertAlign w:val="subscript"/>
          <w:lang w:val="en-US"/>
        </w:rPr>
        <w:t>2</w:t>
      </w:r>
      <w:r w:rsidRPr="00996128">
        <w:rPr>
          <w:rFonts w:ascii="Times New Roman" w:hAnsi="Times New Roman" w:cs="Times New Roman"/>
          <w:lang w:val="en-US"/>
        </w:rPr>
        <w:t xml:space="preserve"> and 4% O</w:t>
      </w:r>
      <w:r w:rsidRPr="00996128">
        <w:rPr>
          <w:rFonts w:ascii="Times New Roman" w:hAnsi="Times New Roman" w:cs="Times New Roman"/>
          <w:vertAlign w:val="subscript"/>
          <w:lang w:val="en-US"/>
        </w:rPr>
        <w:t>2</w:t>
      </w:r>
      <w:r w:rsidRPr="00996128">
        <w:rPr>
          <w:rFonts w:ascii="Times New Roman" w:hAnsi="Times New Roman" w:cs="Times New Roman"/>
          <w:lang w:val="en-US"/>
        </w:rPr>
        <w:t xml:space="preserve">. The chondrogenic basal medium, incomplete medium, consisted of high glucose DMEM (Gibco) supplemented with 1x Insulin-Transferrin-Selenium (Sigma-Aldrich), 1 mM sodium pyruvate (Gibco), 40 </w:t>
      </w:r>
      <w:r w:rsidRPr="00996128">
        <w:rPr>
          <w:rFonts w:ascii="Times New Roman" w:hAnsi="Times New Roman" w:cs="Times New Roman"/>
        </w:rPr>
        <w:t>μ</w:t>
      </w:r>
      <w:r w:rsidRPr="00996128">
        <w:rPr>
          <w:rFonts w:ascii="Times New Roman" w:hAnsi="Times New Roman" w:cs="Times New Roman"/>
          <w:lang w:val="en-US"/>
        </w:rPr>
        <w:t xml:space="preserve">g/ml L-proline (Sigma-Aldrich) and 100 </w:t>
      </w:r>
      <w:proofErr w:type="spellStart"/>
      <w:r w:rsidRPr="00996128">
        <w:rPr>
          <w:rFonts w:ascii="Times New Roman" w:hAnsi="Times New Roman" w:cs="Times New Roman"/>
          <w:lang w:val="en-US"/>
        </w:rPr>
        <w:t>nM</w:t>
      </w:r>
      <w:proofErr w:type="spellEnd"/>
      <w:r w:rsidRPr="00996128">
        <w:rPr>
          <w:rFonts w:ascii="Times New Roman" w:hAnsi="Times New Roman" w:cs="Times New Roman"/>
          <w:lang w:val="en-US"/>
        </w:rPr>
        <w:t xml:space="preserve"> dexamethasone (Sigma-Aldrich). For induction of chondrogenic differentiation 20 ng/ml transforming growth factor </w:t>
      </w:r>
      <w:r w:rsidRPr="00996128">
        <w:rPr>
          <w:rFonts w:ascii="Times New Roman" w:hAnsi="Times New Roman" w:cs="Times New Roman"/>
        </w:rPr>
        <w:t>β</w:t>
      </w:r>
      <w:r w:rsidRPr="00996128">
        <w:rPr>
          <w:rFonts w:ascii="Times New Roman" w:hAnsi="Times New Roman" w:cs="Times New Roman"/>
          <w:lang w:val="en-US"/>
        </w:rPr>
        <w:t>3 (TGF</w:t>
      </w:r>
      <w:r w:rsidRPr="00996128">
        <w:rPr>
          <w:rFonts w:ascii="Times New Roman" w:hAnsi="Times New Roman" w:cs="Times New Roman"/>
        </w:rPr>
        <w:t>β</w:t>
      </w:r>
      <w:r w:rsidRPr="00996128">
        <w:rPr>
          <w:rFonts w:ascii="Times New Roman" w:hAnsi="Times New Roman" w:cs="Times New Roman"/>
          <w:lang w:val="en-US"/>
        </w:rPr>
        <w:t xml:space="preserve">3) (Sigma-Aldrich), 20 ng/ml bone morphogenic protein 6 (BMP-6) (Sigma-Aldrich) and 50 ug/ml L-ascorbic acid 2-phosphate (Sigma-Aldrich) were added to the basal chondrogenic medium, referred to as complete medium. Medium was changed every second day during the 10-day differentiation. Cells were harvested using cell scraper and RNA prepared according to RNeasy kit (QIAGEN) protocol. RNA was reverse-transcribed into cDNA using </w:t>
      </w:r>
      <w:proofErr w:type="spellStart"/>
      <w:r w:rsidRPr="00996128">
        <w:rPr>
          <w:rFonts w:ascii="Times New Roman" w:hAnsi="Times New Roman" w:cs="Times New Roman"/>
          <w:lang w:val="en-US"/>
        </w:rPr>
        <w:t>SuperScript</w:t>
      </w:r>
      <w:proofErr w:type="spellEnd"/>
      <w:r w:rsidRPr="00996128">
        <w:rPr>
          <w:rFonts w:ascii="Times New Roman" w:hAnsi="Times New Roman" w:cs="Times New Roman"/>
          <w:lang w:val="en-US"/>
        </w:rPr>
        <w:t xml:space="preserve"> VILO kit (Invitrogen) and real-time quantitative PCR of the chondrocyte-specific genes </w:t>
      </w:r>
      <w:r w:rsidRPr="00996128">
        <w:rPr>
          <w:rFonts w:ascii="Times New Roman" w:hAnsi="Times New Roman" w:cs="Times New Roman"/>
          <w:i/>
          <w:iCs/>
          <w:lang w:val="en-US"/>
        </w:rPr>
        <w:t>ACAN</w:t>
      </w:r>
      <w:r w:rsidRPr="00996128">
        <w:rPr>
          <w:rFonts w:ascii="Times New Roman" w:hAnsi="Times New Roman" w:cs="Times New Roman"/>
          <w:lang w:val="en-US"/>
        </w:rPr>
        <w:t xml:space="preserve">, </w:t>
      </w:r>
      <w:r w:rsidRPr="00996128">
        <w:rPr>
          <w:rFonts w:ascii="Times New Roman" w:hAnsi="Times New Roman" w:cs="Times New Roman"/>
          <w:i/>
          <w:iCs/>
          <w:lang w:val="en-US"/>
        </w:rPr>
        <w:t>COL2A1</w:t>
      </w:r>
      <w:r w:rsidRPr="00996128">
        <w:rPr>
          <w:rFonts w:ascii="Times New Roman" w:hAnsi="Times New Roman" w:cs="Times New Roman"/>
          <w:lang w:val="en-US"/>
        </w:rPr>
        <w:t xml:space="preserve">, </w:t>
      </w:r>
      <w:r w:rsidRPr="00996128">
        <w:rPr>
          <w:rFonts w:ascii="Times New Roman" w:hAnsi="Times New Roman" w:cs="Times New Roman"/>
          <w:i/>
          <w:iCs/>
          <w:lang w:val="en-US"/>
        </w:rPr>
        <w:t xml:space="preserve">ITGA10 </w:t>
      </w:r>
      <w:r w:rsidRPr="00996128">
        <w:rPr>
          <w:rFonts w:ascii="Times New Roman" w:hAnsi="Times New Roman" w:cs="Times New Roman"/>
          <w:lang w:val="en-US"/>
        </w:rPr>
        <w:t xml:space="preserve">and </w:t>
      </w:r>
      <w:r w:rsidRPr="00996128">
        <w:rPr>
          <w:rFonts w:ascii="Times New Roman" w:hAnsi="Times New Roman" w:cs="Times New Roman"/>
          <w:i/>
          <w:iCs/>
          <w:lang w:val="en-US"/>
        </w:rPr>
        <w:t xml:space="preserve">GAPDH </w:t>
      </w:r>
      <w:r w:rsidRPr="00996128">
        <w:rPr>
          <w:rFonts w:ascii="Times New Roman" w:hAnsi="Times New Roman" w:cs="Times New Roman"/>
          <w:lang w:val="en-US"/>
        </w:rPr>
        <w:t xml:space="preserve">were conducted using TaqMan assays (Applied Biosystems) in a </w:t>
      </w:r>
      <w:proofErr w:type="spellStart"/>
      <w:r w:rsidRPr="00996128">
        <w:rPr>
          <w:rFonts w:ascii="Times New Roman" w:hAnsi="Times New Roman" w:cs="Times New Roman"/>
          <w:lang w:val="en-US"/>
        </w:rPr>
        <w:t>StepOne</w:t>
      </w:r>
      <w:proofErr w:type="spellEnd"/>
      <w:r w:rsidRPr="00996128">
        <w:rPr>
          <w:rFonts w:ascii="Times New Roman" w:hAnsi="Times New Roman" w:cs="Times New Roman"/>
          <w:lang w:val="en-US"/>
        </w:rPr>
        <w:t xml:space="preserve"> Plus Real Time PCR System device (Applied Biosystems). The relative mRNA expression was calculated using </w:t>
      </w:r>
      <w:proofErr w:type="spellStart"/>
      <w:r w:rsidRPr="00996128">
        <w:rPr>
          <w:rFonts w:ascii="Times New Roman" w:hAnsi="Times New Roman" w:cs="Times New Roman"/>
          <w:lang w:val="en-US"/>
        </w:rPr>
        <w:t>ΔΔCt</w:t>
      </w:r>
      <w:proofErr w:type="spellEnd"/>
      <w:r w:rsidRPr="00996128">
        <w:rPr>
          <w:rFonts w:ascii="Times New Roman" w:hAnsi="Times New Roman" w:cs="Times New Roman"/>
          <w:lang w:val="en-US"/>
        </w:rPr>
        <w:t xml:space="preserve"> method where GAPDH was the housekeeping gene control (</w:t>
      </w:r>
      <w:r w:rsidRPr="00996128">
        <w:rPr>
          <w:rFonts w:ascii="Times New Roman" w:hAnsi="Times New Roman" w:cs="Times New Roman"/>
        </w:rPr>
        <w:t>Δ</w:t>
      </w:r>
      <w:r w:rsidRPr="00996128">
        <w:rPr>
          <w:rFonts w:ascii="Times New Roman" w:hAnsi="Times New Roman" w:cs="Times New Roman"/>
          <w:lang w:val="en-US"/>
        </w:rPr>
        <w:t>Ct) and followed by normalization towards chondrogenic induced differentiated un</w:t>
      </w:r>
      <w:r w:rsidR="00840713">
        <w:rPr>
          <w:rFonts w:ascii="Times New Roman" w:hAnsi="Times New Roman" w:cs="Times New Roman"/>
          <w:lang w:val="en-US"/>
        </w:rPr>
        <w:t>labeled</w:t>
      </w:r>
      <w:r w:rsidRPr="00996128">
        <w:rPr>
          <w:rFonts w:ascii="Times New Roman" w:hAnsi="Times New Roman" w:cs="Times New Roman"/>
          <w:lang w:val="en-US"/>
        </w:rPr>
        <w:t xml:space="preserve"> cells (2</w:t>
      </w:r>
      <w:r w:rsidRPr="00996128">
        <w:rPr>
          <w:rFonts w:ascii="Times New Roman" w:hAnsi="Times New Roman" w:cs="Times New Roman"/>
          <w:vertAlign w:val="superscript"/>
          <w:lang w:val="en-US"/>
        </w:rPr>
        <w:t>–</w:t>
      </w:r>
      <w:r w:rsidRPr="00996128">
        <w:rPr>
          <w:rFonts w:ascii="Times New Roman" w:hAnsi="Times New Roman" w:cs="Times New Roman"/>
          <w:vertAlign w:val="superscript"/>
        </w:rPr>
        <w:t>ΔΔ</w:t>
      </w:r>
      <w:r w:rsidRPr="00996128">
        <w:rPr>
          <w:rFonts w:ascii="Times New Roman" w:hAnsi="Times New Roman" w:cs="Times New Roman"/>
          <w:vertAlign w:val="superscript"/>
          <w:lang w:val="en-US"/>
        </w:rPr>
        <w:t>Ct</w:t>
      </w:r>
      <w:r w:rsidRPr="00996128">
        <w:rPr>
          <w:rFonts w:ascii="Times New Roman" w:hAnsi="Times New Roman" w:cs="Times New Roman"/>
          <w:lang w:val="en-US"/>
        </w:rPr>
        <w:t>).</w:t>
      </w:r>
    </w:p>
    <w:p w14:paraId="6F47B4F4" w14:textId="77777777" w:rsidR="0045696D" w:rsidRPr="00996128" w:rsidRDefault="0045696D" w:rsidP="00795549">
      <w:pPr>
        <w:spacing w:line="360" w:lineRule="auto"/>
        <w:rPr>
          <w:rFonts w:ascii="Times New Roman" w:hAnsi="Times New Roman" w:cs="Times New Roman"/>
          <w:lang w:val="en-US"/>
        </w:rPr>
      </w:pPr>
    </w:p>
    <w:p w14:paraId="2CF5F4C5" w14:textId="77777777" w:rsidR="0045696D" w:rsidRPr="00996128" w:rsidRDefault="0045696D" w:rsidP="00795549">
      <w:pPr>
        <w:pStyle w:val="Default"/>
        <w:spacing w:line="360" w:lineRule="auto"/>
        <w:rPr>
          <w:lang w:val="en-US"/>
        </w:rPr>
      </w:pPr>
      <w:r w:rsidRPr="00996128">
        <w:rPr>
          <w:i/>
          <w:iCs/>
          <w:lang w:val="en-US"/>
        </w:rPr>
        <w:t xml:space="preserve">Adipogenic differentiation </w:t>
      </w:r>
    </w:p>
    <w:p w14:paraId="72BBF46B" w14:textId="5571DF3C" w:rsidR="0045696D" w:rsidRPr="00996128" w:rsidRDefault="0045696D" w:rsidP="00795549">
      <w:pPr>
        <w:spacing w:line="360" w:lineRule="auto"/>
        <w:rPr>
          <w:rFonts w:ascii="Times New Roman" w:hAnsi="Times New Roman" w:cs="Times New Roman"/>
          <w:lang w:val="en-US"/>
        </w:rPr>
      </w:pPr>
      <w:r w:rsidRPr="00996128">
        <w:rPr>
          <w:rFonts w:ascii="Times New Roman" w:hAnsi="Times New Roman" w:cs="Times New Roman"/>
        </w:rPr>
        <w:t>α</w:t>
      </w:r>
      <w:r w:rsidRPr="00996128">
        <w:rPr>
          <w:rFonts w:ascii="Times New Roman" w:hAnsi="Times New Roman" w:cs="Times New Roman"/>
          <w:lang w:val="en-US"/>
        </w:rPr>
        <w:t>10-MSCs were added to a 6-well plate (38</w:t>
      </w:r>
      <w:r w:rsidR="00840713">
        <w:rPr>
          <w:rFonts w:ascii="Times New Roman" w:hAnsi="Times New Roman" w:cs="Times New Roman"/>
          <w:lang w:val="en-US"/>
        </w:rPr>
        <w:t>,</w:t>
      </w:r>
      <w:r w:rsidRPr="00996128">
        <w:rPr>
          <w:rFonts w:ascii="Times New Roman" w:hAnsi="Times New Roman" w:cs="Times New Roman"/>
          <w:lang w:val="en-US"/>
        </w:rPr>
        <w:t xml:space="preserve">000 cells/well) and allowed to attach in MSC expansion media for 24 hours. This was followed by change to adipogenic medium consisting of DMEM/F12 (Gibco) supplemented with 15% rabbit serum (Sigma-Aldrich), 1 </w:t>
      </w:r>
      <w:r w:rsidRPr="00996128">
        <w:rPr>
          <w:rFonts w:ascii="Times New Roman" w:hAnsi="Times New Roman" w:cs="Times New Roman"/>
        </w:rPr>
        <w:t>μ</w:t>
      </w:r>
      <w:r w:rsidRPr="00996128">
        <w:rPr>
          <w:rFonts w:ascii="Times New Roman" w:hAnsi="Times New Roman" w:cs="Times New Roman"/>
          <w:lang w:val="en-US"/>
        </w:rPr>
        <w:t xml:space="preserve">M dexamethasone (Sigma- Aldrich), 100 </w:t>
      </w:r>
      <w:r w:rsidRPr="00996128">
        <w:rPr>
          <w:rFonts w:ascii="Times New Roman" w:hAnsi="Times New Roman" w:cs="Times New Roman"/>
        </w:rPr>
        <w:t>μ</w:t>
      </w:r>
      <w:r w:rsidRPr="00996128">
        <w:rPr>
          <w:rFonts w:ascii="Times New Roman" w:hAnsi="Times New Roman" w:cs="Times New Roman"/>
          <w:lang w:val="en-US"/>
        </w:rPr>
        <w:t xml:space="preserve">M indomethacin (Sigma-Aldrich), 500 </w:t>
      </w:r>
      <w:r w:rsidRPr="00996128">
        <w:rPr>
          <w:rFonts w:ascii="Times New Roman" w:hAnsi="Times New Roman" w:cs="Times New Roman"/>
        </w:rPr>
        <w:t>μ</w:t>
      </w:r>
      <w:r w:rsidRPr="00996128">
        <w:rPr>
          <w:rFonts w:ascii="Times New Roman" w:hAnsi="Times New Roman" w:cs="Times New Roman"/>
          <w:lang w:val="en-US"/>
        </w:rPr>
        <w:t>M 3-isobutyl- 1-methylxanthine (IBMX) (Sigma-Aldrich) and 1x insulin-transferrin-sodium selenite supplement (ITS x100) (Sigma-Aldrich). Cells were cultured at 37°C, 5% CO</w:t>
      </w:r>
      <w:r w:rsidRPr="00996128">
        <w:rPr>
          <w:rFonts w:ascii="Times New Roman" w:hAnsi="Times New Roman" w:cs="Times New Roman"/>
          <w:vertAlign w:val="subscript"/>
          <w:lang w:val="en-US"/>
        </w:rPr>
        <w:t>2</w:t>
      </w:r>
      <w:r w:rsidRPr="00996128">
        <w:rPr>
          <w:rFonts w:ascii="Times New Roman" w:hAnsi="Times New Roman" w:cs="Times New Roman"/>
          <w:lang w:val="en-US"/>
        </w:rPr>
        <w:t xml:space="preserve"> and 4% O</w:t>
      </w:r>
      <w:r w:rsidRPr="00996128">
        <w:rPr>
          <w:rFonts w:ascii="Times New Roman" w:hAnsi="Times New Roman" w:cs="Times New Roman"/>
          <w:vertAlign w:val="subscript"/>
          <w:lang w:val="en-US"/>
        </w:rPr>
        <w:t>2</w:t>
      </w:r>
      <w:r w:rsidRPr="00996128">
        <w:rPr>
          <w:rFonts w:ascii="Times New Roman" w:hAnsi="Times New Roman" w:cs="Times New Roman"/>
          <w:lang w:val="en-US"/>
        </w:rPr>
        <w:t>, medium was changed every second day and maintained until fat droplets could be detected, three days after adipocyte differentiation induction. For analysis of adipocyte differentiation, cells were fixed in 10% formaldehyde solution (Sigma-Aldrich) for 45 min, incubated in 60% isopropanol (Sigma-Aldrich) for 5 min and finally stained with 0.3% oil red O (Sigma-Aldrich) for 5 min. After subsequent aspiration and washing with water until water was clear, cells were visualized under a bright field microscope.</w:t>
      </w:r>
    </w:p>
    <w:p w14:paraId="2F9C9852" w14:textId="77777777" w:rsidR="0045696D" w:rsidRPr="00996128" w:rsidRDefault="0045696D" w:rsidP="00795549">
      <w:pPr>
        <w:spacing w:line="360" w:lineRule="auto"/>
        <w:rPr>
          <w:rFonts w:ascii="Times New Roman" w:hAnsi="Times New Roman" w:cs="Times New Roman"/>
          <w:lang w:val="en-US"/>
        </w:rPr>
      </w:pPr>
    </w:p>
    <w:p w14:paraId="728DADB8" w14:textId="77777777" w:rsidR="00795549" w:rsidRDefault="00795549">
      <w:pPr>
        <w:rPr>
          <w:rFonts w:ascii="Times New Roman" w:hAnsi="Times New Roman" w:cs="Times New Roman"/>
          <w:i/>
          <w:iCs/>
          <w:color w:val="000000"/>
          <w:lang w:val="en-US"/>
        </w:rPr>
      </w:pPr>
      <w:r>
        <w:rPr>
          <w:i/>
          <w:iCs/>
          <w:lang w:val="en-US"/>
        </w:rPr>
        <w:br w:type="page"/>
      </w:r>
    </w:p>
    <w:p w14:paraId="258C478D" w14:textId="627D0DF7" w:rsidR="0045696D" w:rsidRPr="00996128" w:rsidRDefault="0045696D" w:rsidP="00795549">
      <w:pPr>
        <w:pStyle w:val="Default"/>
        <w:spacing w:line="360" w:lineRule="auto"/>
        <w:rPr>
          <w:lang w:val="en-US"/>
        </w:rPr>
      </w:pPr>
      <w:r w:rsidRPr="00996128">
        <w:rPr>
          <w:i/>
          <w:iCs/>
          <w:lang w:val="en-US"/>
        </w:rPr>
        <w:lastRenderedPageBreak/>
        <w:t xml:space="preserve">Osteogenic differentiation </w:t>
      </w:r>
    </w:p>
    <w:p w14:paraId="2471E33A" w14:textId="494FB804" w:rsidR="0045696D" w:rsidRPr="00840713" w:rsidRDefault="0045696D" w:rsidP="00795549">
      <w:pPr>
        <w:spacing w:line="360" w:lineRule="auto"/>
        <w:rPr>
          <w:rFonts w:ascii="Times New Roman" w:hAnsi="Times New Roman" w:cs="Times New Roman"/>
          <w:lang w:val="en-US"/>
        </w:rPr>
      </w:pPr>
      <w:proofErr w:type="spellStart"/>
      <w:r w:rsidRPr="00996128">
        <w:rPr>
          <w:rFonts w:ascii="Times New Roman" w:hAnsi="Times New Roman" w:cs="Times New Roman"/>
          <w:lang w:val="en-US"/>
        </w:rPr>
        <w:t>StemPro</w:t>
      </w:r>
      <w:proofErr w:type="spellEnd"/>
      <w:r w:rsidRPr="00996128">
        <w:rPr>
          <w:rFonts w:ascii="Times New Roman" w:hAnsi="Times New Roman" w:cs="Times New Roman"/>
          <w:lang w:val="en-US"/>
        </w:rPr>
        <w:t xml:space="preserve"> Osteogenesis differentiation kit (Gibco) was used according to the manufacturer´s protocol. In short, </w:t>
      </w:r>
      <w:r w:rsidRPr="00996128">
        <w:rPr>
          <w:rFonts w:ascii="Times New Roman" w:hAnsi="Times New Roman" w:cs="Times New Roman"/>
          <w:lang w:val="en-GB"/>
        </w:rPr>
        <w:sym w:font="Symbol" w:char="F061"/>
      </w:r>
      <w:r w:rsidRPr="00996128">
        <w:rPr>
          <w:rFonts w:ascii="Times New Roman" w:hAnsi="Times New Roman" w:cs="Times New Roman"/>
          <w:lang w:val="en-GB"/>
        </w:rPr>
        <w:t>10-</w:t>
      </w:r>
      <w:r w:rsidRPr="00996128">
        <w:rPr>
          <w:rFonts w:ascii="Times New Roman" w:hAnsi="Times New Roman" w:cs="Times New Roman"/>
          <w:lang w:val="en-US"/>
        </w:rPr>
        <w:t>MSCs were seeded in a 6-well plate (19</w:t>
      </w:r>
      <w:r w:rsidR="00840713">
        <w:rPr>
          <w:rFonts w:ascii="Times New Roman" w:hAnsi="Times New Roman" w:cs="Times New Roman"/>
          <w:lang w:val="en-US"/>
        </w:rPr>
        <w:t>,</w:t>
      </w:r>
      <w:r w:rsidRPr="00996128">
        <w:rPr>
          <w:rFonts w:ascii="Times New Roman" w:hAnsi="Times New Roman" w:cs="Times New Roman"/>
          <w:lang w:val="en-US"/>
        </w:rPr>
        <w:t>000 cells/well) and cultured in MSC expansion media for 24 hours before start of differentiation with the osteogenic induction medium. Cells were cultured in hypoxic conditions (4% O</w:t>
      </w:r>
      <w:r w:rsidRPr="00996128">
        <w:rPr>
          <w:rFonts w:ascii="Times New Roman" w:hAnsi="Times New Roman" w:cs="Times New Roman"/>
          <w:vertAlign w:val="subscript"/>
          <w:lang w:val="en-US"/>
        </w:rPr>
        <w:t>2</w:t>
      </w:r>
      <w:r w:rsidRPr="00996128">
        <w:rPr>
          <w:rFonts w:ascii="Times New Roman" w:hAnsi="Times New Roman" w:cs="Times New Roman"/>
          <w:lang w:val="en-US"/>
        </w:rPr>
        <w:t>) and the medium was changed every 2-3 days. After 21 days, the cells were fixed with 10% formaldehyde solution (Sigma-Aldrich) and rinsed with PBS (Gibco) before staining with Alizarin Red solution (Millipore) for 5 min followed by washing with water until water was clear. Osteogenic differentiation was visualized as under light microscopy. For all differentiation assays, non-induced cells were used as negative controls.</w:t>
      </w:r>
    </w:p>
    <w:p w14:paraId="03DD81E7" w14:textId="34F80827" w:rsidR="00E02D61" w:rsidRDefault="00E02D61" w:rsidP="00795549">
      <w:pPr>
        <w:spacing w:line="360" w:lineRule="auto"/>
        <w:rPr>
          <w:rFonts w:ascii="Times New Roman" w:hAnsi="Times New Roman" w:cs="Times New Roman"/>
          <w:lang w:val="en-GB"/>
        </w:rPr>
      </w:pPr>
    </w:p>
    <w:p w14:paraId="2A5D8FE5" w14:textId="52244597" w:rsidR="009B4679" w:rsidRDefault="009B4679" w:rsidP="00795549">
      <w:pPr>
        <w:spacing w:line="360" w:lineRule="auto"/>
        <w:rPr>
          <w:rFonts w:ascii="Times New Roman" w:hAnsi="Times New Roman" w:cs="Times New Roman"/>
          <w:lang w:val="en-GB"/>
        </w:rPr>
      </w:pPr>
      <w:r>
        <w:rPr>
          <w:rFonts w:ascii="Times New Roman" w:hAnsi="Times New Roman" w:cs="Times New Roman"/>
          <w:noProof/>
          <w:lang w:val="en-GB"/>
        </w:rPr>
        <w:lastRenderedPageBreak/>
        <w:drawing>
          <wp:inline distT="0" distB="0" distL="0" distR="0" wp14:anchorId="548E985B" wp14:editId="0E2C2E5E">
            <wp:extent cx="5925312" cy="8079971"/>
            <wp:effectExtent l="0" t="0" r="5715" b="0"/>
            <wp:docPr id="1" name="Billede 1" descr="Et billede, der indeholder teks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descr="Et billede, der indeholder tekst&#10;&#10;Automatisk genereret beskrivels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60050" cy="8127340"/>
                    </a:xfrm>
                    <a:prstGeom prst="rect">
                      <a:avLst/>
                    </a:prstGeom>
                  </pic:spPr>
                </pic:pic>
              </a:graphicData>
            </a:graphic>
          </wp:inline>
        </w:drawing>
      </w:r>
    </w:p>
    <w:p w14:paraId="0A1640CD" w14:textId="53CA2CF6" w:rsidR="009B4679" w:rsidRPr="00AC1550" w:rsidRDefault="00371A22" w:rsidP="009B4679">
      <w:pPr>
        <w:pStyle w:val="Ingenafstand"/>
        <w:spacing w:line="480" w:lineRule="auto"/>
        <w:rPr>
          <w:lang w:val="en-US"/>
        </w:rPr>
      </w:pPr>
      <w:r>
        <w:rPr>
          <w:b/>
          <w:bCs/>
          <w:lang w:val="en-GB"/>
        </w:rPr>
        <w:lastRenderedPageBreak/>
        <w:t>Supplementary</w:t>
      </w:r>
      <w:r w:rsidRPr="008C4AD3">
        <w:rPr>
          <w:b/>
          <w:bCs/>
          <w:lang w:val="en-GB"/>
        </w:rPr>
        <w:t xml:space="preserve"> </w:t>
      </w:r>
      <w:r w:rsidR="009B4679">
        <w:rPr>
          <w:b/>
          <w:bCs/>
          <w:lang w:val="en-GB"/>
        </w:rPr>
        <w:t xml:space="preserve">figure 1: </w:t>
      </w:r>
      <w:r w:rsidR="009B4679" w:rsidRPr="008C4AD3">
        <w:rPr>
          <w:b/>
          <w:bCs/>
          <w:lang w:val="en-GB"/>
        </w:rPr>
        <w:t>A</w:t>
      </w:r>
      <w:r w:rsidR="009B4679" w:rsidRPr="008C4AD3">
        <w:rPr>
          <w:lang w:val="en-GB"/>
        </w:rPr>
        <w:t xml:space="preserve">) </w:t>
      </w:r>
      <w:r w:rsidR="009B4679" w:rsidRPr="008C4AD3">
        <w:rPr>
          <w:b/>
          <w:bCs/>
          <w:lang w:val="en-GB"/>
        </w:rPr>
        <w:t xml:space="preserve">Viability, proliferation, and median fluorescence intensity (MFI) </w:t>
      </w:r>
      <w:r w:rsidR="009B4679">
        <w:rPr>
          <w:b/>
          <w:bCs/>
          <w:lang w:val="en-GB"/>
        </w:rPr>
        <w:t xml:space="preserve">of unlabeled and labeled integrin </w:t>
      </w:r>
      <w:r w:rsidR="009B4679">
        <w:rPr>
          <w:b/>
          <w:bCs/>
          <w:lang w:val="en-GB"/>
        </w:rPr>
        <w:sym w:font="Symbol" w:char="F061"/>
      </w:r>
      <w:r w:rsidR="009B4679">
        <w:rPr>
          <w:b/>
          <w:bCs/>
          <w:lang w:val="en-GB"/>
        </w:rPr>
        <w:t xml:space="preserve">10-MSCs. </w:t>
      </w:r>
      <w:r w:rsidR="009B4679" w:rsidRPr="008C4AD3">
        <w:rPr>
          <w:b/>
          <w:bCs/>
          <w:lang w:val="en-GB"/>
        </w:rPr>
        <w:t>A</w:t>
      </w:r>
      <w:r w:rsidR="009B4679" w:rsidRPr="008C4AD3">
        <w:rPr>
          <w:lang w:val="en-GB"/>
        </w:rPr>
        <w:t xml:space="preserve">) </w:t>
      </w:r>
      <w:r w:rsidR="009B4679" w:rsidRPr="00C8085F">
        <w:rPr>
          <w:lang w:val="en-GB"/>
        </w:rPr>
        <w:t xml:space="preserve">Flow cytometry analysis </w:t>
      </w:r>
      <w:r w:rsidR="009B4679" w:rsidRPr="00711E6B">
        <w:rPr>
          <w:lang w:val="en-GB"/>
        </w:rPr>
        <w:t>of un</w:t>
      </w:r>
      <w:r w:rsidR="009B4679">
        <w:rPr>
          <w:lang w:val="en-GB"/>
        </w:rPr>
        <w:t>labeled</w:t>
      </w:r>
      <w:r w:rsidR="009B4679" w:rsidRPr="008C4AD3">
        <w:rPr>
          <w:lang w:val="en-GB"/>
        </w:rPr>
        <w:t xml:space="preserve"> (UL) and </w:t>
      </w:r>
      <w:r w:rsidR="009B4679">
        <w:rPr>
          <w:lang w:val="en-GB"/>
        </w:rPr>
        <w:t>Molday Ion conjugated with Rhodamine B (</w:t>
      </w:r>
      <w:r w:rsidR="009B4679" w:rsidRPr="008C4AD3">
        <w:rPr>
          <w:lang w:val="en-GB"/>
        </w:rPr>
        <w:t>MIRB</w:t>
      </w:r>
      <w:r w:rsidR="009B4679">
        <w:rPr>
          <w:lang w:val="en-GB"/>
        </w:rPr>
        <w:t>)</w:t>
      </w:r>
      <w:r w:rsidR="009B4679" w:rsidRPr="008C4AD3">
        <w:rPr>
          <w:lang w:val="en-GB"/>
        </w:rPr>
        <w:t>-</w:t>
      </w:r>
      <w:r w:rsidR="009B4679">
        <w:rPr>
          <w:lang w:val="en-GB"/>
        </w:rPr>
        <w:t>labeled</w:t>
      </w:r>
      <w:r w:rsidR="009B4679" w:rsidRPr="008C4AD3">
        <w:rPr>
          <w:lang w:val="en-GB"/>
        </w:rPr>
        <w:t xml:space="preserve"> </w:t>
      </w:r>
      <w:r w:rsidR="009B4679">
        <w:rPr>
          <w:lang w:val="en-GB"/>
        </w:rPr>
        <w:t xml:space="preserve">integrin </w:t>
      </w:r>
      <w:r w:rsidR="009B4679" w:rsidRPr="008C4AD3">
        <w:rPr>
          <w:rFonts w:ascii="Cambria Math" w:hAnsi="Cambria Math" w:cs="Cambria Math"/>
          <w:lang w:val="en-GB"/>
        </w:rPr>
        <w:t>⍺</w:t>
      </w:r>
      <w:r w:rsidR="009B4679" w:rsidRPr="008C4AD3">
        <w:rPr>
          <w:lang w:val="en-GB"/>
        </w:rPr>
        <w:t>10-MSCs</w:t>
      </w:r>
      <w:r w:rsidR="009B4679">
        <w:rPr>
          <w:lang w:val="en-GB"/>
        </w:rPr>
        <w:t xml:space="preserve"> </w:t>
      </w:r>
      <w:r w:rsidR="009B4679" w:rsidRPr="008C4AD3">
        <w:rPr>
          <w:lang w:val="en-GB"/>
        </w:rPr>
        <w:t>after 6 hours (</w:t>
      </w:r>
      <w:r w:rsidR="009B4679">
        <w:rPr>
          <w:lang w:val="en-GB"/>
        </w:rPr>
        <w:t>6h-MIRB</w:t>
      </w:r>
      <w:r w:rsidR="009B4679" w:rsidRPr="008C4AD3">
        <w:rPr>
          <w:lang w:val="en-GB"/>
        </w:rPr>
        <w:t xml:space="preserve">) </w:t>
      </w:r>
      <w:r w:rsidR="009B4679">
        <w:rPr>
          <w:lang w:val="en-GB"/>
        </w:rPr>
        <w:t>or</w:t>
      </w:r>
      <w:r w:rsidR="009B4679" w:rsidRPr="008C4AD3">
        <w:rPr>
          <w:lang w:val="en-GB"/>
        </w:rPr>
        <w:t xml:space="preserve"> 16 hours (16h</w:t>
      </w:r>
      <w:r w:rsidR="009B4679">
        <w:rPr>
          <w:lang w:val="en-GB"/>
        </w:rPr>
        <w:t>-MIRB</w:t>
      </w:r>
      <w:r w:rsidR="009B4679" w:rsidRPr="008C4AD3">
        <w:rPr>
          <w:lang w:val="en-GB"/>
        </w:rPr>
        <w:t xml:space="preserve">) </w:t>
      </w:r>
      <w:r w:rsidR="009B4679">
        <w:rPr>
          <w:lang w:val="en-GB"/>
        </w:rPr>
        <w:t>of labeling</w:t>
      </w:r>
      <w:r w:rsidR="009B4679" w:rsidRPr="008C4AD3">
        <w:rPr>
          <w:lang w:val="en-GB"/>
        </w:rPr>
        <w:t xml:space="preserve">. The single cell population was first selected using a polygon gate (left column); live cells were identified as being 7-AAD </w:t>
      </w:r>
      <w:r w:rsidR="009B4679">
        <w:rPr>
          <w:lang w:val="en-GB"/>
        </w:rPr>
        <w:t xml:space="preserve">(7-Amino-Actinomycin D) </w:t>
      </w:r>
      <w:r w:rsidR="009B4679" w:rsidRPr="008C4AD3">
        <w:rPr>
          <w:lang w:val="en-GB"/>
        </w:rPr>
        <w:t xml:space="preserve">negative (middle column); the content of Rhodamine B in the live cells was investigated (right column). </w:t>
      </w:r>
      <w:r w:rsidR="009B4679">
        <w:rPr>
          <w:lang w:val="en-GB"/>
        </w:rPr>
        <w:t>Fl</w:t>
      </w:r>
      <w:r w:rsidR="009B4679" w:rsidRPr="008C4AD3">
        <w:rPr>
          <w:lang w:val="en-GB"/>
        </w:rPr>
        <w:t xml:space="preserve">uorescence can be observed for both </w:t>
      </w:r>
      <w:r w:rsidR="009B4679">
        <w:rPr>
          <w:lang w:val="en-GB"/>
        </w:rPr>
        <w:t>labeled</w:t>
      </w:r>
      <w:r w:rsidR="009B4679" w:rsidRPr="008C4AD3">
        <w:rPr>
          <w:lang w:val="en-GB"/>
        </w:rPr>
        <w:t xml:space="preserve"> groups compared to </w:t>
      </w:r>
      <w:r w:rsidR="009B4679">
        <w:rPr>
          <w:lang w:val="en-GB"/>
        </w:rPr>
        <w:t>UL,</w:t>
      </w:r>
      <w:r w:rsidR="009B4679" w:rsidRPr="008C4AD3">
        <w:rPr>
          <w:lang w:val="en-GB"/>
        </w:rPr>
        <w:t xml:space="preserve"> demonstrating that approximately 100% of the </w:t>
      </w:r>
      <w:r w:rsidR="009B4679">
        <w:rPr>
          <w:lang w:val="en-GB"/>
        </w:rPr>
        <w:t>labeled</w:t>
      </w:r>
      <w:r w:rsidR="009B4679" w:rsidRPr="008C4AD3">
        <w:rPr>
          <w:lang w:val="en-GB"/>
        </w:rPr>
        <w:t xml:space="preserve"> </w:t>
      </w:r>
      <w:r w:rsidR="009B4679">
        <w:rPr>
          <w:lang w:val="en-GB"/>
        </w:rPr>
        <w:t xml:space="preserve">integrin </w:t>
      </w:r>
      <w:r w:rsidR="009B4679" w:rsidRPr="008C4AD3">
        <w:rPr>
          <w:rFonts w:ascii="Cambria Math" w:hAnsi="Cambria Math" w:cs="Cambria Math"/>
          <w:lang w:val="en-GB"/>
        </w:rPr>
        <w:t>⍺</w:t>
      </w:r>
      <w:r w:rsidR="009B4679" w:rsidRPr="008C4AD3">
        <w:rPr>
          <w:lang w:val="en-GB"/>
        </w:rPr>
        <w:t>10-MSCs</w:t>
      </w:r>
      <w:r w:rsidR="009B4679">
        <w:rPr>
          <w:lang w:val="en-GB"/>
        </w:rPr>
        <w:t xml:space="preserve"> </w:t>
      </w:r>
      <w:r w:rsidR="009B4679" w:rsidRPr="008C4AD3">
        <w:rPr>
          <w:lang w:val="en-GB"/>
        </w:rPr>
        <w:t xml:space="preserve">took up MIRB particles. </w:t>
      </w:r>
      <w:r w:rsidR="009B4679" w:rsidRPr="008C4AD3">
        <w:rPr>
          <w:b/>
          <w:bCs/>
          <w:lang w:val="en-GB"/>
        </w:rPr>
        <w:t xml:space="preserve">B) </w:t>
      </w:r>
      <w:r w:rsidR="009B4679" w:rsidRPr="00C8085F">
        <w:rPr>
          <w:lang w:val="en-US"/>
        </w:rPr>
        <w:t xml:space="preserve">MFI of Rhodamine B immediately after </w:t>
      </w:r>
      <w:r w:rsidR="009B4679">
        <w:rPr>
          <w:lang w:val="en-US"/>
        </w:rPr>
        <w:t>labeling</w:t>
      </w:r>
      <w:r w:rsidR="009B4679" w:rsidRPr="00C8085F">
        <w:rPr>
          <w:lang w:val="en-US"/>
        </w:rPr>
        <w:t xml:space="preserve"> </w:t>
      </w:r>
      <w:r w:rsidR="009B4679" w:rsidRPr="00711E6B">
        <w:rPr>
          <w:lang w:val="en-GB"/>
        </w:rPr>
        <w:t>showing</w:t>
      </w:r>
      <w:r w:rsidR="009B4679" w:rsidRPr="008C4AD3">
        <w:rPr>
          <w:lang w:val="en-GB"/>
        </w:rPr>
        <w:t xml:space="preserve"> higher MFI </w:t>
      </w:r>
      <w:r w:rsidR="009B4679">
        <w:rPr>
          <w:lang w:val="en-GB"/>
        </w:rPr>
        <w:t>in 16h-MIRB</w:t>
      </w:r>
      <w:r w:rsidR="009B4679" w:rsidRPr="008C4AD3">
        <w:rPr>
          <w:lang w:val="en-GB"/>
        </w:rPr>
        <w:t xml:space="preserve"> compared to</w:t>
      </w:r>
      <w:r w:rsidR="009B4679">
        <w:rPr>
          <w:lang w:val="en-GB"/>
        </w:rPr>
        <w:t xml:space="preserve"> 6h-MIRB</w:t>
      </w:r>
      <w:r w:rsidR="009B4679" w:rsidRPr="008C4AD3">
        <w:rPr>
          <w:lang w:val="en-GB"/>
        </w:rPr>
        <w:t xml:space="preserve">. </w:t>
      </w:r>
      <w:r w:rsidR="009B4679" w:rsidRPr="008C4AD3">
        <w:rPr>
          <w:b/>
          <w:bCs/>
          <w:lang w:val="en-GB"/>
        </w:rPr>
        <w:t>C)</w:t>
      </w:r>
      <w:r w:rsidR="009B4679">
        <w:rPr>
          <w:b/>
          <w:bCs/>
          <w:lang w:val="en-GB"/>
        </w:rPr>
        <w:t xml:space="preserve"> </w:t>
      </w:r>
      <w:r w:rsidR="009B4679" w:rsidRPr="003C0804">
        <w:rPr>
          <w:lang w:val="en-GB"/>
        </w:rPr>
        <w:t xml:space="preserve">MSCs were grown to 80% confluency before </w:t>
      </w:r>
      <w:r w:rsidR="009B4679">
        <w:rPr>
          <w:lang w:val="en-GB"/>
        </w:rPr>
        <w:t>labeling</w:t>
      </w:r>
      <w:r w:rsidR="009B4679" w:rsidRPr="003C0804">
        <w:rPr>
          <w:lang w:val="en-GB"/>
        </w:rPr>
        <w:t>.</w:t>
      </w:r>
      <w:r w:rsidR="009B4679" w:rsidRPr="008C4AD3">
        <w:rPr>
          <w:b/>
          <w:bCs/>
          <w:lang w:val="en-GB"/>
        </w:rPr>
        <w:t xml:space="preserve"> </w:t>
      </w:r>
      <w:r w:rsidR="009B4679" w:rsidRPr="00C8085F">
        <w:rPr>
          <w:lang w:val="en-US"/>
        </w:rPr>
        <w:t xml:space="preserve">Cell count at harvest </w:t>
      </w:r>
      <w:r w:rsidR="009B4679" w:rsidRPr="00711E6B">
        <w:rPr>
          <w:lang w:val="en-US"/>
        </w:rPr>
        <w:t>immediately</w:t>
      </w:r>
      <w:r w:rsidR="009B4679" w:rsidRPr="00C8085F">
        <w:rPr>
          <w:lang w:val="en-US"/>
        </w:rPr>
        <w:t xml:space="preserve"> </w:t>
      </w:r>
      <w:r w:rsidR="009B4679" w:rsidRPr="00711E6B">
        <w:rPr>
          <w:lang w:val="en-GB"/>
        </w:rPr>
        <w:t xml:space="preserve">after </w:t>
      </w:r>
      <w:r w:rsidR="009B4679">
        <w:rPr>
          <w:lang w:val="en-GB"/>
        </w:rPr>
        <w:t>labeling compared to UL</w:t>
      </w:r>
      <w:r w:rsidR="009B4679" w:rsidRPr="008C4AD3">
        <w:rPr>
          <w:lang w:val="en-GB"/>
        </w:rPr>
        <w:t xml:space="preserve">. </w:t>
      </w:r>
      <w:r w:rsidR="009B4679">
        <w:rPr>
          <w:lang w:val="en-GB"/>
        </w:rPr>
        <w:t>Cell counts were lower in both labeled groups with the biggest negative effect in 16h-MIRB</w:t>
      </w:r>
      <w:r w:rsidR="009B4679" w:rsidRPr="008C4AD3">
        <w:rPr>
          <w:lang w:val="en-GB"/>
        </w:rPr>
        <w:t xml:space="preserve">, indicating that MIRB </w:t>
      </w:r>
      <w:r w:rsidR="009B4679">
        <w:rPr>
          <w:lang w:val="en-GB"/>
        </w:rPr>
        <w:t>labeling</w:t>
      </w:r>
      <w:r w:rsidR="009B4679" w:rsidRPr="008C4AD3">
        <w:rPr>
          <w:lang w:val="en-GB"/>
        </w:rPr>
        <w:t xml:space="preserve"> affects proliferation and/or viability. </w:t>
      </w:r>
      <w:r w:rsidR="009B4679" w:rsidRPr="008C4AD3">
        <w:rPr>
          <w:b/>
          <w:bCs/>
          <w:lang w:val="en-GB"/>
        </w:rPr>
        <w:t xml:space="preserve">D) </w:t>
      </w:r>
      <w:r w:rsidR="009B4679" w:rsidRPr="00C8085F">
        <w:rPr>
          <w:lang w:val="en-GB"/>
        </w:rPr>
        <w:t xml:space="preserve">Flow cytometry analysis after 3 days of proliferation </w:t>
      </w:r>
      <w:r w:rsidR="009B4679">
        <w:rPr>
          <w:lang w:val="en-GB"/>
        </w:rPr>
        <w:t xml:space="preserve">in culture </w:t>
      </w:r>
      <w:r w:rsidR="009B4679" w:rsidRPr="00711E6B">
        <w:rPr>
          <w:lang w:val="en-GB"/>
        </w:rPr>
        <w:t>sh</w:t>
      </w:r>
      <w:r w:rsidR="009B4679" w:rsidRPr="003452EC">
        <w:rPr>
          <w:lang w:val="en-GB"/>
        </w:rPr>
        <w:t xml:space="preserve">ows a higher labeling frequency in </w:t>
      </w:r>
      <w:r w:rsidR="009B4679">
        <w:rPr>
          <w:lang w:val="en-GB"/>
        </w:rPr>
        <w:t>16h-MIRB</w:t>
      </w:r>
      <w:r w:rsidR="009B4679" w:rsidRPr="003452EC">
        <w:rPr>
          <w:lang w:val="en-GB"/>
        </w:rPr>
        <w:t xml:space="preserve"> compared to </w:t>
      </w:r>
      <w:r w:rsidR="009B4679">
        <w:rPr>
          <w:lang w:val="en-GB"/>
        </w:rPr>
        <w:t>6h-MIRB</w:t>
      </w:r>
      <w:r w:rsidR="009B4679" w:rsidRPr="003452EC">
        <w:rPr>
          <w:lang w:val="en-GB"/>
        </w:rPr>
        <w:t>.</w:t>
      </w:r>
      <w:r w:rsidR="009B4679" w:rsidRPr="008C4AD3">
        <w:rPr>
          <w:b/>
          <w:bCs/>
          <w:lang w:val="en-GB"/>
        </w:rPr>
        <w:t xml:space="preserve"> E)</w:t>
      </w:r>
      <w:r w:rsidR="009B4679" w:rsidRPr="008C4AD3">
        <w:rPr>
          <w:lang w:val="en-GB"/>
        </w:rPr>
        <w:t xml:space="preserve"> </w:t>
      </w:r>
      <w:r w:rsidR="009B4679" w:rsidRPr="00C8085F">
        <w:rPr>
          <w:lang w:val="en-US"/>
        </w:rPr>
        <w:t>MFI after 3 days of proliferation</w:t>
      </w:r>
      <w:r w:rsidR="009B4679" w:rsidRPr="00711E6B">
        <w:rPr>
          <w:lang w:val="en-GB"/>
        </w:rPr>
        <w:t xml:space="preserve"> of </w:t>
      </w:r>
      <w:r w:rsidR="009B4679">
        <w:rPr>
          <w:lang w:val="en-GB"/>
        </w:rPr>
        <w:t>UL</w:t>
      </w:r>
      <w:r w:rsidR="009B4679" w:rsidRPr="008C4AD3">
        <w:rPr>
          <w:lang w:val="en-GB"/>
        </w:rPr>
        <w:t xml:space="preserve">, </w:t>
      </w:r>
      <w:r w:rsidR="009B4679">
        <w:rPr>
          <w:lang w:val="en-GB"/>
        </w:rPr>
        <w:t>6h-MIRB and 16h-MIRB</w:t>
      </w:r>
      <w:r w:rsidR="009B4679" w:rsidRPr="008C4AD3">
        <w:rPr>
          <w:lang w:val="en-GB"/>
        </w:rPr>
        <w:t xml:space="preserve"> shows a reduction of </w:t>
      </w:r>
      <w:r w:rsidR="009B4679">
        <w:rPr>
          <w:lang w:val="en-GB"/>
        </w:rPr>
        <w:t>MFI</w:t>
      </w:r>
      <w:r w:rsidR="009B4679" w:rsidRPr="008C4AD3">
        <w:rPr>
          <w:lang w:val="en-GB"/>
        </w:rPr>
        <w:t xml:space="preserve"> compared to immediately after </w:t>
      </w:r>
      <w:r w:rsidR="009B4679">
        <w:rPr>
          <w:lang w:val="en-GB"/>
        </w:rPr>
        <w:t>labeling</w:t>
      </w:r>
      <w:r w:rsidR="009B4679" w:rsidRPr="008C4AD3">
        <w:rPr>
          <w:lang w:val="en-GB"/>
        </w:rPr>
        <w:t xml:space="preserve"> in both </w:t>
      </w:r>
      <w:r w:rsidR="009B4679">
        <w:rPr>
          <w:lang w:val="en-GB"/>
        </w:rPr>
        <w:t>labeled</w:t>
      </w:r>
      <w:r w:rsidR="009B4679" w:rsidRPr="008C4AD3">
        <w:rPr>
          <w:lang w:val="en-GB"/>
        </w:rPr>
        <w:t xml:space="preserve"> groups.</w:t>
      </w:r>
      <w:r w:rsidR="009B4679" w:rsidRPr="008C4AD3">
        <w:rPr>
          <w:b/>
          <w:bCs/>
          <w:lang w:val="en-GB"/>
        </w:rPr>
        <w:t xml:space="preserve"> F) </w:t>
      </w:r>
      <w:r w:rsidR="009B4679" w:rsidRPr="00996128">
        <w:rPr>
          <w:lang w:val="en-US"/>
        </w:rPr>
        <w:t xml:space="preserve">19,800 </w:t>
      </w:r>
      <w:r w:rsidR="009B4679">
        <w:rPr>
          <w:lang w:val="en-US"/>
        </w:rPr>
        <w:t xml:space="preserve">MSCs per </w:t>
      </w:r>
      <w:r w:rsidR="009B4679" w:rsidRPr="00996128">
        <w:rPr>
          <w:lang w:val="en-US"/>
        </w:rPr>
        <w:t>well</w:t>
      </w:r>
      <w:r w:rsidR="009B4679">
        <w:rPr>
          <w:lang w:val="en-US"/>
        </w:rPr>
        <w:t xml:space="preserve"> were seeded.</w:t>
      </w:r>
      <w:r w:rsidR="009B4679" w:rsidRPr="00996128">
        <w:rPr>
          <w:lang w:val="en-US"/>
        </w:rPr>
        <w:t xml:space="preserve"> </w:t>
      </w:r>
      <w:r w:rsidR="009B4679" w:rsidRPr="00C8085F">
        <w:rPr>
          <w:lang w:val="en-US"/>
        </w:rPr>
        <w:t xml:space="preserve">Cell count after 3 days of proliferation </w:t>
      </w:r>
      <w:r w:rsidR="009B4679" w:rsidRPr="00711E6B">
        <w:rPr>
          <w:lang w:val="en-US"/>
        </w:rPr>
        <w:t xml:space="preserve">shows a lower number of </w:t>
      </w:r>
      <w:proofErr w:type="gramStart"/>
      <w:r w:rsidR="009B4679" w:rsidRPr="00711E6B">
        <w:rPr>
          <w:lang w:val="en-US"/>
        </w:rPr>
        <w:t>cell</w:t>
      </w:r>
      <w:proofErr w:type="gramEnd"/>
      <w:r w:rsidR="009B4679" w:rsidRPr="00711E6B">
        <w:rPr>
          <w:lang w:val="en-US"/>
        </w:rPr>
        <w:t xml:space="preserve"> </w:t>
      </w:r>
      <w:r w:rsidR="009B4679" w:rsidRPr="008C4AD3">
        <w:rPr>
          <w:lang w:val="en-US"/>
        </w:rPr>
        <w:t xml:space="preserve">doubling in </w:t>
      </w:r>
      <w:r w:rsidR="009B4679">
        <w:rPr>
          <w:lang w:val="en-US"/>
        </w:rPr>
        <w:t xml:space="preserve">16h-MIRB </w:t>
      </w:r>
      <w:r w:rsidR="009B4679" w:rsidRPr="008C4AD3">
        <w:rPr>
          <w:lang w:val="en-US"/>
        </w:rPr>
        <w:t xml:space="preserve">compared to </w:t>
      </w:r>
      <w:r w:rsidR="009B4679">
        <w:rPr>
          <w:lang w:val="en-US"/>
        </w:rPr>
        <w:t>6h-MIRB and UL</w:t>
      </w:r>
      <w:r w:rsidR="009B4679" w:rsidRPr="008C4AD3">
        <w:rPr>
          <w:lang w:val="en-US"/>
        </w:rPr>
        <w:t xml:space="preserve">. </w:t>
      </w:r>
      <w:r w:rsidR="009B4679" w:rsidRPr="008C4AD3">
        <w:rPr>
          <w:b/>
          <w:bCs/>
          <w:lang w:val="en-US"/>
        </w:rPr>
        <w:t>G)</w:t>
      </w:r>
      <w:r w:rsidR="009B4679" w:rsidRPr="008C4AD3">
        <w:rPr>
          <w:lang w:val="en-US"/>
        </w:rPr>
        <w:t xml:space="preserve"> </w:t>
      </w:r>
      <w:r w:rsidR="009B4679" w:rsidRPr="00C8085F">
        <w:rPr>
          <w:lang w:val="en-GB"/>
        </w:rPr>
        <w:t xml:space="preserve">Flow cytometry analysis after 5 days of proliferation </w:t>
      </w:r>
      <w:r w:rsidR="009B4679" w:rsidRPr="00711E6B">
        <w:rPr>
          <w:lang w:val="en-GB"/>
        </w:rPr>
        <w:t xml:space="preserve">shows that </w:t>
      </w:r>
      <w:r w:rsidR="009B4679" w:rsidRPr="008C4AD3">
        <w:rPr>
          <w:lang w:val="en-GB"/>
        </w:rPr>
        <w:t xml:space="preserve">only 8.4% of the </w:t>
      </w:r>
      <w:r w:rsidR="009B4679">
        <w:rPr>
          <w:lang w:val="en-GB"/>
        </w:rPr>
        <w:t xml:space="preserve">6h-MIRB labeled integrin </w:t>
      </w:r>
      <w:r w:rsidR="009B4679" w:rsidRPr="008C4AD3">
        <w:rPr>
          <w:rFonts w:ascii="Cambria Math" w:hAnsi="Cambria Math" w:cs="Cambria Math"/>
          <w:lang w:val="en-GB"/>
        </w:rPr>
        <w:t>⍺</w:t>
      </w:r>
      <w:r w:rsidR="009B4679" w:rsidRPr="008C4AD3">
        <w:rPr>
          <w:lang w:val="en-GB"/>
        </w:rPr>
        <w:t>10-MSCs</w:t>
      </w:r>
      <w:r w:rsidR="009B4679">
        <w:rPr>
          <w:lang w:val="en-GB"/>
        </w:rPr>
        <w:t xml:space="preserve"> </w:t>
      </w:r>
      <w:r w:rsidR="009B4679" w:rsidRPr="008C4AD3">
        <w:rPr>
          <w:lang w:val="en-GB"/>
        </w:rPr>
        <w:t xml:space="preserve">still </w:t>
      </w:r>
      <w:r w:rsidR="009B4679">
        <w:rPr>
          <w:lang w:val="en-GB"/>
        </w:rPr>
        <w:t xml:space="preserve">contain MIRB. </w:t>
      </w:r>
      <w:r w:rsidR="009B4679" w:rsidRPr="008C4AD3">
        <w:rPr>
          <w:b/>
          <w:bCs/>
          <w:lang w:val="en-GB"/>
        </w:rPr>
        <w:t>H)</w:t>
      </w:r>
      <w:r w:rsidR="009B4679" w:rsidRPr="008C4AD3">
        <w:rPr>
          <w:lang w:val="en-GB"/>
        </w:rPr>
        <w:t xml:space="preserve"> </w:t>
      </w:r>
      <w:r w:rsidR="009B4679" w:rsidRPr="00C8085F">
        <w:rPr>
          <w:lang w:val="en-GB"/>
        </w:rPr>
        <w:t xml:space="preserve">MFI of the </w:t>
      </w:r>
      <w:r w:rsidR="009B4679">
        <w:rPr>
          <w:lang w:val="en-GB"/>
        </w:rPr>
        <w:t>6h-MIRB</w:t>
      </w:r>
      <w:r w:rsidR="009B4679" w:rsidRPr="00711E6B">
        <w:rPr>
          <w:lang w:val="en-GB"/>
        </w:rPr>
        <w:t xml:space="preserve"> was 8</w:t>
      </w:r>
      <w:r w:rsidR="009B4679" w:rsidRPr="008C4AD3">
        <w:rPr>
          <w:lang w:val="en-GB"/>
        </w:rPr>
        <w:t xml:space="preserve">41. </w:t>
      </w:r>
      <w:r w:rsidR="009B4679" w:rsidRPr="008C4AD3">
        <w:rPr>
          <w:b/>
          <w:bCs/>
          <w:lang w:val="en-GB"/>
        </w:rPr>
        <w:t xml:space="preserve">I) </w:t>
      </w:r>
      <w:r w:rsidR="009B4679" w:rsidRPr="00996128">
        <w:rPr>
          <w:lang w:val="en-US"/>
        </w:rPr>
        <w:t xml:space="preserve">28,800 </w:t>
      </w:r>
      <w:r w:rsidR="009B4679">
        <w:rPr>
          <w:lang w:val="en-US"/>
        </w:rPr>
        <w:t xml:space="preserve">MSCs per </w:t>
      </w:r>
      <w:r w:rsidR="009B4679" w:rsidRPr="00996128">
        <w:rPr>
          <w:lang w:val="en-US"/>
        </w:rPr>
        <w:t>well</w:t>
      </w:r>
      <w:r w:rsidR="009B4679" w:rsidRPr="00C8085F">
        <w:rPr>
          <w:lang w:val="en-GB"/>
        </w:rPr>
        <w:t xml:space="preserve"> </w:t>
      </w:r>
      <w:r w:rsidR="009B4679">
        <w:rPr>
          <w:lang w:val="en-GB"/>
        </w:rPr>
        <w:t xml:space="preserve">were seeded. </w:t>
      </w:r>
      <w:r w:rsidR="009B4679" w:rsidRPr="00C8085F">
        <w:rPr>
          <w:lang w:val="en-GB"/>
        </w:rPr>
        <w:t>Cell count after 5 days in culture</w:t>
      </w:r>
      <w:r w:rsidR="009B4679" w:rsidRPr="00711E6B">
        <w:rPr>
          <w:lang w:val="en-GB"/>
        </w:rPr>
        <w:t xml:space="preserve"> was higher in</w:t>
      </w:r>
      <w:r w:rsidR="009B4679" w:rsidRPr="008C4AD3">
        <w:rPr>
          <w:lang w:val="en-GB"/>
        </w:rPr>
        <w:t xml:space="preserve"> the </w:t>
      </w:r>
      <w:r w:rsidR="009B4679">
        <w:rPr>
          <w:lang w:val="en-GB"/>
        </w:rPr>
        <w:t xml:space="preserve">UL </w:t>
      </w:r>
      <w:r w:rsidR="009B4679" w:rsidRPr="008C4AD3">
        <w:rPr>
          <w:lang w:val="en-GB"/>
        </w:rPr>
        <w:t>compared to the</w:t>
      </w:r>
      <w:r w:rsidR="009B4679">
        <w:rPr>
          <w:lang w:val="en-GB"/>
        </w:rPr>
        <w:t xml:space="preserve"> 6h-MIRB</w:t>
      </w:r>
      <w:r w:rsidR="009B4679" w:rsidRPr="008C4AD3">
        <w:rPr>
          <w:lang w:val="en-GB"/>
        </w:rPr>
        <w:t>.</w:t>
      </w:r>
      <w:r w:rsidR="009B4679">
        <w:rPr>
          <w:lang w:val="en-GB"/>
        </w:rPr>
        <w:t xml:space="preserve"> Note that the y-axes show different scales.</w:t>
      </w:r>
    </w:p>
    <w:p w14:paraId="671BEA4A" w14:textId="77777777" w:rsidR="009B4679" w:rsidRDefault="009B4679" w:rsidP="00795549">
      <w:pPr>
        <w:spacing w:line="360" w:lineRule="auto"/>
        <w:rPr>
          <w:rFonts w:ascii="Times New Roman" w:hAnsi="Times New Roman" w:cs="Times New Roman"/>
          <w:lang w:val="en-GB"/>
        </w:rPr>
      </w:pPr>
    </w:p>
    <w:p w14:paraId="39CD5CD5" w14:textId="4436F0DD" w:rsidR="00371A22" w:rsidRDefault="00371A22">
      <w:pPr>
        <w:rPr>
          <w:rFonts w:ascii="Times New Roman" w:hAnsi="Times New Roman" w:cs="Times New Roman"/>
          <w:b/>
          <w:bCs/>
          <w:lang w:val="en-GB"/>
        </w:rPr>
      </w:pPr>
      <w:r>
        <w:rPr>
          <w:rFonts w:ascii="Times New Roman" w:hAnsi="Times New Roman" w:cs="Times New Roman"/>
          <w:b/>
          <w:bCs/>
          <w:noProof/>
          <w:lang w:val="en-GB"/>
        </w:rPr>
        <w:lastRenderedPageBreak/>
        <w:drawing>
          <wp:inline distT="0" distB="0" distL="0" distR="0" wp14:anchorId="0A139469" wp14:editId="7619CFC6">
            <wp:extent cx="5842000" cy="5041900"/>
            <wp:effectExtent l="12700" t="12700" r="12700" b="1270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led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42000" cy="5041900"/>
                    </a:xfrm>
                    <a:prstGeom prst="rect">
                      <a:avLst/>
                    </a:prstGeom>
                    <a:ln>
                      <a:solidFill>
                        <a:schemeClr val="tx1"/>
                      </a:solidFill>
                    </a:ln>
                  </pic:spPr>
                </pic:pic>
              </a:graphicData>
            </a:graphic>
          </wp:inline>
        </w:drawing>
      </w:r>
    </w:p>
    <w:p w14:paraId="0AC331CB" w14:textId="77777777" w:rsidR="00371A22" w:rsidRDefault="00371A22">
      <w:pPr>
        <w:rPr>
          <w:rFonts w:ascii="Times New Roman" w:hAnsi="Times New Roman" w:cs="Times New Roman"/>
          <w:b/>
          <w:bCs/>
          <w:lang w:val="en-GB"/>
        </w:rPr>
      </w:pPr>
    </w:p>
    <w:p w14:paraId="166F2B00" w14:textId="24060428" w:rsidR="00371A22" w:rsidRDefault="00371A22" w:rsidP="00371A22">
      <w:pPr>
        <w:pStyle w:val="Ingenafstand"/>
        <w:spacing w:line="480" w:lineRule="auto"/>
        <w:rPr>
          <w:lang w:val="en-US"/>
        </w:rPr>
      </w:pPr>
      <w:r>
        <w:rPr>
          <w:b/>
          <w:bCs/>
          <w:lang w:val="en-GB"/>
        </w:rPr>
        <w:t>Supplementary</w:t>
      </w:r>
      <w:r w:rsidRPr="008C4AD3">
        <w:rPr>
          <w:b/>
          <w:bCs/>
          <w:lang w:val="en-GB"/>
        </w:rPr>
        <w:t xml:space="preserve"> </w:t>
      </w:r>
      <w:r w:rsidRPr="008C4AD3">
        <w:rPr>
          <w:b/>
          <w:bCs/>
          <w:lang w:val="en-US"/>
        </w:rPr>
        <w:t xml:space="preserve">figure </w:t>
      </w:r>
      <w:r>
        <w:rPr>
          <w:b/>
          <w:bCs/>
          <w:lang w:val="en-US"/>
        </w:rPr>
        <w:t>3</w:t>
      </w:r>
      <w:r w:rsidRPr="008C4AD3">
        <w:rPr>
          <w:b/>
          <w:bCs/>
          <w:lang w:val="en-US"/>
        </w:rPr>
        <w:t>: Flow</w:t>
      </w:r>
      <w:r>
        <w:rPr>
          <w:b/>
          <w:bCs/>
          <w:lang w:val="en-US"/>
        </w:rPr>
        <w:t xml:space="preserve"> </w:t>
      </w:r>
      <w:r w:rsidRPr="008C4AD3">
        <w:rPr>
          <w:b/>
          <w:bCs/>
          <w:lang w:val="en-US"/>
        </w:rPr>
        <w:t xml:space="preserve">cytometry </w:t>
      </w:r>
      <w:r>
        <w:rPr>
          <w:b/>
          <w:bCs/>
          <w:lang w:val="en-US"/>
        </w:rPr>
        <w:t>analysis</w:t>
      </w:r>
      <w:r w:rsidRPr="008C4AD3">
        <w:rPr>
          <w:b/>
          <w:bCs/>
          <w:lang w:val="en-US"/>
        </w:rPr>
        <w:t xml:space="preserve"> of </w:t>
      </w:r>
      <w:r>
        <w:rPr>
          <w:b/>
          <w:bCs/>
          <w:lang w:val="en-US"/>
        </w:rPr>
        <w:t xml:space="preserve">stem cell markers on </w:t>
      </w:r>
      <w:r w:rsidRPr="008C4AD3">
        <w:rPr>
          <w:b/>
          <w:bCs/>
          <w:lang w:val="en-US"/>
        </w:rPr>
        <w:t>un</w:t>
      </w:r>
      <w:r>
        <w:rPr>
          <w:b/>
          <w:bCs/>
          <w:lang w:val="en-US"/>
        </w:rPr>
        <w:t>labeled (UL-MSCs)</w:t>
      </w:r>
      <w:r w:rsidRPr="008C4AD3">
        <w:rPr>
          <w:b/>
          <w:bCs/>
          <w:lang w:val="en-US"/>
        </w:rPr>
        <w:t xml:space="preserve"> and 6h</w:t>
      </w:r>
      <w:r>
        <w:rPr>
          <w:b/>
          <w:bCs/>
          <w:lang w:val="en-US"/>
        </w:rPr>
        <w:t>-MIRB-labeled</w:t>
      </w:r>
      <w:r w:rsidRPr="008C4AD3">
        <w:rPr>
          <w:b/>
          <w:bCs/>
          <w:lang w:val="en-US"/>
        </w:rPr>
        <w:t xml:space="preserve"> </w:t>
      </w:r>
      <w:r>
        <w:rPr>
          <w:b/>
          <w:bCs/>
          <w:lang w:val="en-US"/>
        </w:rPr>
        <w:t xml:space="preserve">integrin </w:t>
      </w:r>
      <w:r w:rsidRPr="008C4AD3">
        <w:rPr>
          <w:b/>
          <w:bCs/>
          <w:lang w:val="en-US"/>
        </w:rPr>
        <w:sym w:font="Symbol" w:char="F061"/>
      </w:r>
      <w:r w:rsidRPr="008C4AD3">
        <w:rPr>
          <w:b/>
          <w:bCs/>
          <w:lang w:val="en-US"/>
        </w:rPr>
        <w:t>10-MSCs</w:t>
      </w:r>
      <w:r w:rsidRPr="008C4AD3">
        <w:rPr>
          <w:lang w:val="en-US"/>
        </w:rPr>
        <w:t xml:space="preserve">. </w:t>
      </w:r>
      <w:r>
        <w:rPr>
          <w:lang w:val="en-US"/>
        </w:rPr>
        <w:t>T</w:t>
      </w:r>
      <w:r w:rsidRPr="008C4AD3">
        <w:rPr>
          <w:lang w:val="en-US"/>
        </w:rPr>
        <w:t>he stem cell markers CD73, CD105 and CD90</w:t>
      </w:r>
      <w:r>
        <w:rPr>
          <w:lang w:val="en-US"/>
        </w:rPr>
        <w:t xml:space="preserve"> were detected on m</w:t>
      </w:r>
      <w:r w:rsidRPr="008C4AD3">
        <w:rPr>
          <w:lang w:val="en-US"/>
        </w:rPr>
        <w:t xml:space="preserve">ore than 99% </w:t>
      </w:r>
      <w:r>
        <w:rPr>
          <w:lang w:val="en-US"/>
        </w:rPr>
        <w:t>of both</w:t>
      </w:r>
      <w:r w:rsidRPr="008C4AD3">
        <w:rPr>
          <w:lang w:val="en-US"/>
        </w:rPr>
        <w:t xml:space="preserve"> </w:t>
      </w:r>
      <w:r>
        <w:rPr>
          <w:lang w:val="en-US"/>
        </w:rPr>
        <w:t xml:space="preserve">MIRB-labeled integrin </w:t>
      </w:r>
      <w:r w:rsidRPr="008C4AD3">
        <w:rPr>
          <w:lang w:val="en-US"/>
        </w:rPr>
        <w:sym w:font="Symbol" w:char="F061"/>
      </w:r>
      <w:r w:rsidRPr="008C4AD3">
        <w:rPr>
          <w:lang w:val="en-US"/>
        </w:rPr>
        <w:t xml:space="preserve">10-MSCs </w:t>
      </w:r>
      <w:r>
        <w:rPr>
          <w:lang w:val="en-US"/>
        </w:rPr>
        <w:t>and UL-MSCs.</w:t>
      </w:r>
    </w:p>
    <w:p w14:paraId="7C7EC443" w14:textId="2CD31B5C" w:rsidR="009B4679" w:rsidRDefault="009B4679">
      <w:pPr>
        <w:rPr>
          <w:rFonts w:ascii="Times New Roman" w:hAnsi="Times New Roman" w:cs="Times New Roman"/>
          <w:b/>
          <w:bCs/>
          <w:lang w:val="en-GB"/>
        </w:rPr>
      </w:pPr>
      <w:r>
        <w:rPr>
          <w:rFonts w:ascii="Times New Roman" w:hAnsi="Times New Roman" w:cs="Times New Roman"/>
          <w:b/>
          <w:bCs/>
          <w:lang w:val="en-GB"/>
        </w:rPr>
        <w:br w:type="page"/>
      </w:r>
    </w:p>
    <w:p w14:paraId="137E1DC2" w14:textId="4FFB732F" w:rsidR="00E02D61" w:rsidRPr="00E02D61" w:rsidRDefault="00E02D61" w:rsidP="00795549">
      <w:pPr>
        <w:spacing w:line="360" w:lineRule="auto"/>
        <w:rPr>
          <w:rFonts w:ascii="Times New Roman" w:hAnsi="Times New Roman" w:cs="Times New Roman"/>
          <w:b/>
          <w:bCs/>
          <w:lang w:val="en-GB"/>
        </w:rPr>
      </w:pPr>
      <w:r w:rsidRPr="00E02D61">
        <w:rPr>
          <w:rFonts w:ascii="Times New Roman" w:hAnsi="Times New Roman" w:cs="Times New Roman"/>
          <w:b/>
          <w:bCs/>
          <w:lang w:val="en-GB"/>
        </w:rPr>
        <w:lastRenderedPageBreak/>
        <w:t>References</w:t>
      </w:r>
    </w:p>
    <w:p w14:paraId="043249F5" w14:textId="20E3F51C" w:rsidR="00795549" w:rsidRPr="00B055A5" w:rsidRDefault="00E02D61"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b/>
          <w:bCs/>
          <w:sz w:val="22"/>
          <w:szCs w:val="22"/>
          <w:lang w:val="en-US"/>
        </w:rPr>
        <w:fldChar w:fldCharType="begin" w:fldLock="1"/>
      </w:r>
      <w:r w:rsidRPr="00B055A5">
        <w:rPr>
          <w:rFonts w:ascii="Times New Roman" w:hAnsi="Times New Roman" w:cs="Times New Roman"/>
          <w:b/>
          <w:bCs/>
          <w:sz w:val="22"/>
          <w:szCs w:val="22"/>
          <w:lang w:val="en-US"/>
        </w:rPr>
        <w:instrText xml:space="preserve">ADDIN Mendeley Bibliography CSL_BIBLIOGRAPHY </w:instrText>
      </w:r>
      <w:r w:rsidRPr="00B055A5">
        <w:rPr>
          <w:rFonts w:ascii="Times New Roman" w:hAnsi="Times New Roman" w:cs="Times New Roman"/>
          <w:b/>
          <w:bCs/>
          <w:sz w:val="22"/>
          <w:szCs w:val="22"/>
          <w:lang w:val="en-US"/>
        </w:rPr>
        <w:fldChar w:fldCharType="separate"/>
      </w:r>
      <w:r w:rsidR="00795549" w:rsidRPr="00B055A5">
        <w:rPr>
          <w:rFonts w:ascii="Times New Roman" w:hAnsi="Times New Roman" w:cs="Times New Roman"/>
          <w:noProof/>
          <w:sz w:val="22"/>
          <w:szCs w:val="22"/>
          <w:lang w:val="en-US"/>
        </w:rPr>
        <w:t xml:space="preserve">1. </w:t>
      </w:r>
      <w:r w:rsidR="00795549" w:rsidRPr="00B055A5">
        <w:rPr>
          <w:rFonts w:ascii="Times New Roman" w:hAnsi="Times New Roman" w:cs="Times New Roman"/>
          <w:noProof/>
          <w:sz w:val="22"/>
          <w:szCs w:val="22"/>
          <w:lang w:val="en-US"/>
        </w:rPr>
        <w:tab/>
        <w:t xml:space="preserve">Feng C, Luo X, He N, Xia H, Lv X, Zhang X, et al. Efficacy and Persistence of Allogeneic Adipose-Derived Mesenchymal Stem Cells Combined with Hyaluronic Acid in Osteoarthritis After Intra-articular Injection in a Sheep Model. Tissue Eng Part A. 2018;24(3–4):219–33. </w:t>
      </w:r>
    </w:p>
    <w:p w14:paraId="184BFE9E"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2. </w:t>
      </w:r>
      <w:r w:rsidRPr="00B055A5">
        <w:rPr>
          <w:rFonts w:ascii="Times New Roman" w:hAnsi="Times New Roman" w:cs="Times New Roman"/>
          <w:noProof/>
          <w:sz w:val="22"/>
          <w:szCs w:val="22"/>
          <w:lang w:val="en-US"/>
        </w:rPr>
        <w:tab/>
        <w:t xml:space="preserve">Delling U, Brehm W, Metzger M, Ludewig E, Winter K, Julke H. In vivo tracking and fate of intra-articularly injected superparamagnetic iron oxide particle-labeled multipotent stromal cells in an ovine model of osteoarthritis. Cell Transplant. 2015;24(11):2379–90. </w:t>
      </w:r>
    </w:p>
    <w:p w14:paraId="3673B93C"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3. </w:t>
      </w:r>
      <w:r w:rsidRPr="00B055A5">
        <w:rPr>
          <w:rFonts w:ascii="Times New Roman" w:hAnsi="Times New Roman" w:cs="Times New Roman"/>
          <w:noProof/>
          <w:sz w:val="22"/>
          <w:szCs w:val="22"/>
          <w:lang w:val="en-US"/>
        </w:rPr>
        <w:tab/>
        <w:t xml:space="preserve">Scharf A, Holmes SP, Thoresen M, Mumaw J, Stumpf A, Peroni J. MRI-Based Assessment of Intralesional Delivery of Bone Marrow-Derived Mesenchymal Stem Cells in a Model of Equine Tendonitis. Stem Cells Int. 2016;2016:1–13. </w:t>
      </w:r>
    </w:p>
    <w:p w14:paraId="1095F15D"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4. </w:t>
      </w:r>
      <w:r w:rsidRPr="00B055A5">
        <w:rPr>
          <w:rFonts w:ascii="Times New Roman" w:hAnsi="Times New Roman" w:cs="Times New Roman"/>
          <w:noProof/>
          <w:sz w:val="22"/>
          <w:szCs w:val="22"/>
          <w:lang w:val="en-US"/>
        </w:rPr>
        <w:tab/>
        <w:t xml:space="preserve">Jülke H, Veit C, Ribitsch I, Brehm W, Ludewig E, Delling U. Comparative Labeling of Equine and Ovine Multipotent Stromal Cells with Superparamagnetic Iron Oxide Particles for Magnetic Resonance Imaging in Vitro. Cell Transplant. 2013;24(6):1111–25. </w:t>
      </w:r>
    </w:p>
    <w:p w14:paraId="635949F6"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5. </w:t>
      </w:r>
      <w:r w:rsidRPr="00B055A5">
        <w:rPr>
          <w:rFonts w:ascii="Times New Roman" w:hAnsi="Times New Roman" w:cs="Times New Roman"/>
          <w:noProof/>
          <w:sz w:val="22"/>
          <w:szCs w:val="22"/>
          <w:lang w:val="en-US"/>
        </w:rPr>
        <w:tab/>
        <w:t xml:space="preserve">Lv X, He J, Zhang X, Luo X, He N, Sun Z, et al. Comparative Efficacy of Autologous Stromal Vascular Fraction and Autologous Adipose-Derived Mesenchymal Stem Cells Combined With Hyaluronic Acid for the Treatment of Sheep Osteoarthritis. Cell Transplant. 2018;27(7):1111–25. </w:t>
      </w:r>
    </w:p>
    <w:p w14:paraId="73773FA6"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6. </w:t>
      </w:r>
      <w:r w:rsidRPr="00B055A5">
        <w:rPr>
          <w:rFonts w:ascii="Times New Roman" w:hAnsi="Times New Roman" w:cs="Times New Roman"/>
          <w:noProof/>
          <w:sz w:val="22"/>
          <w:szCs w:val="22"/>
          <w:lang w:val="en-US"/>
        </w:rPr>
        <w:tab/>
        <w:t>Korchinski DJ, Taha M, Yang R, Nathoo N, Dunn JF. Iron Oxide as an Mri Contrast Agent for Cell Tracking: Supplementary Issue. Magn Reson Insights [Internet]. 2015;8s1:MRI.S23557. Available from: http://journals.sagepub.com/doi/10.4137/MRI.S23557</w:t>
      </w:r>
    </w:p>
    <w:p w14:paraId="40D1C8FA"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7. </w:t>
      </w:r>
      <w:r w:rsidRPr="00B055A5">
        <w:rPr>
          <w:rFonts w:ascii="Times New Roman" w:hAnsi="Times New Roman" w:cs="Times New Roman"/>
          <w:noProof/>
          <w:sz w:val="22"/>
          <w:szCs w:val="22"/>
          <w:lang w:val="en-US"/>
        </w:rPr>
        <w:tab/>
        <w:t xml:space="preserve">Janowski M, Walczak P, Kropiwnicki T, Jurkiewicz E, Domanska-Janik K, Bulte JWM, et al. Long-term MRI cell tracking after intraventricular delivery in a patient with global cerebral ischemia and prospects for magnetic navigation of stem cells within the CSF. PLoS One. 2014;9(6). </w:t>
      </w:r>
    </w:p>
    <w:p w14:paraId="4B17FA75"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8. </w:t>
      </w:r>
      <w:r w:rsidRPr="00B055A5">
        <w:rPr>
          <w:rFonts w:ascii="Times New Roman" w:hAnsi="Times New Roman" w:cs="Times New Roman"/>
          <w:noProof/>
          <w:sz w:val="22"/>
          <w:szCs w:val="22"/>
          <w:lang w:val="en-US"/>
        </w:rPr>
        <w:tab/>
        <w:t xml:space="preserve">Burk J, Berner D, Brehm W, Hillmann A, Horstmeier C, Josten C, et al. Long-Term Cell Tracking following Local Injection of Mesenchymal Stromal Cells in the Equine Model of Induced Tendon Disease. Cell Transplant. 2016;25(12):2199–211. </w:t>
      </w:r>
    </w:p>
    <w:p w14:paraId="71F039F6"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lang w:val="en-US"/>
        </w:rPr>
      </w:pPr>
      <w:r w:rsidRPr="00B055A5">
        <w:rPr>
          <w:rFonts w:ascii="Times New Roman" w:hAnsi="Times New Roman" w:cs="Times New Roman"/>
          <w:noProof/>
          <w:sz w:val="22"/>
          <w:szCs w:val="22"/>
          <w:lang w:val="en-US"/>
        </w:rPr>
        <w:t xml:space="preserve">9. </w:t>
      </w:r>
      <w:r w:rsidRPr="00B055A5">
        <w:rPr>
          <w:rFonts w:ascii="Times New Roman" w:hAnsi="Times New Roman" w:cs="Times New Roman"/>
          <w:noProof/>
          <w:sz w:val="22"/>
          <w:szCs w:val="22"/>
          <w:lang w:val="en-US"/>
        </w:rPr>
        <w:tab/>
        <w:t xml:space="preserve">Mcfadden C, Mallett CL, Foster PJ. Labeling of multiple cell lines using a new iron oxide agent for cell tracking by MRI. Contrast Media Mol Imaging. 2011;6(6):514–22. </w:t>
      </w:r>
    </w:p>
    <w:p w14:paraId="27EC7BF1"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rPr>
      </w:pPr>
      <w:r w:rsidRPr="00B055A5">
        <w:rPr>
          <w:rFonts w:ascii="Times New Roman" w:hAnsi="Times New Roman" w:cs="Times New Roman"/>
          <w:noProof/>
          <w:sz w:val="22"/>
          <w:szCs w:val="22"/>
          <w:lang w:val="en-US"/>
        </w:rPr>
        <w:t xml:space="preserve">10. </w:t>
      </w:r>
      <w:r w:rsidRPr="00B055A5">
        <w:rPr>
          <w:rFonts w:ascii="Times New Roman" w:hAnsi="Times New Roman" w:cs="Times New Roman"/>
          <w:noProof/>
          <w:sz w:val="22"/>
          <w:szCs w:val="22"/>
          <w:lang w:val="en-US"/>
        </w:rPr>
        <w:tab/>
        <w:t xml:space="preserve">Horwitz EM, Le Blanc K, Dominici M, Mueller I, Slaper-Cortenbach I, Marini FC, et al. Clarification of the nomenclature for MSC: The International Society for Cellular Therapy position statement. </w:t>
      </w:r>
      <w:r w:rsidRPr="00B055A5">
        <w:rPr>
          <w:rFonts w:ascii="Times New Roman" w:hAnsi="Times New Roman" w:cs="Times New Roman"/>
          <w:noProof/>
          <w:sz w:val="22"/>
          <w:szCs w:val="22"/>
        </w:rPr>
        <w:t xml:space="preserve">Cytotherapy. 2005;7(5):393–5. </w:t>
      </w:r>
    </w:p>
    <w:p w14:paraId="365BA3D8" w14:textId="77777777" w:rsidR="00795549" w:rsidRPr="00B055A5" w:rsidRDefault="00795549" w:rsidP="00795549">
      <w:pPr>
        <w:widowControl w:val="0"/>
        <w:autoSpaceDE w:val="0"/>
        <w:autoSpaceDN w:val="0"/>
        <w:adjustRightInd w:val="0"/>
        <w:spacing w:line="360" w:lineRule="auto"/>
        <w:ind w:left="640" w:hanging="640"/>
        <w:rPr>
          <w:rFonts w:ascii="Times New Roman" w:hAnsi="Times New Roman" w:cs="Times New Roman"/>
          <w:noProof/>
          <w:sz w:val="22"/>
          <w:szCs w:val="22"/>
        </w:rPr>
      </w:pPr>
      <w:r w:rsidRPr="00B055A5">
        <w:rPr>
          <w:rFonts w:ascii="Times New Roman" w:hAnsi="Times New Roman" w:cs="Times New Roman"/>
          <w:noProof/>
          <w:sz w:val="22"/>
          <w:szCs w:val="22"/>
        </w:rPr>
        <w:t xml:space="preserve">11. </w:t>
      </w:r>
      <w:r w:rsidRPr="00B055A5">
        <w:rPr>
          <w:rFonts w:ascii="Times New Roman" w:hAnsi="Times New Roman" w:cs="Times New Roman"/>
          <w:noProof/>
          <w:sz w:val="22"/>
          <w:szCs w:val="22"/>
        </w:rPr>
        <w:tab/>
        <w:t xml:space="preserve">Dominici M, Le Blanc K, Mueller I, Slaper-Cortenbach I, Marini FC, Krause DS, et al. </w:t>
      </w:r>
      <w:r w:rsidRPr="00B055A5">
        <w:rPr>
          <w:rFonts w:ascii="Times New Roman" w:hAnsi="Times New Roman" w:cs="Times New Roman"/>
          <w:noProof/>
          <w:sz w:val="22"/>
          <w:szCs w:val="22"/>
          <w:lang w:val="en-US"/>
        </w:rPr>
        <w:t xml:space="preserve">Minimal criteria for defining multipotent mesenchymal stromal cells. The International Society for Cellular Therapy position statement. </w:t>
      </w:r>
      <w:r w:rsidRPr="00B055A5">
        <w:rPr>
          <w:rFonts w:ascii="Times New Roman" w:hAnsi="Times New Roman" w:cs="Times New Roman"/>
          <w:noProof/>
          <w:sz w:val="22"/>
          <w:szCs w:val="22"/>
        </w:rPr>
        <w:t xml:space="preserve">Cytotherapy. 2006;8(4):315–7. </w:t>
      </w:r>
    </w:p>
    <w:p w14:paraId="3B56FDCD" w14:textId="74A96065" w:rsidR="00E02D61" w:rsidRPr="00B055A5" w:rsidRDefault="00E02D61" w:rsidP="00795549">
      <w:pPr>
        <w:widowControl w:val="0"/>
        <w:autoSpaceDE w:val="0"/>
        <w:autoSpaceDN w:val="0"/>
        <w:adjustRightInd w:val="0"/>
        <w:spacing w:line="360" w:lineRule="auto"/>
        <w:ind w:left="640" w:hanging="640"/>
        <w:rPr>
          <w:rFonts w:ascii="Times New Roman" w:hAnsi="Times New Roman" w:cs="Times New Roman"/>
          <w:b/>
          <w:bCs/>
          <w:sz w:val="22"/>
          <w:szCs w:val="22"/>
          <w:lang w:val="en-US"/>
        </w:rPr>
      </w:pPr>
      <w:r w:rsidRPr="00B055A5">
        <w:rPr>
          <w:rFonts w:ascii="Times New Roman" w:hAnsi="Times New Roman" w:cs="Times New Roman"/>
          <w:b/>
          <w:bCs/>
          <w:sz w:val="22"/>
          <w:szCs w:val="22"/>
          <w:lang w:val="en-US"/>
        </w:rPr>
        <w:fldChar w:fldCharType="end"/>
      </w:r>
    </w:p>
    <w:p w14:paraId="71A19929" w14:textId="4E014096" w:rsidR="00167820" w:rsidRPr="00B055A5" w:rsidRDefault="00167820" w:rsidP="00795549">
      <w:pPr>
        <w:spacing w:line="360" w:lineRule="auto"/>
        <w:rPr>
          <w:rFonts w:ascii="Times New Roman" w:hAnsi="Times New Roman" w:cs="Times New Roman"/>
          <w:sz w:val="22"/>
          <w:szCs w:val="22"/>
          <w:lang w:val="en-US"/>
        </w:rPr>
      </w:pPr>
    </w:p>
    <w:sectPr w:rsidR="00167820" w:rsidRPr="00B055A5" w:rsidSect="00970816">
      <w:footerReference w:type="even" r:id="rId10"/>
      <w:footerReference w:type="default" r:id="rId11"/>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96CFC" w14:textId="77777777" w:rsidR="00F962B7" w:rsidRDefault="00F962B7" w:rsidP="00795549">
      <w:r>
        <w:separator/>
      </w:r>
    </w:p>
  </w:endnote>
  <w:endnote w:type="continuationSeparator" w:id="0">
    <w:p w14:paraId="15C1B846" w14:textId="77777777" w:rsidR="00F962B7" w:rsidRDefault="00F962B7" w:rsidP="007955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1519224658"/>
      <w:docPartObj>
        <w:docPartGallery w:val="Page Numbers (Bottom of Page)"/>
        <w:docPartUnique/>
      </w:docPartObj>
    </w:sdtPr>
    <w:sdtEndPr>
      <w:rPr>
        <w:rStyle w:val="Sidetal"/>
      </w:rPr>
    </w:sdtEndPr>
    <w:sdtContent>
      <w:p w14:paraId="6919AAC4" w14:textId="0C529D5C" w:rsidR="00795549" w:rsidRDefault="00795549" w:rsidP="00D97CD7">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end"/>
        </w:r>
      </w:p>
    </w:sdtContent>
  </w:sdt>
  <w:p w14:paraId="736AF3D8" w14:textId="77777777" w:rsidR="00795549" w:rsidRDefault="00795549" w:rsidP="00795549">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1487584415"/>
      <w:docPartObj>
        <w:docPartGallery w:val="Page Numbers (Bottom of Page)"/>
        <w:docPartUnique/>
      </w:docPartObj>
    </w:sdtPr>
    <w:sdtEndPr>
      <w:rPr>
        <w:rStyle w:val="Sidetal"/>
      </w:rPr>
    </w:sdtEndPr>
    <w:sdtContent>
      <w:p w14:paraId="0AE46C5B" w14:textId="7FA9E3BA" w:rsidR="00795549" w:rsidRDefault="00795549" w:rsidP="00D97CD7">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separate"/>
        </w:r>
        <w:r>
          <w:rPr>
            <w:rStyle w:val="Sidetal"/>
            <w:noProof/>
          </w:rPr>
          <w:t>1</w:t>
        </w:r>
        <w:r>
          <w:rPr>
            <w:rStyle w:val="Sidetal"/>
          </w:rPr>
          <w:fldChar w:fldCharType="end"/>
        </w:r>
      </w:p>
    </w:sdtContent>
  </w:sdt>
  <w:p w14:paraId="431800D3" w14:textId="77777777" w:rsidR="00795549" w:rsidRDefault="00795549" w:rsidP="00795549">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7F896" w14:textId="77777777" w:rsidR="00F962B7" w:rsidRDefault="00F962B7" w:rsidP="00795549">
      <w:r>
        <w:separator/>
      </w:r>
    </w:p>
  </w:footnote>
  <w:footnote w:type="continuationSeparator" w:id="0">
    <w:p w14:paraId="0021577D" w14:textId="77777777" w:rsidR="00F962B7" w:rsidRDefault="00F962B7" w:rsidP="007955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A570E"/>
    <w:multiLevelType w:val="hybridMultilevel"/>
    <w:tmpl w:val="CDE0C480"/>
    <w:lvl w:ilvl="0" w:tplc="5C5EF98A">
      <w:start w:val="8"/>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77606DAB"/>
    <w:multiLevelType w:val="hybridMultilevel"/>
    <w:tmpl w:val="7D908558"/>
    <w:lvl w:ilvl="0" w:tplc="75BE6E3C">
      <w:start w:val="7"/>
      <w:numFmt w:val="bullet"/>
      <w:lvlText w:val="-"/>
      <w:lvlJc w:val="left"/>
      <w:pPr>
        <w:ind w:left="720" w:hanging="360"/>
      </w:pPr>
      <w:rPr>
        <w:rFonts w:ascii="Calibri" w:eastAsiaTheme="minorHAnsi" w:hAnsi="Calibri" w:cs="Calibri" w:hint="default"/>
        <w:b w:val="0"/>
        <w:sz w:val="24"/>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A02"/>
    <w:rsid w:val="0008302D"/>
    <w:rsid w:val="00102ECC"/>
    <w:rsid w:val="00167820"/>
    <w:rsid w:val="00180600"/>
    <w:rsid w:val="00190A8A"/>
    <w:rsid w:val="001926AD"/>
    <w:rsid w:val="001A201F"/>
    <w:rsid w:val="001A75B3"/>
    <w:rsid w:val="001E6282"/>
    <w:rsid w:val="0020025C"/>
    <w:rsid w:val="00224166"/>
    <w:rsid w:val="002356C8"/>
    <w:rsid w:val="002F5773"/>
    <w:rsid w:val="0030568E"/>
    <w:rsid w:val="00314D3B"/>
    <w:rsid w:val="003177E8"/>
    <w:rsid w:val="003227B0"/>
    <w:rsid w:val="003570DA"/>
    <w:rsid w:val="00371A22"/>
    <w:rsid w:val="00373332"/>
    <w:rsid w:val="003A573D"/>
    <w:rsid w:val="003C3606"/>
    <w:rsid w:val="004553D8"/>
    <w:rsid w:val="00455EA7"/>
    <w:rsid w:val="0045696D"/>
    <w:rsid w:val="004F1D6D"/>
    <w:rsid w:val="00502EF9"/>
    <w:rsid w:val="00514B74"/>
    <w:rsid w:val="00543683"/>
    <w:rsid w:val="00587BDF"/>
    <w:rsid w:val="005A3EAF"/>
    <w:rsid w:val="005D08ED"/>
    <w:rsid w:val="00652E8F"/>
    <w:rsid w:val="006F5C71"/>
    <w:rsid w:val="0070643A"/>
    <w:rsid w:val="0073234B"/>
    <w:rsid w:val="00763629"/>
    <w:rsid w:val="00795549"/>
    <w:rsid w:val="007B4D47"/>
    <w:rsid w:val="007C6AF5"/>
    <w:rsid w:val="007D56FE"/>
    <w:rsid w:val="00800FC9"/>
    <w:rsid w:val="0081649B"/>
    <w:rsid w:val="00840713"/>
    <w:rsid w:val="00841AFE"/>
    <w:rsid w:val="00910F07"/>
    <w:rsid w:val="00952A5A"/>
    <w:rsid w:val="00970816"/>
    <w:rsid w:val="00996128"/>
    <w:rsid w:val="009B4679"/>
    <w:rsid w:val="009C4797"/>
    <w:rsid w:val="00A10438"/>
    <w:rsid w:val="00A3304D"/>
    <w:rsid w:val="00A351C1"/>
    <w:rsid w:val="00A760DB"/>
    <w:rsid w:val="00AB0069"/>
    <w:rsid w:val="00AD41D7"/>
    <w:rsid w:val="00B01A02"/>
    <w:rsid w:val="00B055A5"/>
    <w:rsid w:val="00B07F4D"/>
    <w:rsid w:val="00B1516C"/>
    <w:rsid w:val="00B726BB"/>
    <w:rsid w:val="00C05651"/>
    <w:rsid w:val="00C07ECC"/>
    <w:rsid w:val="00D12349"/>
    <w:rsid w:val="00D169E6"/>
    <w:rsid w:val="00D21FE2"/>
    <w:rsid w:val="00D458B9"/>
    <w:rsid w:val="00D645C9"/>
    <w:rsid w:val="00D6605E"/>
    <w:rsid w:val="00D90864"/>
    <w:rsid w:val="00DD12D2"/>
    <w:rsid w:val="00DF14CA"/>
    <w:rsid w:val="00E02D61"/>
    <w:rsid w:val="00E664C7"/>
    <w:rsid w:val="00E66D0A"/>
    <w:rsid w:val="00EE23C8"/>
    <w:rsid w:val="00EF0CA1"/>
    <w:rsid w:val="00EF160A"/>
    <w:rsid w:val="00F304DC"/>
    <w:rsid w:val="00F5710F"/>
    <w:rsid w:val="00F74ABF"/>
    <w:rsid w:val="00F77C3A"/>
    <w:rsid w:val="00F87454"/>
    <w:rsid w:val="00F91E8C"/>
    <w:rsid w:val="00F92A21"/>
    <w:rsid w:val="00F962B7"/>
    <w:rsid w:val="00FA6C66"/>
    <w:rsid w:val="00FC1D6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A9800"/>
  <w15:chartTrackingRefBased/>
  <w15:docId w15:val="{3BD6B706-8400-2B49-9B63-A53B9224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link w:val="TitelTegn"/>
    <w:uiPriority w:val="10"/>
    <w:qFormat/>
    <w:rsid w:val="00B01A02"/>
    <w:pPr>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B01A02"/>
    <w:rPr>
      <w:rFonts w:asciiTheme="majorHAnsi" w:eastAsiaTheme="majorEastAsia" w:hAnsiTheme="majorHAnsi" w:cstheme="majorBidi"/>
      <w:spacing w:val="-10"/>
      <w:kern w:val="28"/>
      <w:sz w:val="56"/>
      <w:szCs w:val="56"/>
    </w:rPr>
  </w:style>
  <w:style w:type="character" w:styleId="Kommentarhenvisning">
    <w:name w:val="annotation reference"/>
    <w:basedOn w:val="Standardskrifttypeiafsnit"/>
    <w:uiPriority w:val="99"/>
    <w:semiHidden/>
    <w:unhideWhenUsed/>
    <w:rsid w:val="004553D8"/>
    <w:rPr>
      <w:sz w:val="16"/>
      <w:szCs w:val="16"/>
    </w:rPr>
  </w:style>
  <w:style w:type="paragraph" w:styleId="Kommentartekst">
    <w:name w:val="annotation text"/>
    <w:basedOn w:val="Normal"/>
    <w:link w:val="KommentartekstTegn"/>
    <w:uiPriority w:val="99"/>
    <w:semiHidden/>
    <w:unhideWhenUsed/>
    <w:rsid w:val="004553D8"/>
    <w:rPr>
      <w:rFonts w:ascii="Times New Roman" w:eastAsia="Times New Roman" w:hAnsi="Times New Roman" w:cs="Times New Roman"/>
      <w:sz w:val="20"/>
      <w:szCs w:val="20"/>
      <w:lang w:eastAsia="da-DK"/>
    </w:rPr>
  </w:style>
  <w:style w:type="character" w:customStyle="1" w:styleId="KommentartekstTegn">
    <w:name w:val="Kommentartekst Tegn"/>
    <w:basedOn w:val="Standardskrifttypeiafsnit"/>
    <w:link w:val="Kommentartekst"/>
    <w:uiPriority w:val="99"/>
    <w:semiHidden/>
    <w:rsid w:val="004553D8"/>
    <w:rPr>
      <w:rFonts w:ascii="Times New Roman" w:eastAsia="Times New Roman" w:hAnsi="Times New Roman" w:cs="Times New Roman"/>
      <w:sz w:val="20"/>
      <w:szCs w:val="20"/>
      <w:lang w:eastAsia="da-DK"/>
    </w:rPr>
  </w:style>
  <w:style w:type="paragraph" w:customStyle="1" w:styleId="Default">
    <w:name w:val="Default"/>
    <w:rsid w:val="004553D8"/>
    <w:pPr>
      <w:autoSpaceDE w:val="0"/>
      <w:autoSpaceDN w:val="0"/>
      <w:adjustRightInd w:val="0"/>
    </w:pPr>
    <w:rPr>
      <w:rFonts w:ascii="Times New Roman" w:hAnsi="Times New Roman" w:cs="Times New Roman"/>
      <w:color w:val="000000"/>
    </w:rPr>
  </w:style>
  <w:style w:type="paragraph" w:styleId="Listeafsnit">
    <w:name w:val="List Paragraph"/>
    <w:basedOn w:val="Normal"/>
    <w:uiPriority w:val="34"/>
    <w:qFormat/>
    <w:rsid w:val="00A3304D"/>
    <w:pPr>
      <w:ind w:left="720"/>
      <w:contextualSpacing/>
    </w:pPr>
  </w:style>
  <w:style w:type="paragraph" w:styleId="Ingenafstand">
    <w:name w:val="No Spacing"/>
    <w:uiPriority w:val="1"/>
    <w:qFormat/>
    <w:rsid w:val="00167820"/>
    <w:rPr>
      <w:rFonts w:ascii="Times New Roman" w:eastAsia="Times New Roman" w:hAnsi="Times New Roman" w:cs="Times New Roman"/>
      <w:lang w:eastAsia="da-DK"/>
    </w:rPr>
  </w:style>
  <w:style w:type="character" w:styleId="Linjenummer">
    <w:name w:val="line number"/>
    <w:basedOn w:val="Standardskrifttypeiafsnit"/>
    <w:uiPriority w:val="99"/>
    <w:semiHidden/>
    <w:unhideWhenUsed/>
    <w:rsid w:val="00F304DC"/>
  </w:style>
  <w:style w:type="paragraph" w:styleId="Sidefod">
    <w:name w:val="footer"/>
    <w:basedOn w:val="Normal"/>
    <w:link w:val="SidefodTegn"/>
    <w:uiPriority w:val="99"/>
    <w:unhideWhenUsed/>
    <w:rsid w:val="00795549"/>
    <w:pPr>
      <w:tabs>
        <w:tab w:val="center" w:pos="4819"/>
        <w:tab w:val="right" w:pos="9638"/>
      </w:tabs>
    </w:pPr>
  </w:style>
  <w:style w:type="character" w:customStyle="1" w:styleId="SidefodTegn">
    <w:name w:val="Sidefod Tegn"/>
    <w:basedOn w:val="Standardskrifttypeiafsnit"/>
    <w:link w:val="Sidefod"/>
    <w:uiPriority w:val="99"/>
    <w:rsid w:val="00795549"/>
  </w:style>
  <w:style w:type="character" w:styleId="Sidetal">
    <w:name w:val="page number"/>
    <w:basedOn w:val="Standardskrifttypeiafsnit"/>
    <w:uiPriority w:val="99"/>
    <w:semiHidden/>
    <w:unhideWhenUsed/>
    <w:rsid w:val="00795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Sorteret efter titel" Version="2003"/>
</file>

<file path=customXml/itemProps1.xml><?xml version="1.0" encoding="utf-8"?>
<ds:datastoreItem xmlns:ds="http://schemas.openxmlformats.org/officeDocument/2006/customXml" ds:itemID="{C7192E2E-211E-BD44-8B10-551614ACE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7199</Words>
  <Characters>36500</Characters>
  <Application>Microsoft Office Word</Application>
  <DocSecurity>0</DocSecurity>
  <Lines>663</Lines>
  <Paragraphs>251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Andersen</dc:creator>
  <cp:keywords/>
  <dc:description/>
  <cp:lastModifiedBy>Camilla Andersen</cp:lastModifiedBy>
  <cp:revision>5</cp:revision>
  <dcterms:created xsi:type="dcterms:W3CDTF">2022-02-07T16:10:00Z</dcterms:created>
  <dcterms:modified xsi:type="dcterms:W3CDTF">2022-03-09T07:00:00Z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http://www.zotero.org/styles/vancouver</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http://www.zotero.org/styles/modern-humanities-research-association</vt:lpwstr>
  </property>
  <property fmtid="{D5CDD505-2E9C-101B-9397-08002B2CF9AE}" pid="16" name="Mendeley Recent Style Name 6_1">
    <vt:lpwstr>Modern Humanities Research Association 3rd edition (note with bibliography)</vt:lpwstr>
  </property>
  <property fmtid="{D5CDD505-2E9C-101B-9397-08002B2CF9AE}" pid="17" name="Mendeley Recent Style Id 7_1">
    <vt:lpwstr>http://www.zotero.org/styles/modern-language-association</vt:lpwstr>
  </property>
  <property fmtid="{D5CDD505-2E9C-101B-9397-08002B2CF9AE}" pid="18" name="Mendeley Recent Style Name 7_1">
    <vt:lpwstr>Modern Language Association 8th edition</vt:lpwstr>
  </property>
  <property fmtid="{D5CDD505-2E9C-101B-9397-08002B2CF9AE}" pid="19" name="Mendeley Recent Style Id 8_1">
    <vt:lpwstr>http://www.zotero.org/styles/nature</vt:lpwstr>
  </property>
  <property fmtid="{D5CDD505-2E9C-101B-9397-08002B2CF9AE}" pid="20" name="Mendeley Recent Style Name 8_1">
    <vt:lpwstr>Nature</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Document_1">
    <vt:lpwstr>True</vt:lpwstr>
  </property>
  <property fmtid="{D5CDD505-2E9C-101B-9397-08002B2CF9AE}" pid="24" name="Mendeley Unique User Id_1">
    <vt:lpwstr>ba879ccd-7ba2-3f8a-a169-7f9cd99b3b8c</vt:lpwstr>
  </property>
</Properties>
</file>