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57D8E" w:rsidRPr="006243F6" w:rsidRDefault="00E57D8E" w:rsidP="006243F6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6243F6">
        <w:rPr>
          <w:rFonts w:ascii="Times New Roman" w:hAnsi="Times New Roman" w:cs="Times New Roman"/>
          <w:b/>
          <w:sz w:val="20"/>
          <w:szCs w:val="20"/>
        </w:rPr>
        <w:t xml:space="preserve">Table 1. </w:t>
      </w:r>
      <w:r w:rsidR="0091153B" w:rsidRPr="006243F6">
        <w:rPr>
          <w:rFonts w:ascii="Times New Roman" w:hAnsi="Times New Roman" w:cs="Times New Roman"/>
          <w:b/>
          <w:i/>
          <w:iCs/>
          <w:sz w:val="20"/>
          <w:szCs w:val="20"/>
        </w:rPr>
        <w:t>Our Choice</w:t>
      </w:r>
      <w:r w:rsidR="0091153B" w:rsidRPr="006243F6">
        <w:rPr>
          <w:rFonts w:ascii="Times New Roman" w:hAnsi="Times New Roman" w:cs="Times New Roman"/>
          <w:b/>
          <w:sz w:val="20"/>
          <w:szCs w:val="20"/>
        </w:rPr>
        <w:t xml:space="preserve"> s</w:t>
      </w:r>
      <w:r w:rsidRPr="006243F6">
        <w:rPr>
          <w:rFonts w:ascii="Times New Roman" w:hAnsi="Times New Roman" w:cs="Times New Roman"/>
          <w:b/>
          <w:sz w:val="20"/>
          <w:szCs w:val="20"/>
        </w:rPr>
        <w:t xml:space="preserve">afer </w:t>
      </w:r>
      <w:r w:rsidR="0091153B" w:rsidRPr="006243F6">
        <w:rPr>
          <w:rFonts w:ascii="Times New Roman" w:hAnsi="Times New Roman" w:cs="Times New Roman"/>
          <w:b/>
          <w:sz w:val="20"/>
          <w:szCs w:val="20"/>
        </w:rPr>
        <w:t>c</w:t>
      </w:r>
      <w:r w:rsidRPr="006243F6">
        <w:rPr>
          <w:rFonts w:ascii="Times New Roman" w:hAnsi="Times New Roman" w:cs="Times New Roman"/>
          <w:b/>
          <w:sz w:val="20"/>
          <w:szCs w:val="20"/>
        </w:rPr>
        <w:t xml:space="preserve">onception </w:t>
      </w:r>
      <w:r w:rsidR="0091153B" w:rsidRPr="006243F6">
        <w:rPr>
          <w:rFonts w:ascii="Times New Roman" w:hAnsi="Times New Roman" w:cs="Times New Roman"/>
          <w:b/>
          <w:sz w:val="20"/>
          <w:szCs w:val="20"/>
        </w:rPr>
        <w:t>c</w:t>
      </w:r>
      <w:r w:rsidRPr="006243F6">
        <w:rPr>
          <w:rFonts w:ascii="Times New Roman" w:hAnsi="Times New Roman" w:cs="Times New Roman"/>
          <w:b/>
          <w:sz w:val="20"/>
          <w:szCs w:val="20"/>
        </w:rPr>
        <w:t xml:space="preserve">ounseling </w:t>
      </w:r>
      <w:r w:rsidR="0091153B" w:rsidRPr="006243F6">
        <w:rPr>
          <w:rFonts w:ascii="Times New Roman" w:hAnsi="Times New Roman" w:cs="Times New Roman"/>
          <w:b/>
          <w:sz w:val="20"/>
          <w:szCs w:val="20"/>
        </w:rPr>
        <w:t>t</w:t>
      </w:r>
      <w:r w:rsidRPr="006243F6">
        <w:rPr>
          <w:rFonts w:ascii="Times New Roman" w:hAnsi="Times New Roman" w:cs="Times New Roman"/>
          <w:b/>
          <w:sz w:val="20"/>
          <w:szCs w:val="20"/>
        </w:rPr>
        <w:t xml:space="preserve">opics by </w:t>
      </w:r>
      <w:r w:rsidR="0091153B" w:rsidRPr="006243F6">
        <w:rPr>
          <w:rFonts w:ascii="Times New Roman" w:hAnsi="Times New Roman" w:cs="Times New Roman"/>
          <w:b/>
          <w:sz w:val="20"/>
          <w:szCs w:val="20"/>
        </w:rPr>
        <w:t>s</w:t>
      </w:r>
      <w:r w:rsidRPr="006243F6">
        <w:rPr>
          <w:rFonts w:ascii="Times New Roman" w:hAnsi="Times New Roman" w:cs="Times New Roman"/>
          <w:b/>
          <w:sz w:val="20"/>
          <w:szCs w:val="20"/>
        </w:rPr>
        <w:t>ession</w:t>
      </w:r>
    </w:p>
    <w:p w:rsidR="00E57D8E" w:rsidRPr="00445C17" w:rsidRDefault="00E57D8E" w:rsidP="00E57D8E">
      <w:pPr>
        <w:snapToGrid w:val="0"/>
        <w:rPr>
          <w:rFonts w:ascii="Calibri" w:hAnsi="Calibri" w:cs="Calibri"/>
          <w:b/>
          <w:sz w:val="6"/>
          <w:szCs w:val="6"/>
        </w:rPr>
      </w:pPr>
    </w:p>
    <w:tbl>
      <w:tblPr>
        <w:tblpPr w:leftFromText="180" w:rightFromText="180" w:vertAnchor="text" w:horzAnchor="margin" w:tblpY="78"/>
        <w:tblW w:w="93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1435"/>
        <w:gridCol w:w="7915"/>
      </w:tblGrid>
      <w:tr w:rsidR="00E57D8E" w:rsidRPr="006243F6" w:rsidTr="0055003C">
        <w:trPr>
          <w:trHeight w:val="343"/>
        </w:trPr>
        <w:tc>
          <w:tcPr>
            <w:tcW w:w="1435" w:type="dxa"/>
          </w:tcPr>
          <w:p w:rsidR="00E57D8E" w:rsidRPr="006243F6" w:rsidRDefault="00E57D8E" w:rsidP="006243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b/>
                <w:sz w:val="16"/>
                <w:szCs w:val="16"/>
              </w:rPr>
              <w:t>Initial Consultation</w:t>
            </w: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 xml:space="preserve"> (45-60 min)</w:t>
            </w:r>
          </w:p>
          <w:p w:rsidR="00E57D8E" w:rsidRPr="006243F6" w:rsidRDefault="00E57D8E" w:rsidP="006243F6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915" w:type="dxa"/>
            <w:shd w:val="clear" w:color="auto" w:fill="auto"/>
          </w:tcPr>
          <w:p w:rsidR="00E57D8E" w:rsidRPr="006243F6" w:rsidRDefault="00E57D8E" w:rsidP="006243F6">
            <w:pPr>
              <w:spacing w:after="0" w:line="240" w:lineRule="auto"/>
              <w:ind w:left="163" w:hanging="163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* Build rapport, explain services, communicate non-judgmental support for couple’s decisions</w:t>
            </w:r>
          </w:p>
          <w:p w:rsidR="00E57D8E" w:rsidRPr="006243F6" w:rsidRDefault="00E57D8E" w:rsidP="006243F6">
            <w:pPr>
              <w:spacing w:after="0" w:line="240" w:lineRule="auto"/>
              <w:ind w:left="163" w:hanging="163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* Explore contextual issues (i.e., client’s childbearing interest, partner’s childbearing interest, partner’s HIV status, family support, disclosure, existing children, health of relationship, available resources, planned separations due to work).</w:t>
            </w:r>
          </w:p>
          <w:p w:rsidR="00E57D8E" w:rsidRPr="006243F6" w:rsidRDefault="00E57D8E" w:rsidP="006243F6">
            <w:pPr>
              <w:spacing w:after="0" w:line="240" w:lineRule="auto"/>
              <w:ind w:left="163" w:hanging="163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* Review HIV and health risks of childbearing for mother/infant/partner and factors impacting risk (i.e., health, SCM, ART, CD4 cell count, PMTCT, STIs, alcohol use, nutrition). Encourage delaying pregnancy if medical condition not optimal (e.g., not on ART &gt; 6 mo</w:t>
            </w:r>
            <w:r w:rsidR="006402E7" w:rsidRPr="006243F6">
              <w:rPr>
                <w:rFonts w:ascii="Times New Roman" w:hAnsi="Times New Roman" w:cs="Times New Roman"/>
                <w:sz w:val="16"/>
                <w:szCs w:val="16"/>
              </w:rPr>
              <w:t>nths</w:t>
            </w: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, CD4&lt;200, active STI) and provide treatment (for STIs or ART) as needed.</w:t>
            </w:r>
          </w:p>
          <w:p w:rsidR="00E57D8E" w:rsidRPr="006243F6" w:rsidRDefault="00E57D8E" w:rsidP="006243F6">
            <w:pPr>
              <w:spacing w:after="0" w:line="240" w:lineRule="auto"/>
              <w:ind w:left="163" w:hanging="163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* Introduce safer conception methods.</w:t>
            </w:r>
          </w:p>
          <w:p w:rsidR="00E57D8E" w:rsidRPr="006243F6" w:rsidRDefault="00E57D8E" w:rsidP="006243F6">
            <w:pPr>
              <w:spacing w:after="0" w:line="240" w:lineRule="auto"/>
              <w:ind w:left="163" w:hanging="163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* Encourage couple to take time to decide and return for SCC or contraception.</w:t>
            </w:r>
          </w:p>
        </w:tc>
      </w:tr>
      <w:tr w:rsidR="00E57D8E" w:rsidRPr="006243F6" w:rsidTr="006243F6">
        <w:trPr>
          <w:trHeight w:val="1197"/>
        </w:trPr>
        <w:tc>
          <w:tcPr>
            <w:tcW w:w="1435" w:type="dxa"/>
          </w:tcPr>
          <w:p w:rsidR="00E57D8E" w:rsidRPr="006243F6" w:rsidRDefault="00E57D8E" w:rsidP="006243F6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SCC Session 1 </w:t>
            </w:r>
          </w:p>
          <w:p w:rsidR="00E57D8E" w:rsidRPr="006243F6" w:rsidRDefault="00E57D8E" w:rsidP="006243F6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(20-30 min)</w:t>
            </w:r>
          </w:p>
        </w:tc>
        <w:tc>
          <w:tcPr>
            <w:tcW w:w="7915" w:type="dxa"/>
            <w:shd w:val="clear" w:color="auto" w:fill="auto"/>
          </w:tcPr>
          <w:p w:rsidR="00E57D8E" w:rsidRPr="006243F6" w:rsidRDefault="00E57D8E" w:rsidP="006243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 xml:space="preserve">* Review couple’s fertility decision. Provide contraception if no longer desire a child. </w:t>
            </w:r>
          </w:p>
          <w:p w:rsidR="00E57D8E" w:rsidRPr="006243F6" w:rsidRDefault="00E57D8E" w:rsidP="006243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* Teach couple to track woman’s ovulation cycle using educational tools.</w:t>
            </w:r>
          </w:p>
          <w:p w:rsidR="00E57D8E" w:rsidRPr="006243F6" w:rsidRDefault="00E57D8E" w:rsidP="006243F6">
            <w:pPr>
              <w:spacing w:after="0" w:line="240" w:lineRule="auto"/>
              <w:ind w:left="161" w:hanging="161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 xml:space="preserve">* Present SCM using educational tools and assist couple to select their best method. Share videos, offer tools, MSI kit, offer text messages to remind client of start of fertile period.  </w:t>
            </w:r>
          </w:p>
          <w:p w:rsidR="00E57D8E" w:rsidRPr="006243F6" w:rsidRDefault="00E57D8E" w:rsidP="006243F6">
            <w:pPr>
              <w:spacing w:after="0" w:line="240" w:lineRule="auto"/>
              <w:ind w:left="161" w:hanging="161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 xml:space="preserve">* Discuss other risk reduction options (i.e., circumcision, sperm washing, and </w:t>
            </w:r>
            <w:proofErr w:type="spellStart"/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PrEP</w:t>
            </w:r>
            <w:proofErr w:type="spellEnd"/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).</w:t>
            </w:r>
          </w:p>
          <w:p w:rsidR="00E57D8E" w:rsidRPr="006243F6" w:rsidRDefault="00E57D8E" w:rsidP="006243F6">
            <w:pPr>
              <w:spacing w:after="0" w:line="240" w:lineRule="auto"/>
              <w:ind w:left="161" w:hanging="161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* Develop action plan with couple.</w:t>
            </w:r>
          </w:p>
        </w:tc>
      </w:tr>
      <w:tr w:rsidR="00E57D8E" w:rsidRPr="006243F6" w:rsidTr="0055003C">
        <w:trPr>
          <w:trHeight w:val="1340"/>
        </w:trPr>
        <w:tc>
          <w:tcPr>
            <w:tcW w:w="1435" w:type="dxa"/>
          </w:tcPr>
          <w:p w:rsidR="00E57D8E" w:rsidRPr="006243F6" w:rsidRDefault="00E57D8E" w:rsidP="006243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b/>
                <w:sz w:val="16"/>
                <w:szCs w:val="16"/>
              </w:rPr>
              <w:t>Follow-up Sessions</w:t>
            </w:r>
          </w:p>
          <w:p w:rsidR="00E57D8E" w:rsidRPr="006243F6" w:rsidRDefault="00E57D8E" w:rsidP="006243F6">
            <w:pPr>
              <w:spacing w:after="0" w:line="240" w:lineRule="auto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(20 min)</w:t>
            </w:r>
          </w:p>
          <w:p w:rsidR="00E57D8E" w:rsidRPr="006243F6" w:rsidRDefault="00E57D8E" w:rsidP="006243F6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</w:tc>
        <w:tc>
          <w:tcPr>
            <w:tcW w:w="7915" w:type="dxa"/>
            <w:shd w:val="clear" w:color="auto" w:fill="auto"/>
          </w:tcPr>
          <w:p w:rsidR="00E57D8E" w:rsidRPr="006243F6" w:rsidRDefault="00E57D8E" w:rsidP="006243F6">
            <w:pPr>
              <w:spacing w:after="0" w:line="240" w:lineRule="auto"/>
              <w:ind w:left="161" w:hanging="161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 xml:space="preserve">* Review couple’s successes and challenges with action plan using Problem Solving worksheet. </w:t>
            </w:r>
          </w:p>
          <w:p w:rsidR="00E57D8E" w:rsidRPr="006243F6" w:rsidRDefault="00E57D8E" w:rsidP="006243F6">
            <w:pPr>
              <w:spacing w:after="0" w:line="240" w:lineRule="auto"/>
              <w:ind w:left="161" w:hanging="161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* Assess usefulness of tools, text messages and identify strategies to overcome barriers.</w:t>
            </w:r>
          </w:p>
          <w:p w:rsidR="00E57D8E" w:rsidRPr="006243F6" w:rsidRDefault="00E57D8E" w:rsidP="006243F6">
            <w:pPr>
              <w:spacing w:after="0" w:line="240" w:lineRule="auto"/>
              <w:ind w:left="161" w:hanging="161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* Assess HIV</w:t>
            </w:r>
            <w:r w:rsidR="006402E7" w:rsidRPr="006243F6">
              <w:rPr>
                <w:rFonts w:ascii="Times New Roman" w:hAnsi="Times New Roman" w:cs="Times New Roman"/>
                <w:sz w:val="16"/>
                <w:szCs w:val="16"/>
              </w:rPr>
              <w:t>-positive’s</w:t>
            </w: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 xml:space="preserve"> partner’s ART adherence and refer for adherence counseling if needed.</w:t>
            </w:r>
          </w:p>
          <w:p w:rsidR="00E57D8E" w:rsidRPr="006243F6" w:rsidRDefault="00E57D8E" w:rsidP="006243F6">
            <w:pPr>
              <w:spacing w:after="0" w:line="240" w:lineRule="auto"/>
              <w:ind w:left="161" w:hanging="161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* Adjust action plan as needed; assess for STIs and treat as needed.</w:t>
            </w:r>
          </w:p>
          <w:p w:rsidR="00E57D8E" w:rsidRPr="006243F6" w:rsidRDefault="00E57D8E" w:rsidP="006243F6">
            <w:pPr>
              <w:spacing w:after="0" w:line="240" w:lineRule="auto"/>
              <w:ind w:left="161" w:hanging="161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* If partner isn’t attending sessions or hindering use of SCM, discuss strategies for addressing.</w:t>
            </w:r>
          </w:p>
          <w:p w:rsidR="00E57D8E" w:rsidRPr="006243F6" w:rsidRDefault="00E57D8E" w:rsidP="006243F6">
            <w:pPr>
              <w:spacing w:after="0" w:line="240" w:lineRule="auto"/>
              <w:ind w:left="161" w:hanging="161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>* If woman’s period is late, conduct pregnancy test. If pregnant, conduct HIV testing with partner and start HIV</w:t>
            </w:r>
            <w:r w:rsidR="006402E7" w:rsidRPr="006243F6">
              <w:rPr>
                <w:rFonts w:ascii="Times New Roman" w:hAnsi="Times New Roman" w:cs="Times New Roman"/>
                <w:sz w:val="16"/>
                <w:szCs w:val="16"/>
              </w:rPr>
              <w:t>-positive</w:t>
            </w: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 xml:space="preserve"> mothers on PMTCT. </w:t>
            </w:r>
          </w:p>
          <w:p w:rsidR="00E57D8E" w:rsidRPr="006243F6" w:rsidRDefault="00E57D8E" w:rsidP="006243F6">
            <w:pPr>
              <w:spacing w:after="0" w:line="240" w:lineRule="auto"/>
              <w:ind w:left="161" w:hanging="161"/>
              <w:rPr>
                <w:rFonts w:ascii="Times New Roman" w:hAnsi="Times New Roman" w:cs="Times New Roman"/>
                <w:sz w:val="16"/>
                <w:szCs w:val="16"/>
              </w:rPr>
            </w:pPr>
            <w:r w:rsidRPr="006243F6">
              <w:rPr>
                <w:rFonts w:ascii="Times New Roman" w:hAnsi="Times New Roman" w:cs="Times New Roman"/>
                <w:sz w:val="16"/>
                <w:szCs w:val="16"/>
              </w:rPr>
              <w:t xml:space="preserve">* After 6 months of correct SCM use, if pregnancy has not been achieved, discontinued SCC and refer couple to infertility clinic. </w:t>
            </w:r>
          </w:p>
        </w:tc>
      </w:tr>
    </w:tbl>
    <w:p w:rsidR="00C010E5" w:rsidRDefault="006243F6"/>
    <w:p w:rsidR="006D4C1B" w:rsidRPr="006243F6" w:rsidRDefault="006D4C1B" w:rsidP="006D4C1B">
      <w:pPr>
        <w:pStyle w:val="EndNoteBibliography"/>
        <w:rPr>
          <w:rFonts w:ascii="Times New Roman" w:hAnsi="Times New Roman" w:cs="Times New Roman"/>
          <w:sz w:val="20"/>
          <w:szCs w:val="20"/>
        </w:rPr>
      </w:pPr>
      <w:r w:rsidRPr="006243F6">
        <w:rPr>
          <w:rFonts w:ascii="Times New Roman" w:hAnsi="Times New Roman" w:cs="Times New Roman"/>
          <w:sz w:val="20"/>
          <w:szCs w:val="20"/>
        </w:rPr>
        <w:t>This table is from this prior publication that described the Our Choice study protocol and intervention: Goggin K, Hurley EA, Beyeza-Kashesya J, Gwokyalya V, Finocchario-Kessler S, Birungi J, et al. Study protocol of "Our Choice": a randomized controlled trial of the integration of safer conception counseling to transform HIV family planning services in Uganda. Implement Sci. 2018;13(1):110.</w:t>
      </w:r>
    </w:p>
    <w:p w:rsidR="006D4C1B" w:rsidRDefault="006D4C1B">
      <w:bookmarkStart w:id="0" w:name="_GoBack"/>
      <w:bookmarkEnd w:id="0"/>
    </w:p>
    <w:sectPr w:rsidR="006D4C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57D8E"/>
    <w:rsid w:val="000D5DE0"/>
    <w:rsid w:val="006243F6"/>
    <w:rsid w:val="006402E7"/>
    <w:rsid w:val="006C77EB"/>
    <w:rsid w:val="006D4C1B"/>
    <w:rsid w:val="0091153B"/>
    <w:rsid w:val="00E57D8E"/>
    <w:rsid w:val="00F15A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8D906CA-59ED-485D-BC1B-E6DE000DAE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6D4C1B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D4C1B"/>
    <w:rPr>
      <w:rFonts w:ascii="Times New Roman" w:hAnsi="Times New Roman" w:cs="Times New Roman"/>
      <w:sz w:val="18"/>
      <w:szCs w:val="18"/>
    </w:rPr>
  </w:style>
  <w:style w:type="paragraph" w:customStyle="1" w:styleId="EndNoteBibliography">
    <w:name w:val="EndNote Bibliography"/>
    <w:basedOn w:val="Normal"/>
    <w:link w:val="EndNoteBibliographyChar"/>
    <w:rsid w:val="006D4C1B"/>
    <w:pPr>
      <w:spacing w:after="0" w:line="240" w:lineRule="auto"/>
    </w:pPr>
    <w:rPr>
      <w:rFonts w:ascii="Calibri" w:hAnsi="Calibri" w:cs="Calibri"/>
      <w:noProof/>
      <w:sz w:val="24"/>
      <w:szCs w:val="24"/>
    </w:rPr>
  </w:style>
  <w:style w:type="character" w:customStyle="1" w:styleId="EndNoteBibliographyChar">
    <w:name w:val="EndNote Bibliography Char"/>
    <w:basedOn w:val="DefaultParagraphFont"/>
    <w:link w:val="EndNoteBibliography"/>
    <w:rsid w:val="006D4C1B"/>
    <w:rPr>
      <w:rFonts w:ascii="Calibri" w:hAnsi="Calibri" w:cs="Calibri"/>
      <w:noProof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380</Words>
  <Characters>2166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CMH</Company>
  <LinksUpToDate>false</LinksUpToDate>
  <CharactersWithSpaces>2541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Hurley, Emily, A</dc:creator>
  <cp:keywords/>
  <dc:description/>
  <cp:lastModifiedBy>Tebeka, Mahlet</cp:lastModifiedBy>
  <cp:revision>6</cp:revision>
  <dcterms:created xsi:type="dcterms:W3CDTF">2018-05-25T15:14:00Z</dcterms:created>
  <dcterms:modified xsi:type="dcterms:W3CDTF">2020-11-09T22:47:00Z</dcterms:modified>
</cp:coreProperties>
</file>