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3235E" w:rsidRPr="0083235E" w:rsidRDefault="0083235E" w:rsidP="00B57468">
      <w:pPr>
        <w:rPr>
          <w:rFonts w:ascii="Arial" w:hAnsi="Arial" w:cs="Arial"/>
          <w:b/>
          <w:bCs/>
          <w:i/>
          <w:iCs/>
          <w:color w:val="000000" w:themeColor="text1"/>
          <w:lang w:val="en-US"/>
        </w:rPr>
      </w:pPr>
      <w:r w:rsidRPr="0083235E">
        <w:rPr>
          <w:rFonts w:ascii="Arial" w:hAnsi="Arial" w:cs="Arial"/>
          <w:b/>
          <w:bCs/>
          <w:i/>
          <w:iCs/>
          <w:color w:val="000000" w:themeColor="text1"/>
          <w:lang w:val="en-US"/>
        </w:rPr>
        <w:t>Supplementary Tables</w:t>
      </w:r>
    </w:p>
    <w:p w:rsidR="0083235E" w:rsidRPr="0083235E" w:rsidRDefault="0083235E" w:rsidP="00B57468">
      <w:pPr>
        <w:rPr>
          <w:rFonts w:ascii="Arial" w:hAnsi="Arial" w:cs="Arial"/>
          <w:i/>
          <w:iCs/>
          <w:color w:val="000000" w:themeColor="text1"/>
          <w:lang w:val="en-US"/>
        </w:rPr>
      </w:pPr>
    </w:p>
    <w:p w:rsidR="00B57468" w:rsidRPr="0083235E" w:rsidRDefault="00B57468" w:rsidP="00B57468">
      <w:pPr>
        <w:rPr>
          <w:rFonts w:ascii="Arial" w:hAnsi="Arial" w:cs="Arial"/>
          <w:i/>
          <w:iCs/>
          <w:color w:val="000000" w:themeColor="text1"/>
        </w:rPr>
      </w:pPr>
      <w:r w:rsidRPr="0083235E">
        <w:rPr>
          <w:rFonts w:ascii="Arial" w:hAnsi="Arial" w:cs="Arial"/>
          <w:i/>
          <w:iCs/>
          <w:color w:val="000000" w:themeColor="text1"/>
        </w:rPr>
        <w:t xml:space="preserve">Supplementary Table 1. The 61 RUSP recommended inherited disease genes examined. </w:t>
      </w:r>
    </w:p>
    <w:p w:rsidR="00B57468" w:rsidRPr="00CD0400" w:rsidRDefault="00B57468" w:rsidP="00B57468">
      <w:pPr>
        <w:rPr>
          <w:rFonts w:ascii="Arial" w:hAnsi="Arial" w:cs="Arial"/>
          <w:color w:val="000000" w:themeColor="text1"/>
          <w:sz w:val="14"/>
          <w:szCs w:val="14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97"/>
        <w:gridCol w:w="3806"/>
        <w:gridCol w:w="1520"/>
        <w:gridCol w:w="3197"/>
      </w:tblGrid>
      <w:tr w:rsidR="00B57468" w:rsidRPr="0083235E" w:rsidTr="006844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No.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US"/>
              </w:rPr>
              <w:t>Core Condition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US"/>
              </w:rPr>
              <w:t>Inheritance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US"/>
              </w:rPr>
              <w:t>Gene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Propionic Acidemia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PCCA,PCCB</w:t>
            </w:r>
            <w:proofErr w:type="gramEnd"/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Methylmalonic Acidemia (methylmalonic-CoA mutase)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MUT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Methylmalonic Acidemia (Cobalamin disorders)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MMAA,MMAB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,MMACHC,</w:t>
            </w:r>
          </w:p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PRDX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1,MMADHC</w:t>
            </w:r>
            <w:proofErr w:type="gramEnd"/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Isovaleric Acidemia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IVD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3-Methylcrotonyl-CoA Carboxylase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MCCC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1,MCCC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3-Hydroxy-3-Methyglutaric Aciduria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HMGCL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Holocarboxylase</w:t>
            </w:r>
            <w:proofErr w:type="spell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synthase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HLCS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ß-</w:t>
            </w:r>
            <w:proofErr w:type="spell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Ketothiolase</w:t>
            </w:r>
            <w:proofErr w:type="spell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ACAT1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Glutaric Acidemia Type I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GCDH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Carnitine Uptake Defect/Carnitine Transport Defect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SLC22A5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Medium-chain Acyl-CoA Dehydrogenase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ACADM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Very Long-chain Acyl-CoA Dehydrogenase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ACADVL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Long-chain L-3 </w:t>
            </w:r>
            <w:proofErr w:type="spell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Hydroxyacyl</w:t>
            </w:r>
            <w:proofErr w:type="spell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-CoA Dehydrogenase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HADHA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Trifunctional Protein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HADHA,HADHB</w:t>
            </w:r>
            <w:proofErr w:type="gramEnd"/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Argininosuccinic</w:t>
            </w:r>
            <w:proofErr w:type="spell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Aciduria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ASL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Citrullinemia, Type I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ASS1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Maple Syrup Urine Disease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BCKDHA,BCKDHB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,DBT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Homocystinuria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CBS,MTHFR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,MTR,MTRR,</w:t>
            </w:r>
          </w:p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MMADHC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Classic Phenylketonuria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PAH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Tyrosinemia, type I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FAH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Primary Congenital Hypothyroidism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AR,AD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PAX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8,TSHR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,DUOX2,SLC5A5,</w:t>
            </w:r>
          </w:p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TG,TPO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,TSHB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Congenital adrenal hyperplasia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CYP21A2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S,S</w:t>
            </w:r>
            <w:proofErr w:type="gram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Disease (Sickle Cell Anemia)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HBB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S, βeta-Thalassemia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AR,AD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HBB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S,C</w:t>
            </w:r>
            <w:proofErr w:type="gram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Disease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HBB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Biotinidase</w:t>
            </w:r>
            <w:proofErr w:type="spell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BTD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Critical Congenital Heart Disease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CFC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1,FOXH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1,GATA4,GATA6,GDF1,</w:t>
            </w:r>
          </w:p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GJA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1,HAND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1,MED13L,NKX2-5,</w:t>
            </w:r>
          </w:p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NKX2-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6,NOTCH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1,SMAD6,ZFPM2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Cystic Fibrosis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CFTR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Classic Galactosemia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GALT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Glycogen Storage Disease Type II (</w:t>
            </w:r>
            <w:proofErr w:type="spell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Pompe</w:t>
            </w:r>
            <w:proofErr w:type="spell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GAA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Hearing Loss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AR, AD,</w:t>
            </w:r>
          </w:p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DR(</w:t>
            </w:r>
            <w:proofErr w:type="gram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Digenic recessive)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CDH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23,COCH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,GJB2,KCNQ4,MYO6,</w:t>
            </w:r>
          </w:p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MYO7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A,SLC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26A4,TECTA ,USH2A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Severe Combined Immunodeficiencies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XLR,AR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IL2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RG,ADA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,ZAP70,PNP,AK2,</w:t>
            </w:r>
          </w:p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RAG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1,RAG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sv-SE"/>
              </w:rPr>
              <w:t>2,JAK3,DCLRE1C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Mucopolysaccharidosis Type 1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IDUA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X-linked Adrenoleukodystrophy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X-linked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ABCD1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Spinal Muscular Atrophy due to homozygous deletion of exon 7 in SMN1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SMN1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Secondary Condition</w:t>
            </w:r>
          </w:p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Inheritance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Gene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Methylmalonic acidemia with homocystinuria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 ,XLR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MMACHC,MMADHC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,</w:t>
            </w:r>
          </w:p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LMBRD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1,ABCD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4,HCFC1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Malonic acidemia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MLYCD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lastRenderedPageBreak/>
              <w:t>38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Isobutyryl</w:t>
            </w:r>
            <w:proofErr w:type="spell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-CoA dehydrogenase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ACAD8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2-Methylbutyrylglycinuria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ACADSB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3-Methylglutaconic aciduria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AUH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2-Methyl-3-hydroxybutyric aciduria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XLD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HSD17B10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Short-chain acyl-CoA dehydrogenase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ACADS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Medium/short-chain L-3-hydroxyacylCoA dehydrogenase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HADH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Glutaric acidemia type II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ETFA,ETFB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,ETFDH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Medium-chain ketoacyl-CoA thiolate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NA*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2,4 Dienoyl-CoA reductase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NADK2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Carnitine palmitoyl transferase type I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CPT2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Carnitine palmitoyl transferase type II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CPT2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Carnitine acylcarnitine translocase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SLC25A20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Argininemia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ARG1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Citrullinemia, type II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SLC25A13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Hypermethioninemia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AHCY,GNMT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,MAT1A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Benign hyperphenylalaninemia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PAH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Biopterin defect in cofactor biosynthesis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GCH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1,PCBD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1,PTS,QDPR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Biopterin defect in cofactor regeneration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GCH</w:t>
            </w: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1,PCBD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1,PTS,QDPR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Tyrosinemia, type II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TAT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Tyrosinemia, type III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HPD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Various other hemoglobinopathies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gramStart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HBB,HBA</w:t>
            </w:r>
            <w:proofErr w:type="gramEnd"/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1,HBA2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Galactoepimerase</w:t>
            </w:r>
            <w:proofErr w:type="spellEnd"/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GALE</w:t>
            </w:r>
          </w:p>
        </w:tc>
      </w:tr>
      <w:tr w:rsidR="00B57468" w:rsidRPr="0083235E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Galactokinase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GALK1</w:t>
            </w:r>
          </w:p>
        </w:tc>
      </w:tr>
      <w:tr w:rsidR="00B57468" w:rsidRPr="0083235E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T-cell related lymphocyte deficiencies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HIV infection</w:t>
            </w:r>
          </w:p>
        </w:tc>
        <w:tc>
          <w:tcPr>
            <w:tcW w:w="0" w:type="auto"/>
            <w:vAlign w:val="center"/>
            <w:hideMark/>
          </w:tcPr>
          <w:p w:rsidR="00B57468" w:rsidRPr="0083235E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NA*</w:t>
            </w:r>
          </w:p>
        </w:tc>
      </w:tr>
    </w:tbl>
    <w:p w:rsidR="0083235E" w:rsidRPr="0083235E" w:rsidRDefault="00B57468" w:rsidP="00B57468">
      <w:pPr>
        <w:rPr>
          <w:rFonts w:ascii="Arial" w:eastAsia="SimSun" w:hAnsi="Arial" w:cs="Arial"/>
          <w:i/>
          <w:iCs/>
          <w:sz w:val="18"/>
          <w:szCs w:val="18"/>
          <w:lang w:val="en-US"/>
        </w:rPr>
      </w:pPr>
      <w:r w:rsidRPr="0083235E">
        <w:rPr>
          <w:rFonts w:ascii="Arial" w:hAnsi="Arial" w:cs="Arial"/>
          <w:i/>
          <w:iCs/>
          <w:sz w:val="18"/>
          <w:szCs w:val="18"/>
          <w:lang w:val="en-US"/>
        </w:rPr>
        <w:t>Notes</w:t>
      </w:r>
      <w:r w:rsidRPr="0083235E">
        <w:rPr>
          <w:rFonts w:ascii="Arial" w:eastAsia="SimSun" w:hAnsi="Arial" w:cs="Arial"/>
          <w:i/>
          <w:iCs/>
          <w:sz w:val="18"/>
          <w:szCs w:val="18"/>
          <w:lang w:val="en-US"/>
        </w:rPr>
        <w:t>：</w:t>
      </w:r>
    </w:p>
    <w:p w:rsidR="00B57468" w:rsidRPr="0083235E" w:rsidRDefault="00B57468" w:rsidP="00B57468">
      <w:pPr>
        <w:rPr>
          <w:rFonts w:ascii="Arial" w:eastAsia="SimSun" w:hAnsi="Arial" w:cs="Arial"/>
          <w:i/>
          <w:iCs/>
          <w:sz w:val="18"/>
          <w:szCs w:val="18"/>
          <w:lang w:val="en-US"/>
        </w:rPr>
      </w:pPr>
      <w:r w:rsidRPr="0083235E">
        <w:rPr>
          <w:rFonts w:ascii="Arial" w:hAnsi="Arial" w:cs="Arial"/>
          <w:sz w:val="18"/>
          <w:szCs w:val="18"/>
          <w:lang w:val="en-US"/>
        </w:rPr>
        <w:t>1.Recommended Uniform Screening panel as of July 2018 (</w:t>
      </w:r>
      <w:hyperlink r:id="rId7" w:history="1">
        <w:r w:rsidRPr="0083235E">
          <w:rPr>
            <w:rStyle w:val="Hyperlink"/>
            <w:rFonts w:ascii="Arial" w:hAnsi="Arial" w:cs="Arial"/>
            <w:sz w:val="18"/>
            <w:szCs w:val="18"/>
            <w:lang w:val="en-US"/>
          </w:rPr>
          <w:t>https://www.hrsa.gov/advisory-committees/heritable-disorders/rusp/index.html</w:t>
        </w:r>
      </w:hyperlink>
      <w:r w:rsidRPr="0083235E">
        <w:rPr>
          <w:rFonts w:ascii="Arial" w:hAnsi="Arial" w:cs="Arial"/>
          <w:sz w:val="18"/>
          <w:szCs w:val="18"/>
          <w:lang w:val="en-US"/>
        </w:rPr>
        <w:t>)</w:t>
      </w:r>
    </w:p>
    <w:p w:rsidR="00B57468" w:rsidRPr="0083235E" w:rsidRDefault="00B57468" w:rsidP="00B57468">
      <w:pPr>
        <w:rPr>
          <w:rFonts w:ascii="Arial" w:hAnsi="Arial" w:cs="Arial"/>
          <w:sz w:val="18"/>
          <w:szCs w:val="18"/>
          <w:lang w:val="en-US"/>
        </w:rPr>
      </w:pPr>
      <w:r w:rsidRPr="0083235E">
        <w:rPr>
          <w:rFonts w:ascii="Arial" w:hAnsi="Arial" w:cs="Arial"/>
          <w:sz w:val="18"/>
          <w:szCs w:val="18"/>
          <w:lang w:val="en-US"/>
        </w:rPr>
        <w:t>2. NA indicates the related disease is not found in the category of Mendelian genetic disease and/or is not found in the OMIM database.</w:t>
      </w: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color w:val="000000" w:themeColor="text1"/>
          <w:sz w:val="14"/>
          <w:szCs w:val="14"/>
          <w:lang w:val="en-US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83235E" w:rsidRDefault="00B57468" w:rsidP="00B57468">
      <w:pPr>
        <w:jc w:val="both"/>
        <w:rPr>
          <w:rFonts w:ascii="Arial" w:hAnsi="Arial" w:cs="Arial"/>
          <w:i/>
          <w:iCs/>
          <w:lang w:val="en-US"/>
        </w:rPr>
      </w:pPr>
      <w:r w:rsidRPr="0083235E">
        <w:rPr>
          <w:rFonts w:ascii="Arial" w:hAnsi="Arial" w:cs="Arial"/>
          <w:i/>
          <w:iCs/>
        </w:rPr>
        <w:lastRenderedPageBreak/>
        <w:t xml:space="preserve">Supplementary Table </w:t>
      </w:r>
      <w:r w:rsidRPr="0083235E">
        <w:rPr>
          <w:rFonts w:ascii="Arial" w:hAnsi="Arial" w:cs="Arial"/>
          <w:i/>
          <w:iCs/>
          <w:lang w:val="en-US"/>
        </w:rPr>
        <w:t>2</w:t>
      </w:r>
      <w:r w:rsidRPr="0083235E">
        <w:rPr>
          <w:rFonts w:ascii="Arial" w:hAnsi="Arial" w:cs="Arial"/>
          <w:i/>
          <w:iCs/>
        </w:rPr>
        <w:t>. The 168 Primary Immunodeficiency genes examined in the Qingdao</w:t>
      </w:r>
      <w:r w:rsidRPr="0083235E">
        <w:rPr>
          <w:rFonts w:ascii="Arial" w:hAnsi="Arial" w:cs="Arial"/>
          <w:i/>
          <w:iCs/>
          <w:lang w:val="en-US"/>
        </w:rPr>
        <w:t xml:space="preserve"> newborn cohort</w:t>
      </w:r>
      <w:r w:rsidRPr="0083235E">
        <w:rPr>
          <w:rFonts w:ascii="Arial" w:hAnsi="Arial" w:cs="Arial"/>
          <w:i/>
          <w:iCs/>
        </w:rPr>
        <w:t>.</w:t>
      </w: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275"/>
        <w:gridCol w:w="2327"/>
        <w:gridCol w:w="1496"/>
        <w:gridCol w:w="922"/>
      </w:tblGrid>
      <w:tr w:rsidR="00B57468" w:rsidRPr="00AD6821" w:rsidTr="006844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Disease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Genetic defect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Inheritance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OMIM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γc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deficiency (common gamma chain SCID, CD132 deficiency)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IL2RG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308380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JAK3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JAK3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600173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IL7Rα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IL7R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146661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CD45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PTPRC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151460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CD3δ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CD3D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186790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CD3ε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CD3E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186830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CD3ζ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CD3Z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186780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Coronin-1A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CORO1A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605000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LAT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LAT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602354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RAG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RAG1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179615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RAG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RAG2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179616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DCLRE1C (Artemis)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DCLRE1C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605988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DNA </w:t>
            </w: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PKcs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PRKDC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615966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Cernunnos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/XLF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NHEJ1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611290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DNA ligase IV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LIG4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601837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Adenosine deaminase (ADA)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ADA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608958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AK2 defect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AK2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103020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Activated RAC2 defect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RAC2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 GOF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602049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CD40 ligand (CD154)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CD40LG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308230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CD40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CD40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606843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ICOS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ICOS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604558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ICOSL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ICOSLG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605717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CD3γ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CD3G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186740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CD8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CD8A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186910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ZAP-70 deficiency (ZAP70 LOF)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ZAP70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269840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ZAP-70 combined </w:t>
            </w: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hypomorphic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and activating mutations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ZAP70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 (LOF/GOF)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617006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MHC class I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TAP1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170260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MHC class I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TAP2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170261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MHC class I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TAPBP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601962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MHC class I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B2M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109700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MHC class II deficiency group A, B, C, 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CIITA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600005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MHC class II deficiency group A, B, C, 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RFXANK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603200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MHC class II deficiency group A, B, C, 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RFX5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601863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MHC class II deficiency group A, B, C, 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RFXAP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601861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IKAROS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IKZF1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 DN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603023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DOCK8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DOCK8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243700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DOCK2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DOCK2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603122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Polymerase and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POLD1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174761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Polymerase and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POLD2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600815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RHOH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RHOH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602037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STK4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STK4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614868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TCRα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TRAC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615387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LCK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LCK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615758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ITK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ITK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186973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MALT1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MALT1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615468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CARD11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CARD11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 LOF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615206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BCL10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BCL10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616098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IL-21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IL21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615767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IL-21R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IL21R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615207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OX40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TNFRSF4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615593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IKBKB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IKBKB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615592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NIK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MAP 3 K14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604655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RelB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RELB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604758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RelA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haploinsufficiency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RELA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618287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lastRenderedPageBreak/>
              <w:t>Moesin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MSN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300988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TFRC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TFRC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616740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c-Rel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REL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164910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FCHO1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FCHO1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613437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sv-SE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sv-SE"/>
              </w:rPr>
              <w:t>Wiskott-Aldrich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sv-SE"/>
              </w:rPr>
              <w:t xml:space="preserve"> </w:t>
            </w: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sv-SE"/>
              </w:rPr>
              <w:t>syndrome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sv-SE"/>
              </w:rPr>
              <w:t xml:space="preserve"> (WAS LOF)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WAS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300392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WIP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WIPF1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602357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Arp2/3-mediated filament branching defect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ARPC1B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604223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Ataxia-telangiectasia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ATM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607585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Nijmegen breakage syndrome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NBS1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602667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Bloom syndrome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BLM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604610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Immunodeficiency with centromeric instability and facial anomalies (ICF types 1, 2, 3, 4)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DNMT3B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602900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Immunodeficiency with centromeric instability and facial anomalies (ICF types 1, 2, 3, 4)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ZBTB24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614064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Immunodeficiency with centromeric instability and facial anomalies (ICF types 1, 2, 3, 4)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CDCA7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609937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Immunodeficiency with centromeric instability and facial anomalies (ICF types 1, 2, 3, 4)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HELLS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603946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PMS2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PMS2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600259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RNF168 deficiency (Radiosensitivity, Immune Deficiency, Dysmorphic features, Learning </w:t>
            </w:r>
            <w:proofErr w:type="gram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difficulties  syndrome</w:t>
            </w:r>
            <w:proofErr w:type="gram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RNF168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612688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MCM4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MCM4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602638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X-linked reticulate pigmentary disorder (POLA1 deficiency)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POLA1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301220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POLE1 (Polymerase ε subunit 1) deficiency (FILS syndrome)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POLE1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174762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POLE2 (Polymerase ε subunit 2)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POLE2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602670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Ligase I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LIG1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126391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NSMCE3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NSMCE3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608243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ERCC6L2 (</w:t>
            </w: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Hebo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deficiency)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ERCC6L2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615667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GINS1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GINS1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610608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DiGeorge/</w:t>
            </w: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velocardio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-facial syndrome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Large deletion (3 Mb) typically in chromosome 22 (TBX1)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602054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Chromosome 22q11.2 deletion syndrome (22q11.2DS)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TBX1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TBX1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602054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CHARGE syndrome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CHD7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608892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CHARGE syndrome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SEMA3E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608166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Winged helix nude FOXN1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FOXN1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601705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FOXN1 haploinsufficiency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FOXN1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600838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Chromosome 10p13-p14 deletion syndrome (10p13-p14DS)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Del10p13-p14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601362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Chromosome 11q deletion syndrome (Jacobsen syndrome)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11q23del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147791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Cartilage hair hypoplasia (CHH)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RMRP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157660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Schimke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immuno-osseous dysplasia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SMARCAL1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606622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MYSM1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MYSM1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612176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MOPD1 deficiency (</w:t>
            </w: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Roifman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syndrome)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RNU4ATAC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601428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Immunoskeletal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 dysplasia with neurodevelopmental abnormalities (EXTL3 deficiency)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EXTL3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617425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AD-HIES STAT3 deficiency (Job syndrome)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STAT3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 LOF (dominant negative)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147060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IL6 receptor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IL6R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147880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IL6 signal transducer (IL6ST)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IL6ST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618523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ZNF341 deficiency AR-HIES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ZNF341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618282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ERBIN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ERBB2IP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606944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Loeys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-Dietz syndrome (TGFBR deficiency)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TGFBR1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609192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Loeys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-Dietz syndrome (TGFBR deficiency)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TGFBR2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610168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Comel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-Netherton syndrome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SPINK5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605010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PGM3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PGM3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172100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CARD11 deficiency (heterozygous DN)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CARD11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 LOF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617638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Transcobalamin 2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TCN2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613441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SLC46A1/PCFT deficiency causing hereditary folate malabsorption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SLC46A1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229050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Methylene-tetrahydrofolate dehydrogenase 1 (MTHFD1)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MTHFD1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172460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EDA-ID due to NEMO/IKBKG deficiency (ectodermal dysplasia, immune deficiency)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IKBKG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300248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EDA-ID due to IKBA GOF mutation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NFKBIA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 GOF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164008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EDA-ID due to IKBKB GOF mutation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IKBKB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 GOF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618204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ORAI-1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ORAI1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610277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STIM1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STIM1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605921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Purine nucleoside phosphorylase (PNP)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PNP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164050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lastRenderedPageBreak/>
              <w:t xml:space="preserve">Immunodeficiency with multiple intestinal </w:t>
            </w: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atresias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TTC7A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609332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Tricho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-Hepato-Enteric Syndrome (THES)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TTC37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222470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Tricho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-Hepato-Enteric Syndrome (THES)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SKIV2L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614602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 xml:space="preserve">Hepatic </w:t>
            </w: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veno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-occlusive disease with immunodeficiency (VODI)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SP110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604457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BCL11B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BCL11B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617237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EPG5 deficiency (Vici syndrome)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EPG5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615068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HOIL1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RBCK1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610924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HOIP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RNF31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612487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Hennekam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-lymphangiectasia-lymphedema syndrome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CCBE1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612753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Hennekam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-lymphangiectasia-lymphedema syndrome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FAT4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612411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Activating de novo mutations in nuclear factor, erythroid 2- like (NFE2L2)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NFE2L2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617744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STAT5b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STAT5B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245590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STAT5b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STAT5B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 (dominant negative)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604260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Kabuki syndrome (type 1 and 2)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KMT2D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602113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Kabuki syndrome (type 1 and 2)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KDM6A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 (females may be affected)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300128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KMT2A deficiency (Wiedemann-Steiner syndrome)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KMT2A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605130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BTK deficiency, X-linked agammaglobulinemia (XLA)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BTK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300300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μ heavy chain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IGHM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147020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λ5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IGLL1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146770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Igα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CD79A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112205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Igβ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CD79B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147245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BLNK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BLNK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604515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p110δ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PIK3CD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602839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p85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PIK3R1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615214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E47 transcription factor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TCF3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616941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E47 transcription factor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TCF3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147141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SLC39A7 (ZIP7)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SLC39A7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601416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Hoffman syndrome/TOP2B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TOP2B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126431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Activated p110δ syndrome (APDS)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PIK3CD</w:t>
            </w: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 GOF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615513 (APDS1)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Activated p110δ syndrome (APDS)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PIK3R1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616005 (APDS2)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PTEN deficiency (LOF)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PTEN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158350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CD19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CD19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107265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CD81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CD81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186845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CD20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CD20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112210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CD21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CD21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120650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TACI deficiency#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TNFRSF13B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 or 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604907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BAFF receptor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TNFRSF13C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606269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TWEAK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TNFSF12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602695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TRNT1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TRNT1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612907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NFKB1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NFKB1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164011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NFKB2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NFKB2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615577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IKAROS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IKZF1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 (haploinsufficiency)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603023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IRF2BP2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IRF2BP2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615332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ATP6AP1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ATP6AP1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300972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ARHGEF1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ARHGEF1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618459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SH3KBP1 (CIN85)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SH3KBP1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XL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300310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SEC61A1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SEC61A1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609213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RAC2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RAC2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602049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proofErr w:type="spellStart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Mannosyl</w:t>
            </w:r>
            <w:proofErr w:type="spellEnd"/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-oligosaccharide glucosidase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MOGS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601336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AID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AICDA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u w:val="single"/>
                <w:lang w:val="en-US"/>
              </w:rPr>
              <w:t>6055258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AID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AICDA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605257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UNG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UNG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191525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INO80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INO80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610169</w:t>
            </w: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MSH6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MSH6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600678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Ig heavy chain mutations and deletions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Mutation or chromosomal deletion at 14q32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</w:p>
        </w:tc>
      </w:tr>
      <w:tr w:rsidR="00B57468" w:rsidRPr="00AD6821" w:rsidTr="006844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Kappa chain deficiency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IGKC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AR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147200</w:t>
            </w:r>
          </w:p>
        </w:tc>
      </w:tr>
      <w:tr w:rsidR="00B57468" w:rsidRPr="00AD6821" w:rsidTr="006844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b w:val="0"/>
                <w:bCs w:val="0"/>
                <w:color w:val="000000" w:themeColor="text1"/>
                <w:sz w:val="11"/>
                <w:szCs w:val="11"/>
                <w:lang w:val="en-US"/>
              </w:rPr>
              <w:t>CARD11 GOF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i/>
                <w:iCs/>
                <w:color w:val="000000" w:themeColor="text1"/>
                <w:sz w:val="11"/>
                <w:szCs w:val="11"/>
                <w:lang w:val="en-US"/>
              </w:rPr>
              <w:t>CARD11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AD GOF</w:t>
            </w:r>
          </w:p>
        </w:tc>
        <w:tc>
          <w:tcPr>
            <w:tcW w:w="0" w:type="auto"/>
            <w:vAlign w:val="center"/>
            <w:hideMark/>
          </w:tcPr>
          <w:p w:rsidR="00B57468" w:rsidRPr="00AD6821" w:rsidRDefault="00B57468" w:rsidP="006844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</w:pPr>
            <w:r w:rsidRPr="00AD6821">
              <w:rPr>
                <w:rFonts w:ascii="Arial" w:eastAsia="DengXian" w:hAnsi="Arial" w:cs="Arial"/>
                <w:color w:val="000000" w:themeColor="text1"/>
                <w:sz w:val="11"/>
                <w:szCs w:val="11"/>
                <w:lang w:val="en-US"/>
              </w:rPr>
              <w:t>616452</w:t>
            </w:r>
          </w:p>
        </w:tc>
      </w:tr>
    </w:tbl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83235E" w:rsidRDefault="00B57468" w:rsidP="00B57468">
      <w:pPr>
        <w:jc w:val="both"/>
        <w:rPr>
          <w:rFonts w:ascii="Arial" w:hAnsi="Arial" w:cs="Arial"/>
          <w:i/>
          <w:iCs/>
          <w:lang w:val="en-US"/>
        </w:rPr>
      </w:pPr>
      <w:r w:rsidRPr="0083235E">
        <w:rPr>
          <w:rFonts w:ascii="Arial" w:hAnsi="Arial" w:cs="Arial"/>
          <w:i/>
          <w:iCs/>
        </w:rPr>
        <w:t xml:space="preserve">Supplementary Table </w:t>
      </w:r>
      <w:r w:rsidRPr="0083235E">
        <w:rPr>
          <w:rFonts w:ascii="Arial" w:hAnsi="Arial" w:cs="Arial"/>
          <w:i/>
          <w:iCs/>
          <w:lang w:val="en-US"/>
        </w:rPr>
        <w:t>3.</w:t>
      </w:r>
      <w:r w:rsidRPr="0083235E">
        <w:rPr>
          <w:rFonts w:ascii="Arial" w:hAnsi="Arial" w:cs="Arial"/>
          <w:i/>
          <w:iCs/>
        </w:rPr>
        <w:t xml:space="preserve"> Genes and associated drugs included in DPWG Clinical Implication Sores as of July 2019</w:t>
      </w: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5"/>
        <w:gridCol w:w="2517"/>
        <w:gridCol w:w="2034"/>
        <w:gridCol w:w="3134"/>
      </w:tblGrid>
      <w:tr w:rsidR="00B57468" w:rsidRPr="0083235E" w:rsidTr="00684497">
        <w:trPr>
          <w:trHeight w:val="227"/>
        </w:trPr>
        <w:tc>
          <w:tcPr>
            <w:tcW w:w="735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Gene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Drug</w:t>
            </w:r>
          </w:p>
        </w:tc>
        <w:tc>
          <w:tcPr>
            <w:tcW w:w="1129" w:type="pct"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Genotyping Recommendation</w:t>
            </w:r>
          </w:p>
        </w:tc>
        <w:tc>
          <w:tcPr>
            <w:tcW w:w="1739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Meaning</w:t>
            </w: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sz w:val="18"/>
                <w:szCs w:val="18"/>
              </w:rPr>
              <w:t>NUDT15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Azathioprine</w:t>
            </w:r>
          </w:p>
        </w:tc>
        <w:tc>
          <w:tcPr>
            <w:tcW w:w="1129" w:type="pct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3235E">
              <w:rPr>
                <w:rFonts w:ascii="Arial" w:hAnsi="Arial" w:cs="Arial"/>
                <w:b/>
                <w:bCs/>
                <w:sz w:val="18"/>
                <w:szCs w:val="18"/>
              </w:rPr>
              <w:t>Essential</w:t>
            </w:r>
          </w:p>
        </w:tc>
        <w:tc>
          <w:tcPr>
            <w:tcW w:w="1739" w:type="pct"/>
            <w:vMerge w:val="restart"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sz w:val="18"/>
                <w:szCs w:val="18"/>
              </w:rPr>
              <w:t>Genotying</w:t>
            </w:r>
            <w:proofErr w:type="spellEnd"/>
            <w:r w:rsidRPr="0083235E">
              <w:rPr>
                <w:rFonts w:ascii="Arial" w:hAnsi="Arial" w:cs="Arial"/>
                <w:sz w:val="18"/>
                <w:szCs w:val="18"/>
              </w:rPr>
              <w:t xml:space="preserve"> must be performed before drug therapy has been initiated.</w:t>
            </w: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Mercaptopurine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Tioguanine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sz w:val="18"/>
                <w:szCs w:val="18"/>
              </w:rPr>
              <w:t>UGT1A1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Irinotecan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sz w:val="18"/>
                <w:szCs w:val="18"/>
              </w:rPr>
              <w:t>CYP2C19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Clopidogrel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sz w:val="18"/>
                <w:szCs w:val="18"/>
              </w:rPr>
              <w:t>CYP2D6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Codeine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sz w:val="18"/>
                <w:szCs w:val="18"/>
              </w:rPr>
              <w:t>DPYD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Fluorouracil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Capecitabine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sz w:val="18"/>
                <w:szCs w:val="18"/>
              </w:rPr>
              <w:t>Tegafur+DPD-inhibitor</w:t>
            </w:r>
            <w:proofErr w:type="spellEnd"/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sz w:val="18"/>
                <w:szCs w:val="18"/>
              </w:rPr>
              <w:t>VKORC1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sz w:val="18"/>
                <w:szCs w:val="18"/>
              </w:rPr>
              <w:t>Acenocoumarol</w:t>
            </w:r>
            <w:proofErr w:type="spellEnd"/>
          </w:p>
        </w:tc>
        <w:tc>
          <w:tcPr>
            <w:tcW w:w="1129" w:type="pct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Beneficial</w:t>
            </w:r>
          </w:p>
        </w:tc>
        <w:tc>
          <w:tcPr>
            <w:tcW w:w="1739" w:type="pct"/>
            <w:vMerge w:val="restart"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It is advised to genotype the patient before (or directly after) drug therapy has been initiated.</w:t>
            </w: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sz w:val="18"/>
                <w:szCs w:val="18"/>
              </w:rPr>
              <w:t>Phenprocoumon</w:t>
            </w:r>
            <w:proofErr w:type="spellEnd"/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sz w:val="18"/>
                <w:szCs w:val="18"/>
              </w:rPr>
              <w:t>HLA-B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Lamotrigine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Oxcarbazepine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Phenytoin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sz w:val="18"/>
                <w:szCs w:val="18"/>
              </w:rPr>
              <w:t>CYP2D6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Amitriptyline</w:t>
            </w:r>
          </w:p>
        </w:tc>
        <w:tc>
          <w:tcPr>
            <w:tcW w:w="1129" w:type="pct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Potentially beneficial</w:t>
            </w:r>
          </w:p>
        </w:tc>
        <w:tc>
          <w:tcPr>
            <w:tcW w:w="1739" w:type="pct"/>
            <w:vMerge w:val="restart"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sz w:val="18"/>
                <w:szCs w:val="18"/>
              </w:rPr>
              <w:t>Genotying</w:t>
            </w:r>
            <w:proofErr w:type="spellEnd"/>
            <w:r w:rsidRPr="0083235E">
              <w:rPr>
                <w:rFonts w:ascii="Arial" w:hAnsi="Arial" w:cs="Arial"/>
                <w:sz w:val="18"/>
                <w:szCs w:val="18"/>
              </w:rPr>
              <w:t xml:space="preserve"> can be considered on an individual patient basis.</w:t>
            </w: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Aripiprazole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Imipramine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Clomipramine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Doxepin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Nortriptyline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Paroxetine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Pimozide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Tramadol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Venlafaxine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3235E">
              <w:rPr>
                <w:rFonts w:ascii="Arial" w:hAnsi="Arial" w:cs="Arial"/>
                <w:i/>
                <w:iCs/>
                <w:sz w:val="18"/>
                <w:szCs w:val="18"/>
              </w:rPr>
              <w:t>CYP2C19</w:t>
            </w: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Omeprazole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Pantoprazole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Sertraline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Citalopram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Clomipramine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Escitalopram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3235E">
              <w:rPr>
                <w:rFonts w:ascii="Arial" w:hAnsi="Arial" w:cs="Arial"/>
                <w:sz w:val="18"/>
                <w:szCs w:val="18"/>
              </w:rPr>
              <w:t>Imipramine</w:t>
            </w:r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7468" w:rsidRPr="0083235E" w:rsidTr="00684497">
        <w:trPr>
          <w:trHeight w:val="227"/>
        </w:trPr>
        <w:tc>
          <w:tcPr>
            <w:tcW w:w="735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pc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3235E">
              <w:rPr>
                <w:rFonts w:ascii="Arial" w:hAnsi="Arial" w:cs="Arial"/>
                <w:sz w:val="18"/>
                <w:szCs w:val="18"/>
              </w:rPr>
              <w:t>Lansoprazol</w:t>
            </w:r>
            <w:proofErr w:type="spellEnd"/>
          </w:p>
        </w:tc>
        <w:tc>
          <w:tcPr>
            <w:tcW w:w="112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9" w:type="pct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rPr>
          <w:rFonts w:ascii="Arial" w:hAnsi="Arial" w:cs="Arial"/>
          <w:sz w:val="14"/>
          <w:szCs w:val="14"/>
        </w:rPr>
      </w:pPr>
    </w:p>
    <w:p w:rsidR="00B57468" w:rsidRPr="00CD0400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rPr>
          <w:rFonts w:ascii="Arial" w:hAnsi="Arial" w:cs="Arial"/>
          <w:sz w:val="14"/>
          <w:szCs w:val="14"/>
          <w:lang w:val="en-US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83235E" w:rsidRDefault="00B57468" w:rsidP="00B57468">
      <w:pPr>
        <w:jc w:val="both"/>
        <w:rPr>
          <w:rFonts w:ascii="Arial" w:hAnsi="Arial" w:cs="Arial"/>
          <w:i/>
          <w:iCs/>
        </w:rPr>
      </w:pPr>
      <w:r w:rsidRPr="0083235E">
        <w:rPr>
          <w:rFonts w:ascii="Arial" w:hAnsi="Arial" w:cs="Arial"/>
          <w:i/>
          <w:iCs/>
        </w:rPr>
        <w:t xml:space="preserve">Supplementary Table 4. The </w:t>
      </w:r>
      <w:r w:rsidR="0083235E">
        <w:rPr>
          <w:rFonts w:ascii="Arial" w:hAnsi="Arial" w:cs="Arial"/>
          <w:i/>
          <w:iCs/>
        </w:rPr>
        <w:t>3</w:t>
      </w:r>
      <w:r w:rsidRPr="0083235E">
        <w:rPr>
          <w:rFonts w:ascii="Arial" w:hAnsi="Arial" w:cs="Arial"/>
          <w:i/>
          <w:iCs/>
        </w:rPr>
        <w:t xml:space="preserve">21 Qingdao </w:t>
      </w:r>
      <w:proofErr w:type="spellStart"/>
      <w:r w:rsidRPr="0083235E">
        <w:rPr>
          <w:rFonts w:ascii="Arial" w:hAnsi="Arial" w:cs="Arial"/>
          <w:i/>
          <w:iCs/>
        </w:rPr>
        <w:t>newborns</w:t>
      </w:r>
      <w:proofErr w:type="spellEnd"/>
      <w:r w:rsidRPr="0083235E">
        <w:rPr>
          <w:rFonts w:ascii="Arial" w:hAnsi="Arial" w:cs="Arial"/>
          <w:i/>
          <w:iCs/>
        </w:rPr>
        <w:t xml:space="preserve"> with two or three pathogenic or likely pathogenic mutations</w:t>
      </w:r>
    </w:p>
    <w:p w:rsidR="00B57468" w:rsidRPr="00314056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7"/>
        <w:gridCol w:w="1087"/>
        <w:gridCol w:w="1648"/>
        <w:gridCol w:w="1297"/>
        <w:gridCol w:w="1607"/>
      </w:tblGrid>
      <w:tr w:rsidR="00B57468" w:rsidRPr="0083235E" w:rsidTr="0083235E">
        <w:trPr>
          <w:trHeight w:val="227"/>
        </w:trPr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No.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Gene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Transcript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Variants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Classification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c.235del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SLC26A4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NM_000441.1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c.919-2A&gt;G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ADA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NM_000022.3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c.424C&gt;T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SLC26A4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NM_000441.1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c.2027T&gt;A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Likely 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c.109G&gt;A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c.235del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SLC22A5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NM_001308122.1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c.1472C&gt;G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SLC26A4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NM_000441.1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c.2168A&gt;G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SLC26A4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NM_000441.1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c.919-2A&gt;G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TPO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NM_000547.5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c.2422del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c.109G&gt;A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MMACHC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NM_015506.2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c.609G&gt;A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GALT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NM_000155.3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c.821-7A&gt;G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PAH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NM_000277.1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c.728G&gt;A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DUOX2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NM_014080.4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c.3329G&gt;A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SLC25A13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NM_001160210.1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c.852_855del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CYP21A2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NM_000500.7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c.92C&gt;T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TSHR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NM_000369.2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c.1349G&gt;A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MCCC1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NM_020166.4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c.639+2T&gt;A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PTS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NM_000317.2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c.166G&gt;A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SLC25A13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NM_001160210.1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c.852_855del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SLC26A4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NM_000441.1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c.1262A&gt;C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Likely 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c.109G&gt;A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MMACHC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NM_015506.2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c.658_660del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c.235del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SLC26A4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NM_000441.1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c.1174A&gt;T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c.109G&gt;A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c.299_300del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DUOX2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NM_014080.4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c.1588A&gt;T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c.109G&gt;A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DUOX2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NM_014080.4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c.1588A&gt;T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PCCB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NM_001178014.1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c.1364A&gt;G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CYP21A2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NM_000500.7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c.92C&gt;T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MMACHC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NM_015506.2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c.482G&gt;A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PAH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NM_000277.1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c.611A&gt;G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PAH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NM_000277.1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c.842+2T&gt;A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DUOX2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NM_014080.4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c.1946C&gt;A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Likely 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HBB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NM_000518.4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c.126_129del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ACADS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NM_000017.3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c.1031A&gt;G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GJB2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NM_004004.5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c.109G&gt;A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PAH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NM_000277.1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c.728G&gt;A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 w:val="restart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ACADM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NM_001286043.1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c.548_551del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MMACHC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NM_015506.2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c.658_660del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Pathogenic</w:t>
            </w:r>
          </w:p>
        </w:tc>
      </w:tr>
      <w:tr w:rsidR="00B57468" w:rsidRPr="0083235E" w:rsidTr="0083235E">
        <w:trPr>
          <w:trHeight w:val="227"/>
        </w:trPr>
        <w:tc>
          <w:tcPr>
            <w:tcW w:w="0" w:type="auto"/>
            <w:vMerge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US"/>
              </w:rPr>
              <w:t>PCCB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NM_001178014.1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c.793G&gt;A</w:t>
            </w:r>
          </w:p>
        </w:tc>
        <w:tc>
          <w:tcPr>
            <w:tcW w:w="0" w:type="auto"/>
            <w:noWrap/>
            <w:vAlign w:val="center"/>
            <w:hideMark/>
          </w:tcPr>
          <w:p w:rsidR="00B57468" w:rsidRPr="0083235E" w:rsidRDefault="00B57468" w:rsidP="0068449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83235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Likely pathogenic</w:t>
            </w:r>
          </w:p>
        </w:tc>
      </w:tr>
    </w:tbl>
    <w:p w:rsidR="00B57468" w:rsidRPr="00314056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Default="00B57468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83235E" w:rsidRDefault="0083235E" w:rsidP="00B57468">
      <w:pPr>
        <w:jc w:val="both"/>
        <w:rPr>
          <w:rFonts w:ascii="Arial" w:hAnsi="Arial" w:cs="Arial"/>
          <w:b/>
          <w:bCs/>
        </w:rPr>
      </w:pPr>
      <w:r w:rsidRPr="0083235E">
        <w:rPr>
          <w:rFonts w:ascii="Arial" w:hAnsi="Arial" w:cs="Arial"/>
          <w:b/>
          <w:bCs/>
        </w:rPr>
        <w:t>Supplementary Figures</w:t>
      </w:r>
    </w:p>
    <w:p w:rsidR="0083235E" w:rsidRDefault="0083235E" w:rsidP="00B57468">
      <w:pPr>
        <w:jc w:val="both"/>
        <w:rPr>
          <w:rFonts w:ascii="Arial" w:hAnsi="Arial" w:cs="Arial"/>
          <w:sz w:val="14"/>
          <w:szCs w:val="14"/>
        </w:rPr>
      </w:pPr>
    </w:p>
    <w:p w:rsidR="00B57468" w:rsidRPr="0083235E" w:rsidRDefault="00B57468" w:rsidP="00B57468">
      <w:pPr>
        <w:jc w:val="both"/>
        <w:rPr>
          <w:rFonts w:ascii="Arial" w:hAnsi="Arial" w:cs="Arial"/>
          <w:i/>
          <w:iCs/>
        </w:rPr>
      </w:pPr>
      <w:r w:rsidRPr="0083235E">
        <w:rPr>
          <w:rFonts w:ascii="Arial" w:hAnsi="Arial" w:cs="Arial"/>
          <w:i/>
          <w:iCs/>
        </w:rPr>
        <w:t>Supplementary Figure 1.</w:t>
      </w: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</w:rPr>
        <w:drawing>
          <wp:inline distT="0" distB="0" distL="0" distR="0" wp14:anchorId="27A3047E" wp14:editId="33F027F9">
            <wp:extent cx="5727700" cy="31261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468" w:rsidRPr="00CD0400" w:rsidRDefault="00B57468" w:rsidP="00B57468">
      <w:pPr>
        <w:jc w:val="both"/>
        <w:rPr>
          <w:rFonts w:ascii="Arial" w:hAnsi="Arial" w:cs="Arial"/>
          <w:color w:val="000000"/>
          <w:sz w:val="14"/>
          <w:szCs w:val="14"/>
        </w:rPr>
      </w:pPr>
    </w:p>
    <w:p w:rsidR="00B57468" w:rsidRPr="00CD0400" w:rsidRDefault="00B57468" w:rsidP="00B57468">
      <w:pPr>
        <w:rPr>
          <w:rFonts w:ascii="Arial" w:hAnsi="Arial" w:cs="Arial"/>
          <w:sz w:val="14"/>
          <w:szCs w:val="14"/>
        </w:rPr>
      </w:pPr>
      <w:r w:rsidRPr="00CD0400">
        <w:rPr>
          <w:rFonts w:ascii="Arial" w:hAnsi="Arial" w:cs="Arial"/>
          <w:sz w:val="14"/>
          <w:szCs w:val="14"/>
        </w:rPr>
        <w:br w:type="page"/>
      </w:r>
    </w:p>
    <w:p w:rsidR="00B57468" w:rsidRPr="0083235E" w:rsidRDefault="00B57468" w:rsidP="00B57468">
      <w:pPr>
        <w:rPr>
          <w:rFonts w:ascii="Arial" w:hAnsi="Arial" w:cs="Arial"/>
          <w:i/>
          <w:iCs/>
          <w:lang w:val="en-US"/>
        </w:rPr>
      </w:pPr>
      <w:r w:rsidRPr="0083235E">
        <w:rPr>
          <w:rFonts w:ascii="Arial" w:hAnsi="Arial" w:cs="Arial"/>
          <w:i/>
          <w:iCs/>
        </w:rPr>
        <w:lastRenderedPageBreak/>
        <w:t>Supplementary Figure 2. Sanger sequencing results of three compound heterozygous mutations</w:t>
      </w:r>
    </w:p>
    <w:p w:rsidR="00B57468" w:rsidRPr="00CD0400" w:rsidRDefault="00B57468" w:rsidP="00B57468">
      <w:pPr>
        <w:jc w:val="both"/>
        <w:rPr>
          <w:rFonts w:ascii="Arial" w:hAnsi="Arial" w:cs="Arial"/>
          <w:sz w:val="14"/>
          <w:szCs w:val="14"/>
        </w:rPr>
      </w:pPr>
      <w:r w:rsidRPr="00CD0400">
        <w:rPr>
          <w:rFonts w:ascii="Arial" w:hAnsi="Arial" w:cs="Arial"/>
          <w:sz w:val="14"/>
          <w:szCs w:val="14"/>
        </w:rPr>
        <w:t xml:space="preserve"> </w:t>
      </w:r>
    </w:p>
    <w:p w:rsidR="00B57468" w:rsidRPr="00CD0400" w:rsidRDefault="0083235E" w:rsidP="00B57468">
      <w:pPr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</w:rPr>
        <w:drawing>
          <wp:inline distT="0" distB="0" distL="0" distR="0">
            <wp:extent cx="5727700" cy="4178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727700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468" w:rsidRPr="00CD0400" w:rsidRDefault="00B57468" w:rsidP="00B57468">
      <w:pPr>
        <w:rPr>
          <w:rFonts w:ascii="Arial" w:hAnsi="Arial" w:cs="Arial"/>
          <w:sz w:val="14"/>
          <w:szCs w:val="14"/>
        </w:rPr>
      </w:pPr>
    </w:p>
    <w:p w:rsidR="00277336" w:rsidRDefault="00277336"/>
    <w:sectPr w:rsidR="00277336" w:rsidSect="00D5196E">
      <w:footerReference w:type="even" r:id="rId10"/>
      <w:footerReference w:type="default" r:id="rId11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A7068" w:rsidRDefault="00BA7068">
      <w:r>
        <w:separator/>
      </w:r>
    </w:p>
  </w:endnote>
  <w:endnote w:type="continuationSeparator" w:id="0">
    <w:p w:rsidR="00BA7068" w:rsidRDefault="00BA7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539458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4B678D" w:rsidRDefault="00B57468" w:rsidP="00F422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4B678D" w:rsidRDefault="00BA7068" w:rsidP="00DD0C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531931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4B678D" w:rsidRDefault="00B57468" w:rsidP="00F422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4B678D" w:rsidRDefault="00BA7068" w:rsidP="00DD0C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A7068" w:rsidRDefault="00BA7068">
      <w:r>
        <w:separator/>
      </w:r>
    </w:p>
  </w:footnote>
  <w:footnote w:type="continuationSeparator" w:id="0">
    <w:p w:rsidR="00BA7068" w:rsidRDefault="00BA70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27057"/>
    <w:multiLevelType w:val="multilevel"/>
    <w:tmpl w:val="02CA5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3131F3"/>
    <w:multiLevelType w:val="hybridMultilevel"/>
    <w:tmpl w:val="F0CEBD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33A4B"/>
    <w:multiLevelType w:val="hybridMultilevel"/>
    <w:tmpl w:val="1B502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E50D08"/>
    <w:multiLevelType w:val="hybridMultilevel"/>
    <w:tmpl w:val="6F3E388A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4F7866"/>
    <w:multiLevelType w:val="hybridMultilevel"/>
    <w:tmpl w:val="1FA0A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E20977"/>
    <w:multiLevelType w:val="hybridMultilevel"/>
    <w:tmpl w:val="066A5FAC"/>
    <w:lvl w:ilvl="0" w:tplc="00C49F12">
      <w:start w:val="15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133F8C"/>
    <w:multiLevelType w:val="hybridMultilevel"/>
    <w:tmpl w:val="AD52A8C4"/>
    <w:lvl w:ilvl="0" w:tplc="72022E4E">
      <w:start w:val="20"/>
      <w:numFmt w:val="decimal"/>
      <w:lvlText w:val="%1."/>
      <w:lvlJc w:val="left"/>
      <w:pPr>
        <w:ind w:left="1080" w:hanging="360"/>
      </w:pPr>
      <w:rPr>
        <w:rFonts w:ascii="Calibri" w:hAnsi="Calibri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468"/>
    <w:rsid w:val="00080A9B"/>
    <w:rsid w:val="001960E5"/>
    <w:rsid w:val="00207317"/>
    <w:rsid w:val="00277336"/>
    <w:rsid w:val="003C45D8"/>
    <w:rsid w:val="004771F2"/>
    <w:rsid w:val="0083235E"/>
    <w:rsid w:val="00866E09"/>
    <w:rsid w:val="00B57468"/>
    <w:rsid w:val="00BA7068"/>
    <w:rsid w:val="00DE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DE3E5D"/>
  <w15:chartTrackingRefBased/>
  <w15:docId w15:val="{227F0240-2C37-3147-9081-499C961B9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468"/>
    <w:rPr>
      <w:rFonts w:ascii="Times New Roman" w:eastAsia="Times New Roman" w:hAnsi="Times New Roman" w:cs="Times New Roman"/>
      <w:kern w:val="0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57468"/>
    <w:pPr>
      <w:spacing w:before="120"/>
      <w:ind w:firstLine="720"/>
    </w:pPr>
  </w:style>
  <w:style w:type="paragraph" w:customStyle="1" w:styleId="Teaser">
    <w:name w:val="Teaser"/>
    <w:basedOn w:val="Normal"/>
    <w:rsid w:val="00B57468"/>
    <w:pPr>
      <w:spacing w:before="120"/>
    </w:pPr>
  </w:style>
  <w:style w:type="character" w:styleId="Hyperlink">
    <w:name w:val="Hyperlink"/>
    <w:basedOn w:val="DefaultParagraphFont"/>
    <w:uiPriority w:val="99"/>
    <w:unhideWhenUsed/>
    <w:rsid w:val="00B57468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rsid w:val="00B57468"/>
    <w:rPr>
      <w:rFonts w:ascii="Calibri" w:hAnsi="Calibri" w:cs="Calibri"/>
    </w:rPr>
  </w:style>
  <w:style w:type="paragraph" w:customStyle="1" w:styleId="EndNoteBibliographyTitle">
    <w:name w:val="EndNote Bibliography Title"/>
    <w:basedOn w:val="Normal"/>
    <w:rsid w:val="00B57468"/>
    <w:pPr>
      <w:jc w:val="center"/>
    </w:pPr>
    <w:rPr>
      <w:rFonts w:ascii="Calibri" w:hAnsi="Calibri" w:cs="Calibri"/>
    </w:rPr>
  </w:style>
  <w:style w:type="character" w:customStyle="1" w:styleId="apple-converted-space">
    <w:name w:val="apple-converted-space"/>
    <w:basedOn w:val="DefaultParagraphFont"/>
    <w:rsid w:val="00B57468"/>
  </w:style>
  <w:style w:type="paragraph" w:styleId="NormalWeb">
    <w:name w:val="Normal (Web)"/>
    <w:basedOn w:val="Normal"/>
    <w:uiPriority w:val="99"/>
    <w:unhideWhenUsed/>
    <w:rsid w:val="00B57468"/>
    <w:pPr>
      <w:spacing w:before="100" w:beforeAutospacing="1" w:after="100" w:afterAutospacing="1"/>
    </w:pPr>
  </w:style>
  <w:style w:type="table" w:styleId="PlainTable2">
    <w:name w:val="Plain Table 2"/>
    <w:basedOn w:val="TableNormal"/>
    <w:uiPriority w:val="42"/>
    <w:rsid w:val="00B57468"/>
    <w:rPr>
      <w:rFonts w:eastAsia="SimSun"/>
      <w:kern w:val="0"/>
      <w:sz w:val="24"/>
      <w:lang w:val="en-GB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5746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468"/>
    <w:rPr>
      <w:rFonts w:ascii="Times New Roman" w:eastAsia="Times New Roman" w:hAnsi="Times New Roman" w:cs="Times New Roman"/>
      <w:kern w:val="0"/>
      <w:sz w:val="18"/>
      <w:szCs w:val="18"/>
      <w:lang w:val="en-GB"/>
    </w:rPr>
  </w:style>
  <w:style w:type="table" w:styleId="PlainTable5">
    <w:name w:val="Plain Table 5"/>
    <w:basedOn w:val="TableNormal"/>
    <w:uiPriority w:val="45"/>
    <w:rsid w:val="00B57468"/>
    <w:rPr>
      <w:rFonts w:eastAsia="SimSun"/>
      <w:kern w:val="0"/>
      <w:sz w:val="24"/>
      <w:lang w:val="en-GB"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B57468"/>
    <w:rPr>
      <w:rFonts w:eastAsia="SimSun"/>
      <w:kern w:val="0"/>
      <w:sz w:val="24"/>
      <w:lang w:val="en-GB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B57468"/>
    <w:rPr>
      <w:rFonts w:eastAsia="SimSun"/>
      <w:kern w:val="0"/>
      <w:sz w:val="24"/>
      <w:lang w:val="en-GB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B57468"/>
    <w:rPr>
      <w:rFonts w:eastAsia="SimSun"/>
      <w:kern w:val="0"/>
      <w:sz w:val="24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B57468"/>
    <w:rPr>
      <w:rFonts w:eastAsia="SimSun"/>
      <w:kern w:val="0"/>
      <w:sz w:val="24"/>
      <w:lang w:val="en-GB"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B57468"/>
    <w:rPr>
      <w:rFonts w:eastAsia="SimSun"/>
      <w:kern w:val="0"/>
      <w:sz w:val="24"/>
      <w:lang w:val="en-GB"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ref-journal">
    <w:name w:val="ref-journal"/>
    <w:basedOn w:val="DefaultParagraphFont"/>
    <w:rsid w:val="00B57468"/>
  </w:style>
  <w:style w:type="character" w:customStyle="1" w:styleId="ref-vol">
    <w:name w:val="ref-vol"/>
    <w:basedOn w:val="DefaultParagraphFont"/>
    <w:rsid w:val="00B57468"/>
  </w:style>
  <w:style w:type="paragraph" w:styleId="ListParagraph">
    <w:name w:val="List Paragraph"/>
    <w:basedOn w:val="Normal"/>
    <w:uiPriority w:val="34"/>
    <w:qFormat/>
    <w:rsid w:val="00B57468"/>
    <w:pPr>
      <w:ind w:left="720"/>
      <w:contextualSpacing/>
    </w:pPr>
  </w:style>
  <w:style w:type="character" w:customStyle="1" w:styleId="bkciteavail">
    <w:name w:val="bk_cite_avail"/>
    <w:basedOn w:val="DefaultParagraphFont"/>
    <w:rsid w:val="00B57468"/>
  </w:style>
  <w:style w:type="character" w:styleId="Emphasis">
    <w:name w:val="Emphasis"/>
    <w:basedOn w:val="DefaultParagraphFont"/>
    <w:uiPriority w:val="20"/>
    <w:qFormat/>
    <w:rsid w:val="00B57468"/>
    <w:rPr>
      <w:i/>
      <w:iCs/>
    </w:rPr>
  </w:style>
  <w:style w:type="paragraph" w:styleId="Revision">
    <w:name w:val="Revision"/>
    <w:hidden/>
    <w:uiPriority w:val="99"/>
    <w:semiHidden/>
    <w:rsid w:val="00B57468"/>
    <w:rPr>
      <w:rFonts w:ascii="Times New Roman" w:eastAsia="Times New Roman" w:hAnsi="Times New Roman" w:cs="Times New Roman"/>
      <w:kern w:val="0"/>
      <w:sz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B57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SimSun" w:hAnsiTheme="minorHAnsi" w:cstheme="minorBidi"/>
      <w:sz w:val="18"/>
      <w:szCs w:val="18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57468"/>
    <w:rPr>
      <w:rFonts w:eastAsia="SimSun"/>
      <w:kern w:val="0"/>
      <w:sz w:val="18"/>
      <w:szCs w:val="18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B57468"/>
    <w:pPr>
      <w:tabs>
        <w:tab w:val="center" w:pos="4153"/>
        <w:tab w:val="right" w:pos="8306"/>
      </w:tabs>
      <w:snapToGrid w:val="0"/>
    </w:pPr>
    <w:rPr>
      <w:rFonts w:asciiTheme="minorHAnsi" w:eastAsia="SimSun" w:hAnsiTheme="minorHAnsi" w:cstheme="minorBidi"/>
      <w:sz w:val="18"/>
      <w:szCs w:val="18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57468"/>
    <w:rPr>
      <w:rFonts w:eastAsia="SimSun"/>
      <w:kern w:val="0"/>
      <w:sz w:val="18"/>
      <w:szCs w:val="18"/>
      <w:lang w:val="en-GB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57468"/>
    <w:rPr>
      <w:color w:val="954F72"/>
      <w:u w:val="single"/>
    </w:rPr>
  </w:style>
  <w:style w:type="paragraph" w:customStyle="1" w:styleId="msonormal0">
    <w:name w:val="msonormal"/>
    <w:basedOn w:val="Normal"/>
    <w:rsid w:val="00B57468"/>
    <w:pPr>
      <w:spacing w:before="100" w:beforeAutospacing="1" w:after="100" w:afterAutospacing="1"/>
    </w:pPr>
    <w:rPr>
      <w:rFonts w:ascii="SimSun" w:eastAsia="SimSun" w:hAnsi="SimSun" w:cs="SimSun"/>
      <w:lang w:val="en-US"/>
    </w:rPr>
  </w:style>
  <w:style w:type="paragraph" w:customStyle="1" w:styleId="font5">
    <w:name w:val="font5"/>
    <w:basedOn w:val="Normal"/>
    <w:rsid w:val="00B57468"/>
    <w:pPr>
      <w:spacing w:before="100" w:beforeAutospacing="1" w:after="100" w:afterAutospacing="1"/>
    </w:pPr>
    <w:rPr>
      <w:rFonts w:ascii="DengXian" w:eastAsia="DengXian" w:hAnsi="DengXian" w:cs="SimSun"/>
      <w:sz w:val="18"/>
      <w:szCs w:val="18"/>
      <w:lang w:val="en-US"/>
    </w:rPr>
  </w:style>
  <w:style w:type="paragraph" w:customStyle="1" w:styleId="font6">
    <w:name w:val="font6"/>
    <w:basedOn w:val="Normal"/>
    <w:rsid w:val="00B57468"/>
    <w:pPr>
      <w:spacing w:before="100" w:beforeAutospacing="1" w:after="100" w:afterAutospacing="1"/>
    </w:pPr>
    <w:rPr>
      <w:rFonts w:ascii="Segoe UI" w:eastAsia="SimSun" w:hAnsi="Segoe UI" w:cs="Segoe UI"/>
      <w:color w:val="FF0000"/>
      <w:sz w:val="22"/>
      <w:szCs w:val="22"/>
      <w:lang w:val="en-US"/>
    </w:rPr>
  </w:style>
  <w:style w:type="paragraph" w:customStyle="1" w:styleId="xl64">
    <w:name w:val="xl64"/>
    <w:basedOn w:val="Normal"/>
    <w:rsid w:val="00B57468"/>
    <w:pPr>
      <w:pBdr>
        <w:top w:val="single" w:sz="12" w:space="0" w:color="D5D5D5"/>
        <w:left w:val="single" w:sz="12" w:space="0" w:color="D5D5D5"/>
        <w:bottom w:val="single" w:sz="12" w:space="0" w:color="D5D5D5"/>
        <w:right w:val="single" w:sz="8" w:space="0" w:color="D5D5D5"/>
      </w:pBdr>
      <w:shd w:val="clear" w:color="000000" w:fill="E6E6E6"/>
      <w:spacing w:before="100" w:beforeAutospacing="1" w:after="100" w:afterAutospacing="1"/>
      <w:textAlignment w:val="center"/>
    </w:pPr>
    <w:rPr>
      <w:rFonts w:ascii="Segoe UI" w:eastAsia="SimSun" w:hAnsi="Segoe UI" w:cs="Segoe UI"/>
      <w:b/>
      <w:bCs/>
      <w:color w:val="333333"/>
      <w:lang w:val="en-US"/>
    </w:rPr>
  </w:style>
  <w:style w:type="paragraph" w:customStyle="1" w:styleId="xl65">
    <w:name w:val="xl65"/>
    <w:basedOn w:val="Normal"/>
    <w:rsid w:val="00B57468"/>
    <w:pPr>
      <w:pBdr>
        <w:top w:val="single" w:sz="12" w:space="0" w:color="D5D5D5"/>
        <w:left w:val="single" w:sz="8" w:space="0" w:color="A6A6A6"/>
        <w:bottom w:val="single" w:sz="12" w:space="0" w:color="D5D5D5"/>
        <w:right w:val="single" w:sz="8" w:space="0" w:color="D5D5D5"/>
      </w:pBdr>
      <w:shd w:val="clear" w:color="000000" w:fill="E6E6E6"/>
      <w:spacing w:before="100" w:beforeAutospacing="1" w:after="100" w:afterAutospacing="1"/>
      <w:textAlignment w:val="center"/>
    </w:pPr>
    <w:rPr>
      <w:rFonts w:ascii="Segoe UI" w:eastAsia="SimSun" w:hAnsi="Segoe UI" w:cs="Segoe UI"/>
      <w:b/>
      <w:bCs/>
      <w:color w:val="333333"/>
      <w:lang w:val="en-US"/>
    </w:rPr>
  </w:style>
  <w:style w:type="paragraph" w:customStyle="1" w:styleId="xl66">
    <w:name w:val="xl66"/>
    <w:basedOn w:val="Normal"/>
    <w:rsid w:val="00B57468"/>
    <w:pPr>
      <w:spacing w:before="100" w:beforeAutospacing="1" w:after="100" w:afterAutospacing="1"/>
      <w:textAlignment w:val="center"/>
    </w:pPr>
    <w:rPr>
      <w:rFonts w:ascii="SimSun" w:eastAsia="SimSun" w:hAnsi="SimSun" w:cs="SimSun"/>
      <w:lang w:val="en-US"/>
    </w:rPr>
  </w:style>
  <w:style w:type="paragraph" w:customStyle="1" w:styleId="xl67">
    <w:name w:val="xl67"/>
    <w:basedOn w:val="Normal"/>
    <w:rsid w:val="00B57468"/>
    <w:pPr>
      <w:pBdr>
        <w:top w:val="single" w:sz="12" w:space="0" w:color="D5D5D5"/>
        <w:left w:val="single" w:sz="12" w:space="0" w:color="D5D5D5"/>
        <w:bottom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68">
    <w:name w:val="xl68"/>
    <w:basedOn w:val="Normal"/>
    <w:rsid w:val="00B57468"/>
    <w:pPr>
      <w:pBdr>
        <w:top w:val="single" w:sz="12" w:space="0" w:color="D5D5D5"/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333333"/>
      <w:lang w:val="en-US"/>
    </w:rPr>
  </w:style>
  <w:style w:type="paragraph" w:customStyle="1" w:styleId="xl69">
    <w:name w:val="xl69"/>
    <w:basedOn w:val="Normal"/>
    <w:rsid w:val="00B57468"/>
    <w:pPr>
      <w:pBdr>
        <w:top w:val="single" w:sz="12" w:space="0" w:color="D5D5D5"/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70">
    <w:name w:val="xl70"/>
    <w:basedOn w:val="Normal"/>
    <w:rsid w:val="00B57468"/>
    <w:pPr>
      <w:pBdr>
        <w:top w:val="single" w:sz="8" w:space="0" w:color="A6A6A6"/>
        <w:left w:val="single" w:sz="12" w:space="0" w:color="D5D5D5"/>
        <w:bottom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71">
    <w:name w:val="xl71"/>
    <w:basedOn w:val="Normal"/>
    <w:rsid w:val="00B57468"/>
    <w:pPr>
      <w:pBdr>
        <w:top w:val="single" w:sz="8" w:space="0" w:color="A6A6A6"/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333333"/>
      <w:lang w:val="en-US"/>
    </w:rPr>
  </w:style>
  <w:style w:type="paragraph" w:customStyle="1" w:styleId="xl72">
    <w:name w:val="xl72"/>
    <w:basedOn w:val="Normal"/>
    <w:rsid w:val="00B57468"/>
    <w:pPr>
      <w:pBdr>
        <w:top w:val="single" w:sz="8" w:space="0" w:color="A6A6A6"/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73">
    <w:name w:val="xl73"/>
    <w:basedOn w:val="Normal"/>
    <w:rsid w:val="00B57468"/>
    <w:pPr>
      <w:pBdr>
        <w:top w:val="single" w:sz="8" w:space="0" w:color="A6A6A6"/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FFF00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333333"/>
      <w:lang w:val="en-US"/>
    </w:rPr>
  </w:style>
  <w:style w:type="paragraph" w:customStyle="1" w:styleId="xl74">
    <w:name w:val="xl74"/>
    <w:basedOn w:val="Normal"/>
    <w:rsid w:val="00B57468"/>
    <w:pPr>
      <w:pBdr>
        <w:top w:val="single" w:sz="8" w:space="0" w:color="A6A6A6"/>
        <w:left w:val="single" w:sz="12" w:space="0" w:color="D5D5D5"/>
        <w:right w:val="single" w:sz="8" w:space="0" w:color="A6A6A6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75">
    <w:name w:val="xl75"/>
    <w:basedOn w:val="Normal"/>
    <w:rsid w:val="00B57468"/>
    <w:pPr>
      <w:pBdr>
        <w:top w:val="single" w:sz="8" w:space="0" w:color="A6A6A6"/>
        <w:left w:val="single" w:sz="8" w:space="0" w:color="A6A6A6"/>
        <w:bottom w:val="single" w:sz="4" w:space="0" w:color="auto"/>
        <w:right w:val="single" w:sz="8" w:space="0" w:color="A6A6A6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333333"/>
      <w:lang w:val="en-US"/>
    </w:rPr>
  </w:style>
  <w:style w:type="paragraph" w:customStyle="1" w:styleId="xl76">
    <w:name w:val="xl76"/>
    <w:basedOn w:val="Normal"/>
    <w:rsid w:val="00B57468"/>
    <w:pPr>
      <w:pBdr>
        <w:top w:val="single" w:sz="8" w:space="0" w:color="A6A6A6"/>
        <w:left w:val="single" w:sz="8" w:space="0" w:color="A6A6A6"/>
        <w:right w:val="single" w:sz="8" w:space="0" w:color="A6A6A6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77">
    <w:name w:val="xl77"/>
    <w:basedOn w:val="Normal"/>
    <w:rsid w:val="00B57468"/>
    <w:pPr>
      <w:pBdr>
        <w:top w:val="single" w:sz="8" w:space="0" w:color="A6A6A6"/>
        <w:left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78">
    <w:name w:val="xl78"/>
    <w:basedOn w:val="Normal"/>
    <w:rsid w:val="00B57468"/>
    <w:pPr>
      <w:pBdr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333333"/>
      <w:lang w:val="en-US"/>
    </w:rPr>
  </w:style>
  <w:style w:type="paragraph" w:customStyle="1" w:styleId="xl79">
    <w:name w:val="xl79"/>
    <w:basedOn w:val="Normal"/>
    <w:rsid w:val="00B57468"/>
    <w:pPr>
      <w:pBdr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80">
    <w:name w:val="xl80"/>
    <w:basedOn w:val="Normal"/>
    <w:rsid w:val="00B57468"/>
    <w:pPr>
      <w:pBdr>
        <w:top w:val="single" w:sz="8" w:space="0" w:color="A6A6A6"/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u w:val="single"/>
      <w:lang w:val="en-US"/>
    </w:rPr>
  </w:style>
  <w:style w:type="paragraph" w:customStyle="1" w:styleId="xl81">
    <w:name w:val="xl81"/>
    <w:basedOn w:val="Normal"/>
    <w:rsid w:val="00B57468"/>
    <w:pPr>
      <w:pBdr>
        <w:top w:val="single" w:sz="8" w:space="0" w:color="A6A6A6"/>
        <w:left w:val="single" w:sz="8" w:space="0" w:color="A6A6A6"/>
        <w:right w:val="single" w:sz="8" w:space="0" w:color="D5D5D5"/>
      </w:pBdr>
      <w:shd w:val="clear" w:color="000000" w:fill="FFFF00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333333"/>
      <w:lang w:val="en-US"/>
    </w:rPr>
  </w:style>
  <w:style w:type="paragraph" w:customStyle="1" w:styleId="xl82">
    <w:name w:val="xl82"/>
    <w:basedOn w:val="Normal"/>
    <w:rsid w:val="00B57468"/>
    <w:pPr>
      <w:pBdr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FFF00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333333"/>
      <w:lang w:val="en-US"/>
    </w:rPr>
  </w:style>
  <w:style w:type="paragraph" w:customStyle="1" w:styleId="xl83">
    <w:name w:val="xl83"/>
    <w:basedOn w:val="Normal"/>
    <w:rsid w:val="00B57468"/>
    <w:pPr>
      <w:pBdr>
        <w:top w:val="single" w:sz="8" w:space="0" w:color="A6A6A6"/>
        <w:left w:val="single" w:sz="12" w:space="0" w:color="D5D5D5"/>
        <w:bottom w:val="single" w:sz="12" w:space="0" w:color="D5D5D5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84">
    <w:name w:val="xl84"/>
    <w:basedOn w:val="Normal"/>
    <w:rsid w:val="00B57468"/>
    <w:pPr>
      <w:pBdr>
        <w:top w:val="single" w:sz="8" w:space="0" w:color="A6A6A6"/>
        <w:left w:val="single" w:sz="8" w:space="0" w:color="A6A6A6"/>
        <w:bottom w:val="single" w:sz="12" w:space="0" w:color="D5D5D5"/>
        <w:right w:val="single" w:sz="8" w:space="0" w:color="D5D5D5"/>
      </w:pBdr>
      <w:shd w:val="clear" w:color="000000" w:fill="FFFF00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333333"/>
      <w:lang w:val="en-US"/>
    </w:rPr>
  </w:style>
  <w:style w:type="paragraph" w:customStyle="1" w:styleId="xl85">
    <w:name w:val="xl85"/>
    <w:basedOn w:val="Normal"/>
    <w:rsid w:val="00B57468"/>
    <w:pPr>
      <w:pBdr>
        <w:top w:val="single" w:sz="8" w:space="0" w:color="A6A6A6"/>
        <w:left w:val="single" w:sz="8" w:space="0" w:color="A6A6A6"/>
        <w:bottom w:val="single" w:sz="12" w:space="0" w:color="D5D5D5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86">
    <w:name w:val="xl86"/>
    <w:basedOn w:val="Normal"/>
    <w:rsid w:val="00B57468"/>
    <w:pPr>
      <w:pBdr>
        <w:top w:val="single" w:sz="8" w:space="0" w:color="A6A6A6"/>
        <w:left w:val="single" w:sz="8" w:space="0" w:color="A6A6A6"/>
        <w:bottom w:val="single" w:sz="12" w:space="0" w:color="D5D5D5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u w:val="single"/>
      <w:lang w:val="en-US"/>
    </w:rPr>
  </w:style>
  <w:style w:type="paragraph" w:customStyle="1" w:styleId="xl87">
    <w:name w:val="xl87"/>
    <w:basedOn w:val="Normal"/>
    <w:rsid w:val="00B57468"/>
    <w:pPr>
      <w:pBdr>
        <w:top w:val="single" w:sz="8" w:space="0" w:color="A6A6A6"/>
        <w:left w:val="single" w:sz="12" w:space="0" w:color="D5D5D5"/>
        <w:right w:val="single" w:sz="8" w:space="0" w:color="D5D5D5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88">
    <w:name w:val="xl88"/>
    <w:basedOn w:val="Normal"/>
    <w:rsid w:val="00B57468"/>
    <w:pPr>
      <w:pBdr>
        <w:top w:val="single" w:sz="8" w:space="0" w:color="A6A6A6"/>
        <w:left w:val="single" w:sz="12" w:space="0" w:color="D5D5D5"/>
        <w:right w:val="single" w:sz="8" w:space="0" w:color="A6A6A6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89">
    <w:name w:val="xl89"/>
    <w:basedOn w:val="Normal"/>
    <w:rsid w:val="00B57468"/>
    <w:pPr>
      <w:pBdr>
        <w:top w:val="single" w:sz="8" w:space="0" w:color="A6A6A6"/>
        <w:left w:val="single" w:sz="8" w:space="0" w:color="A6A6A6"/>
        <w:right w:val="single" w:sz="8" w:space="0" w:color="A6A6A6"/>
      </w:pBdr>
      <w:shd w:val="clear" w:color="000000" w:fill="FCFCFC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333333"/>
      <w:lang w:val="en-US"/>
    </w:rPr>
  </w:style>
  <w:style w:type="paragraph" w:customStyle="1" w:styleId="xl90">
    <w:name w:val="xl90"/>
    <w:basedOn w:val="Normal"/>
    <w:rsid w:val="00B57468"/>
    <w:pPr>
      <w:pBdr>
        <w:top w:val="single" w:sz="8" w:space="0" w:color="A6A6A6"/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FFF00"/>
      <w:spacing w:before="100" w:beforeAutospacing="1" w:after="100" w:afterAutospacing="1"/>
      <w:textAlignment w:val="center"/>
    </w:pPr>
    <w:rPr>
      <w:rFonts w:ascii="Segoe UI" w:eastAsia="SimSun" w:hAnsi="Segoe UI" w:cs="Segoe UI"/>
      <w:color w:val="333333"/>
      <w:lang w:val="en-US"/>
    </w:rPr>
  </w:style>
  <w:style w:type="paragraph" w:customStyle="1" w:styleId="xl91">
    <w:name w:val="xl91"/>
    <w:basedOn w:val="Normal"/>
    <w:rsid w:val="00B57468"/>
    <w:pPr>
      <w:pBdr>
        <w:top w:val="single" w:sz="8" w:space="0" w:color="A6A6A6"/>
        <w:left w:val="single" w:sz="8" w:space="0" w:color="A6A6A6"/>
        <w:right w:val="single" w:sz="8" w:space="0" w:color="A6A6A6"/>
      </w:pBdr>
      <w:shd w:val="clear" w:color="000000" w:fill="FFFF00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FF0000"/>
      <w:lang w:val="en-US"/>
    </w:rPr>
  </w:style>
  <w:style w:type="paragraph" w:customStyle="1" w:styleId="xl92">
    <w:name w:val="xl92"/>
    <w:basedOn w:val="Normal"/>
    <w:rsid w:val="00B57468"/>
    <w:pPr>
      <w:pBdr>
        <w:top w:val="single" w:sz="8" w:space="0" w:color="A6A6A6"/>
        <w:left w:val="single" w:sz="8" w:space="0" w:color="A6A6A6"/>
        <w:bottom w:val="single" w:sz="12" w:space="0" w:color="D5D5D5"/>
        <w:right w:val="single" w:sz="8" w:space="0" w:color="D5D5D5"/>
      </w:pBdr>
      <w:shd w:val="clear" w:color="000000" w:fill="FFFF00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FF0000"/>
      <w:lang w:val="en-US"/>
    </w:rPr>
  </w:style>
  <w:style w:type="paragraph" w:customStyle="1" w:styleId="xl93">
    <w:name w:val="xl93"/>
    <w:basedOn w:val="Normal"/>
    <w:rsid w:val="00B57468"/>
    <w:pPr>
      <w:pBdr>
        <w:top w:val="single" w:sz="8" w:space="0" w:color="A6A6A6"/>
        <w:left w:val="single" w:sz="8" w:space="0" w:color="A6A6A6"/>
        <w:bottom w:val="single" w:sz="8" w:space="0" w:color="A6A6A6"/>
        <w:right w:val="single" w:sz="8" w:space="0" w:color="D5D5D5"/>
      </w:pBdr>
      <w:shd w:val="clear" w:color="000000" w:fill="FFFF00"/>
      <w:spacing w:before="100" w:beforeAutospacing="1" w:after="100" w:afterAutospacing="1"/>
      <w:textAlignment w:val="center"/>
    </w:pPr>
    <w:rPr>
      <w:rFonts w:ascii="Segoe UI" w:eastAsia="SimSun" w:hAnsi="Segoe UI" w:cs="Segoe UI"/>
      <w:i/>
      <w:iCs/>
      <w:color w:val="FF000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B57468"/>
  </w:style>
  <w:style w:type="character" w:styleId="Strong">
    <w:name w:val="Strong"/>
    <w:basedOn w:val="DefaultParagraphFont"/>
    <w:uiPriority w:val="22"/>
    <w:qFormat/>
    <w:rsid w:val="00B57468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B57468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746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7468"/>
    <w:rPr>
      <w:rFonts w:ascii="Times New Roman" w:eastAsia="Times New Roman" w:hAnsi="Times New Roman" w:cs="Times New Roman"/>
      <w:kern w:val="0"/>
      <w:sz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74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7468"/>
    <w:rPr>
      <w:rFonts w:ascii="Times New Roman" w:eastAsia="Times New Roman" w:hAnsi="Times New Roman" w:cs="Times New Roman"/>
      <w:b/>
      <w:bCs/>
      <w:kern w:val="0"/>
      <w:sz w:val="24"/>
      <w:lang w:val="en-GB"/>
    </w:rPr>
  </w:style>
  <w:style w:type="paragraph" w:customStyle="1" w:styleId="xmsonormal">
    <w:name w:val="x_msonormal"/>
    <w:basedOn w:val="Normal"/>
    <w:rsid w:val="00B57468"/>
    <w:pPr>
      <w:spacing w:before="100" w:beforeAutospacing="1" w:after="100" w:afterAutospacing="1"/>
    </w:pPr>
    <w:rPr>
      <w:lang w:val="en-HK"/>
    </w:rPr>
  </w:style>
  <w:style w:type="character" w:styleId="UnresolvedMention">
    <w:name w:val="Unresolved Mention"/>
    <w:basedOn w:val="DefaultParagraphFont"/>
    <w:uiPriority w:val="99"/>
    <w:rsid w:val="00B57468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B574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hrsa.gov/advisory-committees/heritable-disorders/rusp/index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2244</Words>
  <Characters>12797</Characters>
  <Application>Microsoft Office Word</Application>
  <DocSecurity>0</DocSecurity>
  <Lines>106</Lines>
  <Paragraphs>30</Paragraphs>
  <ScaleCrop>false</ScaleCrop>
  <Company/>
  <LinksUpToDate>false</LinksUpToDate>
  <CharactersWithSpaces>15011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 Min</dc:creator>
  <cp:keywords/>
  <dc:description/>
  <cp:lastModifiedBy>Jian Min</cp:lastModifiedBy>
  <cp:revision>2</cp:revision>
  <dcterms:created xsi:type="dcterms:W3CDTF">2020-11-07T09:17:00Z</dcterms:created>
  <dcterms:modified xsi:type="dcterms:W3CDTF">2020-11-07T09:17:00Z</dcterms:modified>
</cp:coreProperties>
</file>