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0E8" w:rsidRPr="00222CBF" w:rsidRDefault="00C770E8" w:rsidP="00C770E8">
      <w:pPr>
        <w:spacing w:after="240" w:line="480" w:lineRule="auto"/>
        <w:rPr>
          <w:b/>
          <w:bCs/>
        </w:rPr>
      </w:pPr>
      <w:r>
        <w:rPr>
          <w:b/>
          <w:bCs/>
        </w:rPr>
        <w:t>Supplementary materials</w:t>
      </w:r>
    </w:p>
    <w:p w:rsidR="00C770E8" w:rsidRPr="0092565A" w:rsidRDefault="00C770E8" w:rsidP="00C770E8">
      <w:pPr>
        <w:spacing w:after="200" w:line="480" w:lineRule="auto"/>
        <w:jc w:val="both"/>
        <w:rPr>
          <w:b/>
          <w:bCs/>
          <w:color w:val="111111"/>
        </w:rPr>
      </w:pPr>
      <w:r w:rsidRPr="0092565A">
        <w:rPr>
          <w:b/>
          <w:bCs/>
          <w:color w:val="111111"/>
        </w:rPr>
        <w:t>Table 1 ICD-9 and ICD-10 codes used for comorbidities in Type 1 and Type 2 DM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7F65D4">
              <w:rPr>
                <w:b/>
                <w:bCs/>
                <w:color w:val="111111"/>
                <w:sz w:val="22"/>
                <w:szCs w:val="22"/>
              </w:rPr>
              <w:t>Comorbidities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b/>
                <w:bCs/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b/>
                <w:bCs/>
                <w:color w:val="111111"/>
                <w:sz w:val="22"/>
                <w:szCs w:val="22"/>
              </w:rPr>
              <w:t>ICD-9</w:t>
            </w:r>
            <w:r w:rsidRPr="007F65D4">
              <w:rPr>
                <w:b/>
                <w:bCs/>
                <w:color w:val="111111"/>
                <w:sz w:val="22"/>
                <w:szCs w:val="22"/>
                <w:lang w:val="ru-RU"/>
              </w:rPr>
              <w:t>р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7F65D4">
              <w:rPr>
                <w:b/>
                <w:bCs/>
                <w:color w:val="111111"/>
                <w:sz w:val="22"/>
                <w:szCs w:val="22"/>
              </w:rPr>
              <w:t>ICD 10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Coronary artery disease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00.66, 36.00-36.99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I20-I25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Hypertension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I10-I16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Stroke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00.61, 00.62, 00.64, 00.65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I60-I66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retinopathy</w:t>
            </w:r>
          </w:p>
        </w:tc>
        <w:tc>
          <w:tcPr>
            <w:tcW w:w="3005" w:type="dxa"/>
          </w:tcPr>
          <w:p w:rsidR="00C770E8" w:rsidRPr="00970B52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14</w:t>
            </w:r>
            <w:r>
              <w:rPr>
                <w:rFonts w:eastAsia="Gungsuh"/>
                <w:color w:val="111111"/>
                <w:sz w:val="22"/>
                <w:szCs w:val="22"/>
              </w:rPr>
              <w:t>.0-14.9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E10.3, E11.3, E12.3, E13.3, E14.3, H25-H26, H28, H30-H36, H43.1, H54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nephropathy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55.6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E10.2, E11.2, E12.2, E13.2, E14.2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N17.0–N19.9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Z99.2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neuropathy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E10.4, E11.4, E12.4, E13.4, E14.4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G63.2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G62.9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foot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E10.5, E11.5, E12.5, E13.5, E14.5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L97, L98.4, R02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M86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Amputations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84.1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</w:tr>
      <w:tr w:rsidR="00C770E8" w:rsidRPr="007F65D4" w:rsidTr="00445DA2"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Neoplasms</w:t>
            </w:r>
          </w:p>
        </w:tc>
        <w:tc>
          <w:tcPr>
            <w:tcW w:w="3005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:rsidR="00C770E8" w:rsidRPr="007F65D4" w:rsidRDefault="00C770E8" w:rsidP="00445DA2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C00-D49</w:t>
            </w:r>
          </w:p>
        </w:tc>
      </w:tr>
    </w:tbl>
    <w:p w:rsidR="002F0F5E" w:rsidRDefault="00C770E8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0E8"/>
    <w:rsid w:val="0021090F"/>
    <w:rsid w:val="00C52827"/>
    <w:rsid w:val="00C770E8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25D12D-AC56-429F-AE20-80DB8DF23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0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70E8"/>
    <w:pPr>
      <w:spacing w:after="0" w:line="240" w:lineRule="auto"/>
    </w:pPr>
    <w:rPr>
      <w:rFonts w:ascii="Calibri" w:eastAsia="Calibri" w:hAnsi="Calibri" w:cs="Calibri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2022-04-07T06:24:00Z</dcterms:created>
  <dcterms:modified xsi:type="dcterms:W3CDTF">2022-04-07T06:25:00Z</dcterms:modified>
</cp:coreProperties>
</file>