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 w:ascii="Times New Roman" w:hAnsi="Times New Roman" w:eastAsia="微软雅黑"/>
          <w:b/>
          <w:bCs/>
          <w:sz w:val="24"/>
          <w:szCs w:val="24"/>
          <w:lang w:eastAsia="zh-CN"/>
        </w:rPr>
      </w:pPr>
      <w:r>
        <w:rPr>
          <w:rFonts w:hint="eastAsia" w:ascii="Times New Roman" w:hAnsi="Times New Roman" w:eastAsia="微软雅黑"/>
          <w:b/>
          <w:bCs/>
          <w:sz w:val="24"/>
          <w:szCs w:val="24"/>
        </w:rPr>
        <w:t>S</w:t>
      </w:r>
      <w:r>
        <w:rPr>
          <w:rFonts w:ascii="Times New Roman" w:hAnsi="Times New Roman" w:eastAsia="微软雅黑"/>
          <w:b/>
          <w:bCs/>
          <w:sz w:val="24"/>
          <w:szCs w:val="24"/>
        </w:rPr>
        <w:t xml:space="preserve">upplementary Table </w:t>
      </w:r>
      <w:r>
        <w:rPr>
          <w:rFonts w:hint="eastAsia" w:ascii="Times New Roman" w:hAnsi="Times New Roman" w:eastAsia="微软雅黑"/>
          <w:b/>
          <w:bCs/>
          <w:sz w:val="24"/>
          <w:szCs w:val="24"/>
          <w:lang w:val="en-US" w:eastAsia="zh-CN"/>
        </w:rPr>
        <w:t>1</w:t>
      </w:r>
    </w:p>
    <w:tbl>
      <w:tblPr>
        <w:tblStyle w:val="4"/>
        <w:tblW w:w="13958" w:type="dxa"/>
        <w:tblInd w:w="0" w:type="dxa"/>
        <w:tblLayout w:type="autofit"/>
        <w:tblCellMar>
          <w:top w:w="15" w:type="dxa"/>
          <w:left w:w="108" w:type="dxa"/>
          <w:bottom w:w="0" w:type="dxa"/>
          <w:right w:w="108" w:type="dxa"/>
        </w:tblCellMar>
      </w:tblPr>
      <w:tblGrid>
        <w:gridCol w:w="883"/>
        <w:gridCol w:w="576"/>
        <w:gridCol w:w="1373"/>
        <w:gridCol w:w="1174"/>
        <w:gridCol w:w="1632"/>
        <w:gridCol w:w="1524"/>
        <w:gridCol w:w="1336"/>
        <w:gridCol w:w="1454"/>
        <w:gridCol w:w="1198"/>
        <w:gridCol w:w="2189"/>
        <w:gridCol w:w="633"/>
      </w:tblGrid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13325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宋体"/>
                <w:b/>
                <w:bCs/>
                <w:color w:val="231F2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333333"/>
                <w:kern w:val="0"/>
                <w:sz w:val="24"/>
                <w:szCs w:val="24"/>
              </w:rPr>
              <w:t>Clinical characteristics of individual patients with FCDIIb and TSC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1110" w:hRule="atLeast"/>
        </w:trPr>
        <w:tc>
          <w:tcPr>
            <w:tcW w:w="87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D0CECE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Patient</w:t>
            </w: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D0CECE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D0CECE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Pathologic</w:t>
            </w: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Diagnosis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D0CECE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Age at</w:t>
            </w: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Surgery,</w:t>
            </w: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Years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D0CECE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Seizure</w:t>
            </w: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Duration,</w:t>
            </w: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Years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D0CECE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Seizure</w:t>
            </w: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Type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D0CECE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Brain</w:t>
            </w: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Region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D0CECE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Seizure Frequency per Month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D0CECE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Engel’s class</w:t>
            </w:r>
          </w:p>
        </w:tc>
        <w:tc>
          <w:tcPr>
            <w:tcW w:w="218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D0CECE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Application</w:t>
            </w: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Used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FCDIIb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0.5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IS, PS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O, T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Elisa,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FCDIIb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PS, GTCS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Elisa, IHC,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FCDIIb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PS, GTCS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Elisa, qPCR,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FCDIIb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PS, GTCS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Elisa,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FCDIIb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PS, GTCS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Elisa,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FCDIIb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Fr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Elisa, IHC,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FCDIIb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PS, GTCS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Fr, P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Elisa,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FCDIIb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PS, GTCS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IV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Elisa,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FCDIIb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PS, GTCS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O, P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Elisa,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FCDIIb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PS, GTCS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T, P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qPCR, IHC,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FCDIIb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IS, PS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Fr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qPCR, IHC,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FCDIIb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1.5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GTCS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IV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qPCR, IHC, IF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FCDIIb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Fr, T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qPCR, IHC, IF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FCDIIb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PS, GTCS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Fr, P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qPCR, IHC, IF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FCDIIb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4.5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IS, GTCS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qPCR, IHC,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FCDIIb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PS, GTCS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qPCR, IHC, IF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FCDIIb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Fr, T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qPCR, IHC, IF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FCDIIb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GTCS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O, P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qPCR, IHC, IF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FCDIIb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7.2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PS, GTCS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qPCR, IHC, IF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FCDIIb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qPCR, IHC, IF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TSC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IS, PS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qPCR,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TSC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qPCR, IHC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TSC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IS, PS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Fr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Elisa,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TSC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PS, GTCS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O, T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Elisa,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TSC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16.5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Fr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Elisa, qPCR,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TSC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Elisa, qPCR,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TSC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7.5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O, P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Elisa, qPCR,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TSC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PS, GTCS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Elisa, IHC,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TSC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10.5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PS, GTCS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Fr, O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III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Elisa, IHC,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TSC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O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IHC,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TSC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PS, GTCS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Elisa, IHC, IF,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TSC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Elisa, qPCR, IHC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TSC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PS, GTCS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qPCR, IHC, IF,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TSC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qPCR, IHC, IF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TSC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11.5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PS, GTCS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qPCR, IHC, IF, WB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TSC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PS, GTCS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Fr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qPCR, IHC, IF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TSC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qPCR, IHC, IF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TSC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IS, PS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qPCR, IHC, IF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TSC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PS, GTCS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14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qPCR, IHC, IF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87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57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TSC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63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PS</w:t>
            </w:r>
          </w:p>
        </w:tc>
        <w:tc>
          <w:tcPr>
            <w:tcW w:w="133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Fr</w:t>
            </w:r>
          </w:p>
        </w:tc>
        <w:tc>
          <w:tcPr>
            <w:tcW w:w="145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19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I</w:t>
            </w:r>
          </w:p>
        </w:tc>
        <w:tc>
          <w:tcPr>
            <w:tcW w:w="218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qPCR, IHC, IF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633" w:type="dxa"/>
          <w:trHeight w:val="370" w:hRule="atLeast"/>
        </w:trPr>
        <w:tc>
          <w:tcPr>
            <w:tcW w:w="13325" w:type="dxa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8"/>
                <w:szCs w:val="18"/>
              </w:rPr>
              <w:t>Abbreviations: F, female; M, male; FCD, focal cortical dysplasia; TSC, tuberous sclerosis complex; IS, infantile spasm; PS, partial seizure; GTCS, generalized tonic-clonic seizure; O, occipital lobe; T, temporal lobe; P, parietal lobe; Fr, frontal lobe; IHC, immunohistochemistry; IF,</w:t>
            </w:r>
            <w:r>
              <w:rPr>
                <w:rFonts w:ascii="Times New Roman" w:hAnsi="Times New Roman" w:eastAsia="宋体"/>
                <w:color w:val="FF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宋体"/>
                <w:color w:val="000000"/>
                <w:kern w:val="0"/>
                <w:sz w:val="18"/>
                <w:szCs w:val="18"/>
              </w:rPr>
              <w:t>immunofluorescence; qPCR, real-time quantitative polymerase chain reaction; WB, Western blotting; Elisa, Enzyme Linked Immunosorbent Assay.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3325" w:type="dxa"/>
            <w:gridSpan w:val="10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8"/>
                <w:szCs w:val="18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/>
    <w:p/>
    <w:p/>
    <w:p/>
    <w:p>
      <w:pPr>
        <w:rPr>
          <w:rFonts w:hint="eastAsia" w:ascii="Times New Roman" w:hAnsi="Times New Roman" w:eastAsia="微软雅黑"/>
          <w:b/>
          <w:bCs/>
          <w:sz w:val="24"/>
          <w:szCs w:val="24"/>
          <w:lang w:eastAsia="zh-CN"/>
        </w:rPr>
      </w:pPr>
      <w:r>
        <w:rPr>
          <w:rFonts w:hint="eastAsia" w:ascii="Times New Roman" w:hAnsi="Times New Roman" w:eastAsia="微软雅黑"/>
          <w:b/>
          <w:bCs/>
          <w:sz w:val="24"/>
          <w:szCs w:val="24"/>
        </w:rPr>
        <w:t>S</w:t>
      </w:r>
      <w:r>
        <w:rPr>
          <w:rFonts w:ascii="Times New Roman" w:hAnsi="Times New Roman" w:eastAsia="微软雅黑"/>
          <w:b/>
          <w:bCs/>
          <w:sz w:val="24"/>
          <w:szCs w:val="24"/>
        </w:rPr>
        <w:t xml:space="preserve">upplementary Table </w:t>
      </w:r>
      <w:r>
        <w:rPr>
          <w:rFonts w:hint="eastAsia" w:ascii="Times New Roman" w:hAnsi="Times New Roman" w:eastAsia="微软雅黑"/>
          <w:b/>
          <w:bCs/>
          <w:sz w:val="24"/>
          <w:szCs w:val="24"/>
          <w:lang w:val="en-US" w:eastAsia="zh-CN"/>
        </w:rPr>
        <w:t>2</w:t>
      </w:r>
    </w:p>
    <w:tbl>
      <w:tblPr>
        <w:tblStyle w:val="4"/>
        <w:tblW w:w="11285" w:type="dxa"/>
        <w:tblInd w:w="108" w:type="dxa"/>
        <w:tblLayout w:type="autofit"/>
        <w:tblCellMar>
          <w:top w:w="15" w:type="dxa"/>
          <w:left w:w="108" w:type="dxa"/>
          <w:bottom w:w="0" w:type="dxa"/>
          <w:right w:w="108" w:type="dxa"/>
        </w:tblCellMar>
      </w:tblPr>
      <w:tblGrid>
        <w:gridCol w:w="1366"/>
        <w:gridCol w:w="1122"/>
        <w:gridCol w:w="1100"/>
        <w:gridCol w:w="3136"/>
        <w:gridCol w:w="1668"/>
        <w:gridCol w:w="1484"/>
        <w:gridCol w:w="1140"/>
        <w:gridCol w:w="269"/>
      </w:tblGrid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69" w:type="dxa"/>
          <w:trHeight w:val="401" w:hRule="atLeast"/>
        </w:trPr>
        <w:tc>
          <w:tcPr>
            <w:tcW w:w="110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Clinical features of control subjects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802" w:hRule="atLeast"/>
        </w:trPr>
        <w:tc>
          <w:tcPr>
            <w:tcW w:w="136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D0CECE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Case No.</w:t>
            </w:r>
          </w:p>
        </w:tc>
        <w:tc>
          <w:tcPr>
            <w:tcW w:w="1122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D0CECE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Gender</w:t>
            </w:r>
          </w:p>
        </w:tc>
        <w:tc>
          <w:tcPr>
            <w:tcW w:w="110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D0CECE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 xml:space="preserve">Age </w:t>
            </w: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(year)</w:t>
            </w:r>
          </w:p>
        </w:tc>
        <w:tc>
          <w:tcPr>
            <w:tcW w:w="3136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D0CECE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Cause of death</w:t>
            </w:r>
          </w:p>
        </w:tc>
        <w:tc>
          <w:tcPr>
            <w:tcW w:w="166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D0CECE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b/>
                <w:bCs/>
                <w:color w:val="231F2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b/>
                <w:bCs/>
                <w:color w:val="231F20"/>
                <w:kern w:val="0"/>
                <w:sz w:val="24"/>
                <w:szCs w:val="24"/>
              </w:rPr>
              <w:t>PMI</w:t>
            </w:r>
            <w:r>
              <w:rPr>
                <w:rFonts w:ascii="宋体" w:hAnsi="宋体" w:eastAsia="宋体"/>
                <w:b/>
                <w:bCs/>
                <w:color w:val="333333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 w:eastAsia="宋体"/>
                <w:b/>
                <w:bCs/>
                <w:color w:val="333333"/>
                <w:kern w:val="0"/>
                <w:sz w:val="24"/>
                <w:szCs w:val="24"/>
              </w:rPr>
              <w:t>h</w:t>
            </w:r>
            <w:r>
              <w:rPr>
                <w:rFonts w:ascii="宋体" w:hAnsi="宋体" w:eastAsia="宋体"/>
                <w:b/>
                <w:bCs/>
                <w:color w:val="333333"/>
                <w:kern w:val="0"/>
                <w:sz w:val="24"/>
                <w:szCs w:val="24"/>
              </w:rPr>
              <w:t>）</w:t>
            </w:r>
          </w:p>
        </w:tc>
        <w:tc>
          <w:tcPr>
            <w:tcW w:w="14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D0CECE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Diagnosis</w:t>
            </w:r>
          </w:p>
        </w:tc>
        <w:tc>
          <w:tcPr>
            <w:tcW w:w="113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D0CECE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Seizure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401" w:hRule="atLeast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Nonneurologic disease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Normal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None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401" w:hRule="atLeast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6.5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Drowning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Normal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None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401" w:hRule="atLeast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Nonneurologic disease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Normal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None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401" w:hRule="atLeast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Motor vehicle accident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Normal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None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401" w:hRule="atLeast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8.5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Drowning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Normal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None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401" w:hRule="atLeast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Motor vehicle accident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Normal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None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401" w:hRule="atLeast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Nonneurologic disease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3.5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Normal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None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401" w:hRule="atLeast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12.5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Drowning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Normal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None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401" w:hRule="atLeast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Nonneurologic disease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Normal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None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401" w:hRule="atLeast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Motor vehicle accident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5.5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Normal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None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401" w:hRule="atLeast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Drowning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Normal</w:t>
            </w: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None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72" w:type="dxa"/>
          <w:trHeight w:val="401" w:hRule="atLeast"/>
        </w:trPr>
        <w:tc>
          <w:tcPr>
            <w:tcW w:w="136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</w:t>
            </w:r>
          </w:p>
        </w:tc>
        <w:tc>
          <w:tcPr>
            <w:tcW w:w="110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13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Motor vehicle accident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2.5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Normal</w:t>
            </w:r>
          </w:p>
        </w:tc>
        <w:tc>
          <w:tcPr>
            <w:tcW w:w="113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E7E6E6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4"/>
                <w:szCs w:val="24"/>
              </w:rPr>
              <w:t>None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gridAfter w:val="1"/>
          <w:wAfter w:w="269" w:type="dxa"/>
          <w:trHeight w:val="401" w:hRule="atLeast"/>
        </w:trPr>
        <w:tc>
          <w:tcPr>
            <w:tcW w:w="11016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18"/>
                <w:szCs w:val="18"/>
              </w:rPr>
              <w:t>Abbreviations: F, female; M, male; PMI, post-mortem interval (interval between death of a patient and removal of the brain before freezing or fixation).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231" w:hRule="atLeast"/>
        </w:trPr>
        <w:tc>
          <w:tcPr>
            <w:tcW w:w="11016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color w:val="000000"/>
                <w:kern w:val="0"/>
                <w:sz w:val="18"/>
                <w:szCs w:val="18"/>
              </w:rPr>
            </w:pPr>
          </w:p>
        </w:tc>
      </w:tr>
    </w:tbl>
    <w:p/>
    <w:p/>
    <w:p/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3CB4"/>
    <w:rsid w:val="000D38A8"/>
    <w:rsid w:val="001568F6"/>
    <w:rsid w:val="00193CB4"/>
    <w:rsid w:val="002B43E6"/>
    <w:rsid w:val="0050462A"/>
    <w:rsid w:val="0061091D"/>
    <w:rsid w:val="00684F37"/>
    <w:rsid w:val="007C4970"/>
    <w:rsid w:val="009054E8"/>
    <w:rsid w:val="00AC3661"/>
    <w:rsid w:val="00B20524"/>
    <w:rsid w:val="00C661F2"/>
    <w:rsid w:val="00DF124A"/>
    <w:rsid w:val="00DF50C6"/>
    <w:rsid w:val="00FE1D10"/>
    <w:rsid w:val="66391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character" w:customStyle="1" w:styleId="8">
    <w:name w:val="font11"/>
    <w:basedOn w:val="5"/>
    <w:uiPriority w:val="0"/>
    <w:rPr>
      <w:rFonts w:hint="default" w:ascii="Times New Roman" w:hAnsi="Times New Roman" w:cs="Times New Roman"/>
      <w:color w:val="333333"/>
      <w:sz w:val="24"/>
      <w:szCs w:val="24"/>
      <w:u w:val="none"/>
    </w:rPr>
  </w:style>
  <w:style w:type="character" w:customStyle="1" w:styleId="9">
    <w:name w:val="font01"/>
    <w:basedOn w:val="5"/>
    <w:uiPriority w:val="0"/>
    <w:rPr>
      <w:rFonts w:hint="default" w:ascii="Times New Roman" w:hAnsi="Times New Roman" w:cs="Times New Roman"/>
      <w:color w:val="FF0000"/>
      <w:sz w:val="18"/>
      <w:szCs w:val="18"/>
      <w:u w:val="none"/>
    </w:rPr>
  </w:style>
  <w:style w:type="character" w:customStyle="1" w:styleId="10">
    <w:name w:val="font51"/>
    <w:basedOn w:val="5"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1">
    <w:name w:val="font71"/>
    <w:basedOn w:val="5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581</Words>
  <Characters>3317</Characters>
  <Lines>27</Lines>
  <Paragraphs>7</Paragraphs>
  <TotalTime>11</TotalTime>
  <ScaleCrop>false</ScaleCrop>
  <LinksUpToDate>false</LinksUpToDate>
  <CharactersWithSpaces>3891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2022-01-20T14:11:00Z</dcterms:created>
  <dc:creator>admin</dc:creator>
  <cp:lastModifiedBy>黄煜宸</cp:lastModifiedBy>
  <dcterms:modified xsi:type="dcterms:W3CDTF">2022-03-08T15:46:56Z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DA68E9637108446E9AEC8D10B75681B5</vt:lpwstr>
  </property>
</Properties>
</file>