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2C88" w:rsidRDefault="004060B4" w:rsidP="00552C88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Times New Roman" w:hAnsi="Times New Roman" w:cs="Times New Roman"/>
          <w:sz w:val="40"/>
          <w:szCs w:val="40"/>
        </w:rPr>
      </w:pPr>
      <w:r w:rsidRPr="004060B4">
        <w:rPr>
          <w:rStyle w:val="spellingerror"/>
          <w:rFonts w:ascii="Times New Roman" w:hAnsi="Times New Roman" w:cs="Times New Roman"/>
          <w:b/>
          <w:bCs/>
          <w:iCs/>
          <w:sz w:val="40"/>
          <w:szCs w:val="40"/>
        </w:rPr>
        <w:t xml:space="preserve">Growth and autolysis of </w:t>
      </w:r>
      <w:r w:rsidRPr="004060B4">
        <w:rPr>
          <w:rStyle w:val="spellingerror"/>
          <w:rFonts w:ascii="Times New Roman" w:hAnsi="Times New Roman" w:cs="Times New Roman"/>
          <w:b/>
          <w:bCs/>
          <w:i/>
          <w:iCs/>
          <w:sz w:val="40"/>
          <w:szCs w:val="40"/>
        </w:rPr>
        <w:t xml:space="preserve">Kluyveromyces marxianus </w:t>
      </w:r>
      <w:r w:rsidRPr="004060B4">
        <w:rPr>
          <w:rStyle w:val="spellingerror"/>
          <w:rFonts w:ascii="Times New Roman" w:hAnsi="Times New Roman" w:cs="Times New Roman"/>
          <w:b/>
          <w:bCs/>
          <w:iCs/>
          <w:sz w:val="40"/>
          <w:szCs w:val="40"/>
        </w:rPr>
        <w:t>stimulated with lactate provides insights into symbiosis</w:t>
      </w:r>
      <w:r w:rsidR="00552C88" w:rsidRPr="004060B4">
        <w:rPr>
          <w:rStyle w:val="eop"/>
          <w:rFonts w:ascii="Times New Roman" w:hAnsi="Times New Roman" w:cs="Times New Roman"/>
          <w:sz w:val="40"/>
          <w:szCs w:val="40"/>
        </w:rPr>
        <w:t> </w:t>
      </w:r>
    </w:p>
    <w:p w:rsidR="004060B4" w:rsidRPr="004060B4" w:rsidRDefault="004060B4" w:rsidP="004060B4">
      <w:pPr>
        <w:spacing w:line="360" w:lineRule="auto"/>
        <w:rPr>
          <w:rFonts w:ascii="Times New Roman" w:eastAsia="Times New Roman" w:hAnsi="Times New Roman" w:cs="Times New Roman"/>
          <w:b/>
        </w:rPr>
      </w:pPr>
      <w:r w:rsidRPr="004060B4">
        <w:rPr>
          <w:rFonts w:ascii="Times New Roman" w:eastAsia="Times New Roman" w:hAnsi="Times New Roman" w:cs="Times New Roman"/>
          <w:b/>
        </w:rPr>
        <w:t>Shou-Chen Lo</w:t>
      </w:r>
      <w:r w:rsidRPr="004060B4">
        <w:rPr>
          <w:rFonts w:ascii="Times New Roman" w:eastAsia="Times New Roman" w:hAnsi="Times New Roman" w:cs="Times New Roman"/>
          <w:b/>
          <w:vertAlign w:val="superscript"/>
        </w:rPr>
        <w:t>1*</w:t>
      </w:r>
      <w:r w:rsidRPr="004060B4">
        <w:rPr>
          <w:rFonts w:ascii="Times New Roman" w:eastAsia="Times New Roman" w:hAnsi="Times New Roman" w:cs="Times New Roman"/>
          <w:b/>
        </w:rPr>
        <w:t>, Chia-Yin Yang</w:t>
      </w:r>
      <w:r w:rsidRPr="004060B4">
        <w:rPr>
          <w:rFonts w:ascii="Times New Roman" w:eastAsia="Times New Roman" w:hAnsi="Times New Roman" w:cs="Times New Roman"/>
          <w:b/>
          <w:vertAlign w:val="superscript"/>
        </w:rPr>
        <w:t>1</w:t>
      </w:r>
      <w:r w:rsidRPr="004060B4">
        <w:rPr>
          <w:rFonts w:ascii="Times New Roman" w:eastAsia="Times New Roman" w:hAnsi="Times New Roman" w:cs="Times New Roman"/>
          <w:b/>
        </w:rPr>
        <w:t>, Dony Chacko Mathew</w:t>
      </w:r>
      <w:r w:rsidRPr="004060B4">
        <w:rPr>
          <w:rFonts w:ascii="Times New Roman" w:eastAsia="Times New Roman" w:hAnsi="Times New Roman" w:cs="Times New Roman"/>
          <w:b/>
          <w:vertAlign w:val="superscript"/>
        </w:rPr>
        <w:t>2</w:t>
      </w:r>
      <w:r w:rsidRPr="004060B4">
        <w:rPr>
          <w:rFonts w:ascii="Times New Roman" w:eastAsia="Times New Roman" w:hAnsi="Times New Roman" w:cs="Times New Roman"/>
          <w:b/>
        </w:rPr>
        <w:t>, and Chieh-Chen Huang</w:t>
      </w:r>
      <w:r w:rsidRPr="004060B4">
        <w:rPr>
          <w:rFonts w:ascii="Times New Roman" w:eastAsia="Times New Roman" w:hAnsi="Times New Roman" w:cs="Times New Roman"/>
          <w:b/>
          <w:vertAlign w:val="superscript"/>
        </w:rPr>
        <w:t>1,3,4*</w:t>
      </w:r>
    </w:p>
    <w:p w:rsidR="004060B4" w:rsidRPr="004060B4" w:rsidRDefault="004060B4" w:rsidP="004060B4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4060B4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4060B4">
        <w:rPr>
          <w:rFonts w:ascii="Times New Roman" w:hAnsi="Times New Roman" w:cs="Times New Roman"/>
          <w:sz w:val="20"/>
          <w:szCs w:val="20"/>
        </w:rPr>
        <w:t>Department of Life Sciences, National Chung Hsing University, Taichung, 402, Taiwan</w:t>
      </w:r>
    </w:p>
    <w:p w:rsidR="004060B4" w:rsidRPr="004060B4" w:rsidRDefault="004060B4" w:rsidP="004060B4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60B4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4060B4">
        <w:rPr>
          <w:rFonts w:ascii="Times New Roman" w:hAnsi="Times New Roman" w:cs="Times New Roman"/>
          <w:sz w:val="20"/>
          <w:szCs w:val="20"/>
        </w:rPr>
        <w:t xml:space="preserve"> Washington Senior High School, Taichung, 406, Taiwan</w:t>
      </w:r>
    </w:p>
    <w:p w:rsidR="004060B4" w:rsidRPr="004060B4" w:rsidRDefault="004060B4" w:rsidP="004060B4">
      <w:pPr>
        <w:spacing w:line="360" w:lineRule="auto"/>
        <w:rPr>
          <w:rFonts w:ascii="Times New Roman" w:hAnsi="Times New Roman" w:cs="Times New Roman"/>
          <w:sz w:val="20"/>
          <w:szCs w:val="20"/>
          <w:vertAlign w:val="superscript"/>
        </w:rPr>
      </w:pPr>
      <w:r w:rsidRPr="004060B4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4060B4">
        <w:rPr>
          <w:rFonts w:ascii="Times New Roman" w:hAnsi="Times New Roman" w:cs="Times New Roman"/>
          <w:sz w:val="20"/>
          <w:szCs w:val="20"/>
        </w:rPr>
        <w:t xml:space="preserve"> Program in Microbial Genomics, National Chung Hsing University, Taichung, 402, Taiwan</w:t>
      </w:r>
      <w:bookmarkStart w:id="0" w:name="_GoBack"/>
      <w:bookmarkEnd w:id="0"/>
    </w:p>
    <w:p w:rsidR="004060B4" w:rsidRPr="004060B4" w:rsidRDefault="004060B4" w:rsidP="004060B4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4060B4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4060B4">
        <w:rPr>
          <w:rFonts w:ascii="Times New Roman" w:hAnsi="Times New Roman" w:cs="Times New Roman"/>
          <w:sz w:val="20"/>
          <w:szCs w:val="20"/>
        </w:rPr>
        <w:t>Innovation and Development Center of Sustainable Agriculture, National Chung Hsing University, Taichung, 402, Taiwan</w:t>
      </w:r>
    </w:p>
    <w:p w:rsidR="004060B4" w:rsidRPr="004060B4" w:rsidRDefault="004060B4" w:rsidP="004060B4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060B4">
        <w:rPr>
          <w:rFonts w:ascii="Times New Roman" w:hAnsi="Times New Roman" w:cs="Times New Roman"/>
          <w:sz w:val="20"/>
          <w:szCs w:val="20"/>
        </w:rPr>
        <w:t>*Cocorresponding authors: Chieh-Chen Huang, Ph.D., and Shou-Chen Lo, Ph.D.</w:t>
      </w:r>
    </w:p>
    <w:p w:rsidR="00552C88" w:rsidRDefault="00552C88" w:rsidP="00552C8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Times New Roman" w:hAnsi="Times New Roman" w:cs="Times New Roman"/>
          <w:sz w:val="20"/>
          <w:szCs w:val="20"/>
        </w:rPr>
        <w:t>E-mail addresses: </w:t>
      </w:r>
      <w:hyperlink r:id="rId7" w:tgtFrame="_blank" w:history="1">
        <w:r>
          <w:rPr>
            <w:rStyle w:val="normaltextrun"/>
            <w:rFonts w:ascii="Times New Roman" w:hAnsi="Times New Roman" w:cs="Times New Roman"/>
            <w:sz w:val="20"/>
            <w:szCs w:val="20"/>
            <w:u w:val="single"/>
          </w:rPr>
          <w:t>cchuang@dragon.nchu.edu.tw</w:t>
        </w:r>
      </w:hyperlink>
      <w:r>
        <w:rPr>
          <w:rStyle w:val="normaltextrun"/>
          <w:rFonts w:ascii="Times New Roman" w:hAnsi="Times New Roman" w:cs="Times New Roman"/>
          <w:sz w:val="20"/>
          <w:szCs w:val="20"/>
        </w:rPr>
        <w:t> (C.C.H.) and </w:t>
      </w:r>
      <w:hyperlink r:id="rId8" w:tgtFrame="_blank" w:history="1">
        <w:r>
          <w:rPr>
            <w:rStyle w:val="normaltextrun"/>
            <w:rFonts w:ascii="Times New Roman" w:hAnsi="Times New Roman" w:cs="Times New Roman"/>
            <w:sz w:val="20"/>
            <w:szCs w:val="20"/>
            <w:u w:val="single"/>
          </w:rPr>
          <w:t>scl@dragon.nchu.edu.tw</w:t>
        </w:r>
      </w:hyperlink>
      <w:r>
        <w:rPr>
          <w:rStyle w:val="normaltextrun"/>
          <w:rFonts w:ascii="Times New Roman" w:hAnsi="Times New Roman" w:cs="Times New Roman"/>
          <w:sz w:val="20"/>
          <w:szCs w:val="20"/>
        </w:rPr>
        <w:t> (S.C.L.)</w:t>
      </w:r>
      <w:r>
        <w:rPr>
          <w:rStyle w:val="eop"/>
          <w:rFonts w:ascii="Times New Roman" w:hAnsi="Times New Roman" w:cs="Times New Roman"/>
          <w:sz w:val="20"/>
          <w:szCs w:val="20"/>
        </w:rPr>
        <w:t> </w:t>
      </w:r>
    </w:p>
    <w:p w:rsidR="00552C88" w:rsidRDefault="00552C88" w:rsidP="00552C8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Times New Roman" w:hAnsi="Times New Roman" w:cs="Times New Roman"/>
          <w:sz w:val="20"/>
          <w:szCs w:val="20"/>
        </w:rPr>
        <w:t>Mailing address: Life Sciences Building 4F. R.403, No.145, </w:t>
      </w:r>
      <w:r>
        <w:rPr>
          <w:rStyle w:val="spellingerror"/>
          <w:rFonts w:ascii="Times New Roman" w:hAnsi="Times New Roman" w:cs="Times New Roman"/>
          <w:sz w:val="20"/>
          <w:szCs w:val="20"/>
        </w:rPr>
        <w:t>Xingda</w:t>
      </w:r>
      <w:r>
        <w:rPr>
          <w:rStyle w:val="normaltextrun"/>
          <w:rFonts w:ascii="Times New Roman" w:hAnsi="Times New Roman" w:cs="Times New Roman"/>
          <w:sz w:val="20"/>
          <w:szCs w:val="20"/>
        </w:rPr>
        <w:t> Rd., Taichung</w:t>
      </w:r>
      <w:r>
        <w:rPr>
          <w:rStyle w:val="eop"/>
          <w:rFonts w:ascii="Times New Roman" w:hAnsi="Times New Roman" w:cs="Times New Roman"/>
          <w:sz w:val="20"/>
          <w:szCs w:val="20"/>
        </w:rPr>
        <w:t> </w:t>
      </w:r>
    </w:p>
    <w:p w:rsidR="00B85218" w:rsidRPr="00552C88" w:rsidRDefault="00552C88" w:rsidP="00552C88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Times New Roman" w:hAnsi="Times New Roman" w:cs="Times New Roman"/>
          <w:sz w:val="20"/>
          <w:szCs w:val="20"/>
        </w:rPr>
        <w:t>402, Taiwan</w:t>
      </w:r>
      <w:r>
        <w:rPr>
          <w:rStyle w:val="eop"/>
          <w:rFonts w:ascii="Times New Roman" w:hAnsi="Times New Roman" w:cs="Times New Roman"/>
          <w:sz w:val="20"/>
          <w:szCs w:val="20"/>
        </w:rPr>
        <w:t> </w:t>
      </w:r>
    </w:p>
    <w:p w:rsidR="00552C88" w:rsidRDefault="00552C88" w:rsidP="00552C8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Fonts w:asciiTheme="minorHAnsi" w:eastAsiaTheme="minorEastAsia" w:hAnsiTheme="minorHAnsi" w:cstheme="minorBidi" w:hint="eastAsia"/>
          <w:noProof/>
          <w:kern w:val="2"/>
          <w:szCs w:val="22"/>
        </w:rPr>
        <w:drawing>
          <wp:inline distT="0" distB="0" distL="0" distR="0">
            <wp:extent cx="3495334" cy="4186925"/>
            <wp:effectExtent l="0" t="0" r="0" b="4445"/>
            <wp:docPr id="1" name="圖片 1" descr="C:\Users\Coffee\AppData\Local\Microsoft\Windows\INetCache\Content.MSO\A98C5DA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ffee\AppData\Local\Microsoft\Windows\INetCache\Content.MSO\A98C5DA.t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6183" cy="4259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eop"/>
          <w:rFonts w:ascii="Times New Roman" w:hAnsi="Times New Roman" w:cs="Times New Roman"/>
        </w:rPr>
        <w:t> </w:t>
      </w:r>
    </w:p>
    <w:p w:rsidR="00552C88" w:rsidRPr="00E70814" w:rsidRDefault="00552C88" w:rsidP="00552C88">
      <w:pPr>
        <w:pStyle w:val="paragraph"/>
        <w:spacing w:before="0" w:beforeAutospacing="0" w:after="0" w:afterAutospacing="0"/>
        <w:textAlignment w:val="baseline"/>
        <w:rPr>
          <w:rStyle w:val="eop"/>
          <w:rFonts w:ascii="Times New Roman" w:hAnsi="Times New Roman" w:cs="Times New Roman"/>
          <w:sz w:val="20"/>
          <w:szCs w:val="20"/>
        </w:rPr>
      </w:pPr>
      <w:r w:rsidRPr="00E70814">
        <w:rPr>
          <w:rStyle w:val="normaltextrun"/>
          <w:rFonts w:ascii="Times New Roman" w:hAnsi="Times New Roman" w:cs="Times New Roman"/>
          <w:b/>
          <w:bCs/>
          <w:sz w:val="20"/>
          <w:szCs w:val="20"/>
        </w:rPr>
        <w:t>Figure S1</w:t>
      </w:r>
      <w:r w:rsidRPr="00E70814">
        <w:rPr>
          <w:rStyle w:val="normaltextrun"/>
          <w:rFonts w:ascii="Times New Roman" w:hAnsi="Times New Roman" w:cs="Times New Roman"/>
          <w:sz w:val="20"/>
          <w:szCs w:val="20"/>
        </w:rPr>
        <w:t>. The SDS-PAGE analysis of 20 folds concentrated proteins from YNL culture filtrate at pH 3.9, pH 4.8 and pH 6.23.</w:t>
      </w:r>
      <w:r w:rsidRPr="00E70814">
        <w:rPr>
          <w:rStyle w:val="eop"/>
          <w:rFonts w:ascii="Times New Roman" w:hAnsi="Times New Roman" w:cs="Times New Roman"/>
          <w:sz w:val="20"/>
          <w:szCs w:val="20"/>
        </w:rPr>
        <w:t> </w:t>
      </w:r>
    </w:p>
    <w:p w:rsidR="006E289E" w:rsidRDefault="006E289E" w:rsidP="00552C8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:rsidR="00125434" w:rsidRDefault="00125434">
      <w:pPr>
        <w:widowControl/>
        <w:rPr>
          <w:rFonts w:ascii="Times New Roman" w:eastAsia="Arial Unicode MS" w:hAnsi="Times New Roman" w:cs="Times New Roman"/>
          <w:b/>
          <w:bCs/>
          <w:kern w:val="0"/>
          <w:sz w:val="18"/>
          <w:szCs w:val="18"/>
        </w:rPr>
      </w:pPr>
      <w:r>
        <w:rPr>
          <w:rFonts w:ascii="Times New Roman" w:eastAsia="Arial Unicode MS" w:hAnsi="Times New Roman" w:cs="Times New Roman"/>
          <w:b/>
          <w:bCs/>
          <w:sz w:val="18"/>
          <w:szCs w:val="18"/>
        </w:rPr>
        <w:br w:type="page"/>
      </w:r>
    </w:p>
    <w:p w:rsidR="005F257A" w:rsidRPr="008E784E" w:rsidRDefault="005F257A" w:rsidP="005F257A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8E784E">
        <w:rPr>
          <w:rFonts w:ascii="Times New Roman" w:eastAsia="Arial Unicode MS" w:hAnsi="Times New Roman" w:cs="Times New Roman"/>
          <w:b/>
          <w:bCs/>
          <w:sz w:val="18"/>
          <w:szCs w:val="18"/>
        </w:rPr>
        <w:lastRenderedPageBreak/>
        <w:t>Supplementary Table S1.</w:t>
      </w:r>
      <w:r w:rsidRPr="008E784E">
        <w:rPr>
          <w:rFonts w:ascii="Times New Roman" w:hAnsi="Times New Roman" w:cs="Times New Roman"/>
          <w:sz w:val="18"/>
          <w:szCs w:val="18"/>
        </w:rPr>
        <w:t xml:space="preserve"> LC-MS/MS analysis of the 37 kDa and 27 kDa proteins from SDS-PAGE.</w:t>
      </w:r>
    </w:p>
    <w:tbl>
      <w:tblPr>
        <w:tblStyle w:val="a3"/>
        <w:tblW w:w="10070" w:type="dxa"/>
        <w:tblInd w:w="9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8"/>
        <w:gridCol w:w="2248"/>
        <w:gridCol w:w="6584"/>
      </w:tblGrid>
      <w:tr w:rsidR="005F257A" w:rsidRPr="00755D93" w:rsidTr="005F257A">
        <w:trPr>
          <w:trHeight w:val="524"/>
        </w:trPr>
        <w:tc>
          <w:tcPr>
            <w:tcW w:w="1238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:rsidR="005F257A" w:rsidRPr="00755D93" w:rsidRDefault="005F257A" w:rsidP="0008202A">
            <w:pPr>
              <w:spacing w:line="0" w:lineRule="atLeast"/>
              <w:jc w:val="center"/>
              <w:rPr>
                <w:rFonts w:ascii="Arial Unicode MS" w:eastAsia="Arial Unicode MS" w:hAnsi="Arial Unicode MS" w:cs="Arial Unicode MS"/>
                <w:b/>
                <w:bCs/>
                <w:sz w:val="18"/>
                <w:szCs w:val="18"/>
              </w:rPr>
            </w:pPr>
            <w:r w:rsidRPr="00755D93">
              <w:rPr>
                <w:rFonts w:ascii="Arial Unicode MS" w:eastAsia="Arial Unicode MS" w:hAnsi="Arial Unicode MS" w:cs="Arial Unicode MS"/>
                <w:b/>
                <w:bCs/>
                <w:sz w:val="18"/>
                <w:szCs w:val="18"/>
              </w:rPr>
              <w:t>Molecular weight</w:t>
            </w:r>
            <w:r w:rsidRPr="00755D93">
              <w:rPr>
                <w:rFonts w:ascii="Arial Unicode MS" w:eastAsia="Arial Unicode MS" w:hAnsi="Arial Unicode MS" w:cs="Arial Unicode MS"/>
                <w:i/>
                <w:iCs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2248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:rsidR="005F257A" w:rsidRPr="00755D93" w:rsidRDefault="005F257A" w:rsidP="0008202A">
            <w:pPr>
              <w:spacing w:line="0" w:lineRule="atLeast"/>
              <w:jc w:val="center"/>
              <w:rPr>
                <w:rFonts w:ascii="Arial Unicode MS" w:eastAsia="Arial Unicode MS" w:hAnsi="Arial Unicode MS" w:cs="Arial Unicode MS"/>
                <w:b/>
                <w:bCs/>
                <w:sz w:val="18"/>
                <w:szCs w:val="18"/>
              </w:rPr>
            </w:pPr>
            <w:r w:rsidRPr="00755D93">
              <w:rPr>
                <w:rFonts w:ascii="Arial Unicode MS" w:eastAsia="Arial Unicode MS" w:hAnsi="Arial Unicode MS" w:cs="Arial Unicode MS"/>
                <w:b/>
                <w:bCs/>
                <w:sz w:val="18"/>
                <w:szCs w:val="18"/>
              </w:rPr>
              <w:t>Protein name</w:t>
            </w:r>
            <w:r w:rsidRPr="00755D93">
              <w:rPr>
                <w:rFonts w:ascii="Arial Unicode MS" w:eastAsia="Arial Unicode MS" w:hAnsi="Arial Unicode MS" w:cs="Arial Unicode MS"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6584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:rsidR="005F257A" w:rsidRPr="00755D93" w:rsidRDefault="005F257A" w:rsidP="0008202A">
            <w:pPr>
              <w:spacing w:line="0" w:lineRule="atLeast"/>
              <w:jc w:val="center"/>
              <w:rPr>
                <w:rFonts w:ascii="Arial Unicode MS" w:eastAsia="Arial Unicode MS" w:hAnsi="Arial Unicode MS" w:cs="Arial Unicode MS"/>
                <w:b/>
                <w:bCs/>
                <w:sz w:val="18"/>
                <w:szCs w:val="18"/>
              </w:rPr>
            </w:pPr>
            <w:r w:rsidRPr="00755D93">
              <w:rPr>
                <w:rFonts w:ascii="Arial Unicode MS" w:eastAsia="Arial Unicode MS" w:hAnsi="Arial Unicode MS" w:cs="Arial Unicode MS"/>
                <w:b/>
                <w:bCs/>
                <w:sz w:val="18"/>
                <w:szCs w:val="18"/>
              </w:rPr>
              <w:t>Matched sequences</w:t>
            </w:r>
            <w:r w:rsidRPr="00755D93">
              <w:rPr>
                <w:rFonts w:ascii="Arial Unicode MS" w:eastAsia="Arial Unicode MS" w:hAnsi="Arial Unicode MS" w:cs="Arial Unicode MS"/>
                <w:i/>
                <w:iCs/>
                <w:sz w:val="18"/>
                <w:szCs w:val="18"/>
                <w:vertAlign w:val="superscript"/>
              </w:rPr>
              <w:t>c</w:t>
            </w:r>
          </w:p>
        </w:tc>
      </w:tr>
      <w:tr w:rsidR="005F257A" w:rsidRPr="00755D93" w:rsidTr="005F257A">
        <w:tc>
          <w:tcPr>
            <w:tcW w:w="1238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5F257A" w:rsidRPr="00755D93" w:rsidRDefault="005F257A" w:rsidP="0008202A">
            <w:pPr>
              <w:spacing w:line="0" w:lineRule="atLeast"/>
              <w:jc w:val="center"/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 w:rsidRPr="00755D93">
              <w:rPr>
                <w:rFonts w:ascii="Arial Unicode MS" w:eastAsia="Arial Unicode MS" w:hAnsi="Arial Unicode MS" w:cs="Arial Unicode MS"/>
                <w:sz w:val="16"/>
                <w:szCs w:val="16"/>
              </w:rPr>
              <w:t>37 kDa</w:t>
            </w:r>
          </w:p>
        </w:tc>
        <w:tc>
          <w:tcPr>
            <w:tcW w:w="2248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5F257A" w:rsidRPr="00800E41" w:rsidRDefault="005F257A" w:rsidP="0008202A">
            <w:pPr>
              <w:spacing w:line="0" w:lineRule="atLeast"/>
              <w:jc w:val="center"/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 w:rsidRPr="00800E41"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Glyceraldehyde 3-phosphate dehydrogenase 1 in </w:t>
            </w:r>
            <w:r w:rsidRPr="00800E41">
              <w:rPr>
                <w:rFonts w:ascii="Arial Unicode MS" w:eastAsia="Arial Unicode MS" w:hAnsi="Arial Unicode MS" w:cs="Arial Unicode MS"/>
                <w:i/>
                <w:iCs/>
                <w:sz w:val="16"/>
                <w:szCs w:val="16"/>
              </w:rPr>
              <w:t>Kluyveromyces marxianus</w:t>
            </w:r>
            <w:r w:rsidRPr="00800E41"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 (P84998)</w:t>
            </w:r>
          </w:p>
        </w:tc>
        <w:tc>
          <w:tcPr>
            <w:tcW w:w="6584" w:type="dxa"/>
            <w:tcBorders>
              <w:top w:val="double" w:sz="4" w:space="0" w:color="auto"/>
              <w:bottom w:val="single" w:sz="4" w:space="0" w:color="auto"/>
            </w:tcBorders>
          </w:tcPr>
          <w:p w:rsidR="005F257A" w:rsidRPr="00755D93" w:rsidRDefault="005F257A" w:rsidP="0008202A">
            <w:pPr>
              <w:shd w:val="clear" w:color="auto" w:fill="FFFFFF" w:themeFill="background1"/>
              <w:spacing w:line="0" w:lineRule="atLeast"/>
              <w:ind w:firstLineChars="250" w:firstLine="300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1454BE15">
              <w:rPr>
                <w:rFonts w:ascii="Arial Unicode MS" w:eastAsia="Arial Unicode MS" w:hAnsi="Arial Unicode MS" w:cs="Arial Unicode MS"/>
                <w:b/>
                <w:sz w:val="12"/>
                <w:szCs w:val="12"/>
              </w:rPr>
              <w:t>1</w:t>
            </w:r>
            <w:r w:rsidRPr="1454BE15"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MVSIAINGFG RIGRLVLRIA LERKNIDVVA IN</w:t>
            </w:r>
            <w:r w:rsidRPr="1454BE15">
              <w:rPr>
                <w:rFonts w:ascii="Arial Unicode MS" w:eastAsia="Arial Unicode MS" w:hAnsi="Arial Unicode MS" w:cs="Arial Unicode MS"/>
                <w:sz w:val="12"/>
                <w:szCs w:val="12"/>
                <w:u w:val="single"/>
              </w:rPr>
              <w:t>DP</w:t>
            </w:r>
            <w:r w:rsidRPr="1454BE15"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FISVDY AAYMFKYDST </w:t>
            </w:r>
          </w:p>
          <w:p w:rsidR="005F257A" w:rsidRPr="00755D93" w:rsidRDefault="005F257A" w:rsidP="0008202A">
            <w:pPr>
              <w:shd w:val="clear" w:color="auto" w:fill="FFFFFF" w:themeFill="background1"/>
              <w:spacing w:line="0" w:lineRule="atLeas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1454BE15">
              <w:rPr>
                <w:rFonts w:ascii="Arial Unicode MS" w:eastAsia="Arial Unicode MS" w:hAnsi="Arial Unicode MS" w:cs="Arial Unicode MS"/>
                <w:b/>
                <w:sz w:val="12"/>
                <w:szCs w:val="12"/>
              </w:rPr>
              <w:t xml:space="preserve">    51</w:t>
            </w:r>
            <w:r w:rsidRPr="1454BE15"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HGKYKGEVSH DGSNLIINGK K</w:t>
            </w:r>
            <w:r w:rsidRPr="1454BE15">
              <w:rPr>
                <w:rFonts w:ascii="Arial Unicode MS" w:eastAsia="Arial Unicode MS" w:hAnsi="Arial Unicode MS" w:cs="Arial Unicode MS"/>
                <w:b/>
                <w:sz w:val="12"/>
                <w:szCs w:val="12"/>
              </w:rPr>
              <w:t>VAVFQEK</w:t>
            </w:r>
            <w:r w:rsidRPr="1454BE15">
              <w:rPr>
                <w:rFonts w:ascii="Arial Unicode MS" w:eastAsia="Arial Unicode MS" w:hAnsi="Arial Unicode MS" w:cs="Arial Unicode MS"/>
                <w:sz w:val="12"/>
                <w:szCs w:val="12"/>
                <w:u w:val="single"/>
              </w:rPr>
              <w:t>DP</w:t>
            </w:r>
            <w:r w:rsidRPr="1454BE15"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ATLPWGKLGV DIAVDSTGVF </w:t>
            </w:r>
          </w:p>
          <w:p w:rsidR="005F257A" w:rsidRPr="00755D93" w:rsidRDefault="005F257A" w:rsidP="0008202A">
            <w:pPr>
              <w:shd w:val="clear" w:color="auto" w:fill="FFFFFF" w:themeFill="background1"/>
              <w:spacing w:line="0" w:lineRule="atLeas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1454BE15">
              <w:rPr>
                <w:rFonts w:ascii="Arial Unicode MS" w:eastAsia="Arial Unicode MS" w:hAnsi="Arial Unicode MS" w:cs="Arial Unicode MS"/>
                <w:b/>
                <w:sz w:val="12"/>
                <w:szCs w:val="12"/>
              </w:rPr>
              <w:t xml:space="preserve">   101</w:t>
            </w:r>
            <w:r w:rsidRPr="1454BE15"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KELDSAQKHI DAGAKK</w:t>
            </w:r>
            <w:r w:rsidRPr="1454BE15">
              <w:rPr>
                <w:rFonts w:ascii="Arial Unicode MS" w:eastAsia="Arial Unicode MS" w:hAnsi="Arial Unicode MS" w:cs="Arial Unicode MS"/>
                <w:b/>
                <w:sz w:val="12"/>
                <w:szCs w:val="12"/>
              </w:rPr>
              <w:t>VVIT APSK</w:t>
            </w:r>
            <w:r w:rsidRPr="1454BE15"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TAPMFV VGVNEDKYNG EKIVSNASCT </w:t>
            </w:r>
          </w:p>
          <w:p w:rsidR="005F257A" w:rsidRPr="00755D93" w:rsidRDefault="005F257A" w:rsidP="0008202A">
            <w:pPr>
              <w:shd w:val="clear" w:color="auto" w:fill="FFFFFF" w:themeFill="background1"/>
              <w:spacing w:line="0" w:lineRule="atLeas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1454BE15">
              <w:rPr>
                <w:rFonts w:ascii="Arial Unicode MS" w:eastAsia="Arial Unicode MS" w:hAnsi="Arial Unicode MS" w:cs="Arial Unicode MS"/>
                <w:b/>
                <w:sz w:val="12"/>
                <w:szCs w:val="12"/>
              </w:rPr>
              <w:t xml:space="preserve">   151</w:t>
            </w:r>
            <w:r w:rsidRPr="1454BE15"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TNCLAPIAKI INDEFGIEEG LMTTVHSITA TQKTVDGPSH KDWRGGR</w:t>
            </w:r>
            <w:r w:rsidRPr="1454BE15">
              <w:rPr>
                <w:rFonts w:ascii="Arial Unicode MS" w:eastAsia="Arial Unicode MS" w:hAnsi="Arial Unicode MS" w:cs="Arial Unicode MS"/>
                <w:b/>
                <w:sz w:val="12"/>
                <w:szCs w:val="12"/>
              </w:rPr>
              <w:t xml:space="preserve">TAS </w:t>
            </w:r>
          </w:p>
          <w:p w:rsidR="005F257A" w:rsidRPr="00755D93" w:rsidRDefault="005F257A" w:rsidP="0008202A">
            <w:pPr>
              <w:shd w:val="clear" w:color="auto" w:fill="FFFFFF" w:themeFill="background1"/>
              <w:spacing w:line="0" w:lineRule="atLeas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1454BE15">
              <w:rPr>
                <w:rFonts w:ascii="Arial Unicode MS" w:eastAsia="Arial Unicode MS" w:hAnsi="Arial Unicode MS" w:cs="Arial Unicode MS"/>
                <w:b/>
                <w:sz w:val="12"/>
                <w:szCs w:val="12"/>
              </w:rPr>
              <w:t xml:space="preserve">   201 GNIIPSSTGA AK</w:t>
            </w:r>
            <w:r w:rsidRPr="1454BE15">
              <w:rPr>
                <w:rFonts w:ascii="Arial Unicode MS" w:eastAsia="Arial Unicode MS" w:hAnsi="Arial Unicode MS" w:cs="Arial Unicode MS"/>
                <w:sz w:val="12"/>
                <w:szCs w:val="12"/>
              </w:rPr>
              <w:t>AVGK</w:t>
            </w:r>
            <w:r w:rsidRPr="1454BE15">
              <w:rPr>
                <w:rFonts w:ascii="Arial Unicode MS" w:eastAsia="Arial Unicode MS" w:hAnsi="Arial Unicode MS" w:cs="Arial Unicode MS"/>
                <w:b/>
                <w:sz w:val="12"/>
                <w:szCs w:val="12"/>
              </w:rPr>
              <w:t>VLPE LQGKLTGMAF R</w:t>
            </w:r>
            <w:r w:rsidRPr="1454BE15">
              <w:rPr>
                <w:rFonts w:ascii="Arial Unicode MS" w:eastAsia="Arial Unicode MS" w:hAnsi="Arial Unicode MS" w:cs="Arial Unicode MS"/>
                <w:sz w:val="12"/>
                <w:szCs w:val="12"/>
              </w:rPr>
              <w:t>VPTTDVSVV DLTVKLVK</w:t>
            </w:r>
            <w:r w:rsidRPr="1454BE15">
              <w:rPr>
                <w:rFonts w:ascii="Arial Unicode MS" w:eastAsia="Arial Unicode MS" w:hAnsi="Arial Unicode MS" w:cs="Arial Unicode MS"/>
                <w:b/>
                <w:sz w:val="12"/>
                <w:szCs w:val="12"/>
              </w:rPr>
              <w:t xml:space="preserve">AA </w:t>
            </w:r>
          </w:p>
          <w:p w:rsidR="005F257A" w:rsidRPr="00755D93" w:rsidRDefault="005F257A" w:rsidP="0008202A">
            <w:pPr>
              <w:shd w:val="clear" w:color="auto" w:fill="FFFFFF" w:themeFill="background1"/>
              <w:spacing w:line="0" w:lineRule="atLeas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1454BE15">
              <w:rPr>
                <w:rFonts w:ascii="Arial Unicode MS" w:eastAsia="Arial Unicode MS" w:hAnsi="Arial Unicode MS" w:cs="Arial Unicode MS"/>
                <w:b/>
                <w:sz w:val="12"/>
                <w:szCs w:val="12"/>
              </w:rPr>
              <w:t xml:space="preserve">   251 TYDEIK</w:t>
            </w:r>
            <w:r w:rsidRPr="1454BE15"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AAVK KVSEGKLKDV VGYTEDAVVS SDFLGDTHST IFDAAAGIQL </w:t>
            </w:r>
          </w:p>
          <w:p w:rsidR="005F257A" w:rsidRPr="00755D93" w:rsidRDefault="005F257A" w:rsidP="0008202A">
            <w:pPr>
              <w:shd w:val="clear" w:color="auto" w:fill="FFFFFF" w:themeFill="background1"/>
              <w:spacing w:line="0" w:lineRule="atLeas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1454BE15">
              <w:rPr>
                <w:rFonts w:ascii="Arial Unicode MS" w:eastAsia="Arial Unicode MS" w:hAnsi="Arial Unicode MS" w:cs="Arial Unicode MS"/>
                <w:b/>
                <w:sz w:val="12"/>
                <w:szCs w:val="12"/>
              </w:rPr>
              <w:t xml:space="preserve">   301</w:t>
            </w:r>
            <w:r w:rsidRPr="1454BE15"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SPKFVKLVAW YDNEYGYSTR VVDLVEHVA</w:t>
            </w:r>
          </w:p>
        </w:tc>
      </w:tr>
      <w:tr w:rsidR="005F257A" w:rsidRPr="00755D93" w:rsidTr="005F257A">
        <w:tc>
          <w:tcPr>
            <w:tcW w:w="1238" w:type="dxa"/>
            <w:tcBorders>
              <w:top w:val="single" w:sz="4" w:space="0" w:color="auto"/>
            </w:tcBorders>
            <w:vAlign w:val="center"/>
          </w:tcPr>
          <w:p w:rsidR="005F257A" w:rsidRPr="00755D93" w:rsidRDefault="005F257A" w:rsidP="0008202A">
            <w:pPr>
              <w:spacing w:line="0" w:lineRule="atLeast"/>
              <w:jc w:val="center"/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 w:rsidRPr="00755D93">
              <w:rPr>
                <w:rFonts w:ascii="Arial Unicode MS" w:eastAsia="Arial Unicode MS" w:hAnsi="Arial Unicode MS" w:cs="Arial Unicode MS"/>
                <w:sz w:val="16"/>
                <w:szCs w:val="16"/>
              </w:rPr>
              <w:t>27 kDa</w:t>
            </w:r>
          </w:p>
        </w:tc>
        <w:tc>
          <w:tcPr>
            <w:tcW w:w="2248" w:type="dxa"/>
            <w:tcBorders>
              <w:top w:val="single" w:sz="4" w:space="0" w:color="auto"/>
            </w:tcBorders>
            <w:vAlign w:val="center"/>
          </w:tcPr>
          <w:p w:rsidR="005F257A" w:rsidRPr="00800E41" w:rsidRDefault="005F257A" w:rsidP="0008202A">
            <w:pPr>
              <w:spacing w:line="0" w:lineRule="atLeast"/>
              <w:jc w:val="center"/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 w:rsidRPr="00800E41"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Glyceraldehyde 3-phosphate dehydrogenase 1 in </w:t>
            </w:r>
            <w:r w:rsidRPr="00800E41">
              <w:rPr>
                <w:rFonts w:ascii="Arial Unicode MS" w:eastAsia="Arial Unicode MS" w:hAnsi="Arial Unicode MS" w:cs="Arial Unicode MS"/>
                <w:i/>
                <w:iCs/>
                <w:sz w:val="16"/>
                <w:szCs w:val="16"/>
              </w:rPr>
              <w:t>Kluyveromyces marxianus</w:t>
            </w:r>
            <w:r w:rsidRPr="00800E41"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 (P84998)</w:t>
            </w:r>
          </w:p>
        </w:tc>
        <w:tc>
          <w:tcPr>
            <w:tcW w:w="6584" w:type="dxa"/>
            <w:tcBorders>
              <w:top w:val="single" w:sz="4" w:space="0" w:color="auto"/>
            </w:tcBorders>
          </w:tcPr>
          <w:p w:rsidR="005F257A" w:rsidRPr="00755D93" w:rsidRDefault="005F257A" w:rsidP="0008202A">
            <w:pPr>
              <w:pStyle w:val="HTML"/>
              <w:shd w:val="clear" w:color="auto" w:fill="FFFFFF" w:themeFill="background1"/>
              <w:spacing w:line="0" w:lineRule="atLeast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1454BE15">
              <w:rPr>
                <w:sz w:val="18"/>
                <w:szCs w:val="18"/>
              </w:rPr>
              <w:t xml:space="preserve"> </w:t>
            </w:r>
            <w:r w:rsidRPr="1454BE15"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   </w:t>
            </w:r>
            <w:r w:rsidRPr="1454BE15">
              <w:rPr>
                <w:rFonts w:ascii="Arial Unicode MS" w:eastAsia="Arial Unicode MS" w:hAnsi="Arial Unicode MS" w:cs="Arial Unicode MS"/>
                <w:b/>
                <w:sz w:val="12"/>
                <w:szCs w:val="12"/>
              </w:rPr>
              <w:t>1</w:t>
            </w:r>
            <w:r w:rsidRPr="1454BE15"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MVSIAINGFG RIGRLVLRIA LERKNIDVVA IN</w:t>
            </w:r>
            <w:r w:rsidRPr="1454BE15">
              <w:rPr>
                <w:rFonts w:ascii="Arial Unicode MS" w:eastAsia="Arial Unicode MS" w:hAnsi="Arial Unicode MS" w:cs="Arial Unicode MS"/>
                <w:sz w:val="12"/>
                <w:szCs w:val="12"/>
                <w:u w:val="single"/>
              </w:rPr>
              <w:t>DP</w:t>
            </w:r>
            <w:r w:rsidRPr="1454BE15"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FISVDY AAYMFKYDST </w:t>
            </w:r>
          </w:p>
          <w:p w:rsidR="005F257A" w:rsidRPr="00755D93" w:rsidRDefault="005F257A" w:rsidP="0008202A">
            <w:pPr>
              <w:pStyle w:val="HTML"/>
              <w:shd w:val="clear" w:color="auto" w:fill="FFFFFF" w:themeFill="background1"/>
              <w:spacing w:line="0" w:lineRule="atLeast"/>
              <w:ind w:left="2226" w:hanging="2226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1454BE15">
              <w:rPr>
                <w:rFonts w:ascii="Arial Unicode MS" w:eastAsia="Arial Unicode MS" w:hAnsi="Arial Unicode MS" w:cs="Arial Unicode MS"/>
                <w:b/>
                <w:sz w:val="12"/>
                <w:szCs w:val="12"/>
              </w:rPr>
              <w:t xml:space="preserve">    51</w:t>
            </w:r>
            <w:r w:rsidRPr="1454BE15"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HGKYKGEVSH DGSNLIINGK KVAVFQEK</w:t>
            </w:r>
            <w:r w:rsidRPr="1454BE15">
              <w:rPr>
                <w:rFonts w:ascii="Arial Unicode MS" w:eastAsia="Arial Unicode MS" w:hAnsi="Arial Unicode MS" w:cs="Arial Unicode MS"/>
                <w:sz w:val="12"/>
                <w:szCs w:val="12"/>
                <w:u w:val="single"/>
              </w:rPr>
              <w:t>DP</w:t>
            </w:r>
            <w:r w:rsidRPr="1454BE15"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ATLPWGKLGV DIAVDSTGVF </w:t>
            </w:r>
          </w:p>
          <w:p w:rsidR="005F257A" w:rsidRPr="00755D93" w:rsidRDefault="005F257A" w:rsidP="0008202A">
            <w:pPr>
              <w:pStyle w:val="HTML"/>
              <w:shd w:val="clear" w:color="auto" w:fill="FFFFFF" w:themeFill="background1"/>
              <w:spacing w:line="0" w:lineRule="atLeast"/>
              <w:ind w:left="2226" w:hanging="2226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1454BE15">
              <w:rPr>
                <w:rFonts w:ascii="Arial Unicode MS" w:eastAsia="Arial Unicode MS" w:hAnsi="Arial Unicode MS" w:cs="Arial Unicode MS"/>
                <w:b/>
                <w:sz w:val="12"/>
                <w:szCs w:val="12"/>
              </w:rPr>
              <w:t xml:space="preserve">   101</w:t>
            </w:r>
            <w:r w:rsidRPr="1454BE15"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KELDSAQKHI DAGAKK</w:t>
            </w:r>
            <w:r w:rsidRPr="1454BE15">
              <w:rPr>
                <w:rFonts w:ascii="Arial Unicode MS" w:eastAsia="Arial Unicode MS" w:hAnsi="Arial Unicode MS" w:cs="Arial Unicode MS"/>
                <w:b/>
                <w:sz w:val="12"/>
                <w:szCs w:val="12"/>
              </w:rPr>
              <w:t>VVIT APSK</w:t>
            </w:r>
            <w:r w:rsidRPr="1454BE15"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TAPMFV VGVNEDKYNG EKIVSNASCT </w:t>
            </w:r>
          </w:p>
          <w:p w:rsidR="005F257A" w:rsidRPr="00755D93" w:rsidRDefault="005F257A" w:rsidP="0008202A">
            <w:pPr>
              <w:pStyle w:val="HTML"/>
              <w:shd w:val="clear" w:color="auto" w:fill="FFFFFF" w:themeFill="background1"/>
              <w:spacing w:line="0" w:lineRule="atLeast"/>
              <w:ind w:left="2226" w:hanging="2226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1454BE15">
              <w:rPr>
                <w:rFonts w:ascii="Arial Unicode MS" w:eastAsia="Arial Unicode MS" w:hAnsi="Arial Unicode MS" w:cs="Arial Unicode MS"/>
                <w:b/>
                <w:sz w:val="12"/>
                <w:szCs w:val="12"/>
              </w:rPr>
              <w:t xml:space="preserve">   151</w:t>
            </w:r>
            <w:r w:rsidRPr="1454BE15"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TNCLAPIAKI INDEFGIEEG LMTTVHSITA TQKTVDGPSH KDWRGGR</w:t>
            </w:r>
            <w:r w:rsidRPr="1454BE15">
              <w:rPr>
                <w:rFonts w:ascii="Arial Unicode MS" w:eastAsia="Arial Unicode MS" w:hAnsi="Arial Unicode MS" w:cs="Arial Unicode MS"/>
                <w:b/>
                <w:sz w:val="12"/>
                <w:szCs w:val="12"/>
              </w:rPr>
              <w:t xml:space="preserve">TAS </w:t>
            </w:r>
          </w:p>
          <w:p w:rsidR="005F257A" w:rsidRPr="00755D93" w:rsidRDefault="005F257A" w:rsidP="0008202A">
            <w:pPr>
              <w:pStyle w:val="HTML"/>
              <w:shd w:val="clear" w:color="auto" w:fill="FFFFFF" w:themeFill="background1"/>
              <w:spacing w:line="0" w:lineRule="atLeast"/>
              <w:ind w:left="2226" w:hanging="2226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1454BE15">
              <w:rPr>
                <w:rFonts w:ascii="Arial Unicode MS" w:eastAsia="Arial Unicode MS" w:hAnsi="Arial Unicode MS" w:cs="Arial Unicode MS"/>
                <w:b/>
                <w:sz w:val="12"/>
                <w:szCs w:val="12"/>
              </w:rPr>
              <w:t xml:space="preserve">   201 GNIIPSSTGA AK</w:t>
            </w:r>
            <w:r w:rsidRPr="1454BE15">
              <w:rPr>
                <w:rFonts w:ascii="Arial Unicode MS" w:eastAsia="Arial Unicode MS" w:hAnsi="Arial Unicode MS" w:cs="Arial Unicode MS"/>
                <w:sz w:val="12"/>
                <w:szCs w:val="12"/>
              </w:rPr>
              <w:t>AVGKVLPE LQGKLTGMAF RVPTTDVSVV DLTVKLVK</w:t>
            </w:r>
            <w:r w:rsidRPr="1454BE15">
              <w:rPr>
                <w:rFonts w:ascii="Arial Unicode MS" w:eastAsia="Arial Unicode MS" w:hAnsi="Arial Unicode MS" w:cs="Arial Unicode MS"/>
                <w:b/>
                <w:sz w:val="12"/>
                <w:szCs w:val="12"/>
              </w:rPr>
              <w:t xml:space="preserve">AA </w:t>
            </w:r>
          </w:p>
          <w:p w:rsidR="005F257A" w:rsidRPr="00755D93" w:rsidRDefault="005F257A" w:rsidP="0008202A">
            <w:pPr>
              <w:pStyle w:val="HTML"/>
              <w:shd w:val="clear" w:color="auto" w:fill="FFFFFF" w:themeFill="background1"/>
              <w:spacing w:line="0" w:lineRule="atLeast"/>
              <w:ind w:left="2226" w:hanging="2226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1454BE15">
              <w:rPr>
                <w:rFonts w:ascii="Arial Unicode MS" w:eastAsia="Arial Unicode MS" w:hAnsi="Arial Unicode MS" w:cs="Arial Unicode MS"/>
                <w:b/>
                <w:sz w:val="12"/>
                <w:szCs w:val="12"/>
              </w:rPr>
              <w:t xml:space="preserve">   251 TYDEIK</w:t>
            </w:r>
            <w:r w:rsidRPr="1454BE15"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AAVK KVSEGKLKDV VGYTEDAVVS SDFLGDTHST IFDAAAGIQL </w:t>
            </w:r>
          </w:p>
          <w:p w:rsidR="005F257A" w:rsidRPr="00755D93" w:rsidRDefault="005F257A" w:rsidP="0008202A">
            <w:pPr>
              <w:pStyle w:val="HTML"/>
              <w:shd w:val="clear" w:color="auto" w:fill="FFFFFF" w:themeFill="background1"/>
              <w:spacing w:line="0" w:lineRule="atLeast"/>
              <w:ind w:left="2226" w:hanging="2226"/>
              <w:rPr>
                <w:rFonts w:ascii="Arial Unicode MS" w:eastAsia="Arial Unicode MS" w:hAnsi="Arial Unicode MS" w:cs="Arial Unicode MS"/>
                <w:sz w:val="12"/>
                <w:szCs w:val="12"/>
              </w:rPr>
            </w:pPr>
            <w:r w:rsidRPr="1454BE15">
              <w:rPr>
                <w:rFonts w:ascii="Arial Unicode MS" w:eastAsia="Arial Unicode MS" w:hAnsi="Arial Unicode MS" w:cs="Arial Unicode MS"/>
                <w:b/>
                <w:sz w:val="12"/>
                <w:szCs w:val="12"/>
              </w:rPr>
              <w:t xml:space="preserve">   301</w:t>
            </w:r>
            <w:r w:rsidRPr="1454BE15">
              <w:rPr>
                <w:rFonts w:ascii="Arial Unicode MS" w:eastAsia="Arial Unicode MS" w:hAnsi="Arial Unicode MS" w:cs="Arial Unicode MS"/>
                <w:sz w:val="12"/>
                <w:szCs w:val="12"/>
              </w:rPr>
              <w:t xml:space="preserve"> SPKFVKLVAW YDNEYGYSTR VVDLVEHVA</w:t>
            </w:r>
          </w:p>
        </w:tc>
      </w:tr>
    </w:tbl>
    <w:p w:rsidR="005F257A" w:rsidRPr="002E6996" w:rsidRDefault="005F257A" w:rsidP="005F257A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2E6996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>a</w:t>
      </w:r>
      <w:r w:rsidRPr="002E6996">
        <w:rPr>
          <w:rFonts w:ascii="Times New Roman" w:hAnsi="Times New Roman" w:cs="Times New Roman"/>
          <w:sz w:val="18"/>
          <w:szCs w:val="18"/>
        </w:rPr>
        <w:t xml:space="preserve">The protein bands that were </w:t>
      </w:r>
      <w:r w:rsidR="00D0508A">
        <w:rPr>
          <w:rFonts w:ascii="Times New Roman" w:hAnsi="Times New Roman" w:cs="Times New Roman"/>
          <w:sz w:val="18"/>
          <w:szCs w:val="18"/>
        </w:rPr>
        <w:t>excised</w:t>
      </w:r>
      <w:r w:rsidRPr="002E6996">
        <w:rPr>
          <w:rFonts w:ascii="Times New Roman" w:hAnsi="Times New Roman" w:cs="Times New Roman"/>
          <w:sz w:val="18"/>
          <w:szCs w:val="18"/>
        </w:rPr>
        <w:t xml:space="preserve"> from</w:t>
      </w:r>
      <w:r w:rsidR="00D0508A">
        <w:rPr>
          <w:rFonts w:ascii="Times New Roman" w:hAnsi="Times New Roman" w:cs="Times New Roman"/>
          <w:sz w:val="18"/>
          <w:szCs w:val="18"/>
        </w:rPr>
        <w:t xml:space="preserve"> the</w:t>
      </w:r>
      <w:r w:rsidRPr="002E6996">
        <w:rPr>
          <w:rFonts w:ascii="Times New Roman" w:hAnsi="Times New Roman" w:cs="Times New Roman"/>
          <w:sz w:val="18"/>
          <w:szCs w:val="18"/>
        </w:rPr>
        <w:t xml:space="preserve"> SDS-PAGE</w:t>
      </w:r>
      <w:r w:rsidR="00D0508A">
        <w:rPr>
          <w:rFonts w:ascii="Times New Roman" w:hAnsi="Times New Roman" w:cs="Times New Roman"/>
          <w:sz w:val="18"/>
          <w:szCs w:val="18"/>
        </w:rPr>
        <w:t xml:space="preserve"> gel</w:t>
      </w:r>
      <w:r w:rsidRPr="002E6996">
        <w:rPr>
          <w:rFonts w:ascii="Times New Roman" w:hAnsi="Times New Roman" w:cs="Times New Roman"/>
          <w:sz w:val="18"/>
          <w:szCs w:val="18"/>
        </w:rPr>
        <w:t>.</w:t>
      </w:r>
    </w:p>
    <w:p w:rsidR="005F257A" w:rsidRPr="002E6996" w:rsidRDefault="005F257A" w:rsidP="005F257A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2E6996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>b</w:t>
      </w:r>
      <w:r w:rsidRPr="002E6996">
        <w:rPr>
          <w:rFonts w:ascii="Times New Roman" w:hAnsi="Times New Roman" w:cs="Times New Roman"/>
          <w:sz w:val="18"/>
          <w:szCs w:val="18"/>
        </w:rPr>
        <w:t>The name</w:t>
      </w:r>
      <w:r w:rsidR="00D0508A">
        <w:rPr>
          <w:rFonts w:ascii="Times New Roman" w:hAnsi="Times New Roman" w:cs="Times New Roman"/>
          <w:sz w:val="18"/>
          <w:szCs w:val="18"/>
        </w:rPr>
        <w:t>s</w:t>
      </w:r>
      <w:r w:rsidRPr="002E6996">
        <w:rPr>
          <w:rFonts w:ascii="Times New Roman" w:hAnsi="Times New Roman" w:cs="Times New Roman"/>
          <w:sz w:val="18"/>
          <w:szCs w:val="18"/>
        </w:rPr>
        <w:t xml:space="preserve"> and accession number</w:t>
      </w:r>
      <w:r w:rsidR="00D0508A">
        <w:rPr>
          <w:rFonts w:ascii="Times New Roman" w:hAnsi="Times New Roman" w:cs="Times New Roman"/>
          <w:sz w:val="18"/>
          <w:szCs w:val="18"/>
        </w:rPr>
        <w:t>s of the matched proteins</w:t>
      </w:r>
      <w:r w:rsidRPr="002E6996">
        <w:rPr>
          <w:rFonts w:ascii="Times New Roman" w:hAnsi="Times New Roman" w:cs="Times New Roman"/>
          <w:sz w:val="18"/>
          <w:szCs w:val="18"/>
        </w:rPr>
        <w:t xml:space="preserve"> in NBCI </w:t>
      </w:r>
      <w:r w:rsidR="00D0508A">
        <w:rPr>
          <w:rFonts w:ascii="Times New Roman" w:hAnsi="Times New Roman" w:cs="Times New Roman"/>
          <w:sz w:val="18"/>
          <w:szCs w:val="18"/>
        </w:rPr>
        <w:t>are</w:t>
      </w:r>
      <w:r w:rsidRPr="002E6996">
        <w:rPr>
          <w:rFonts w:ascii="Times New Roman" w:hAnsi="Times New Roman" w:cs="Times New Roman"/>
          <w:sz w:val="18"/>
          <w:szCs w:val="18"/>
        </w:rPr>
        <w:t xml:space="preserve"> present</w:t>
      </w:r>
      <w:r w:rsidR="00D0508A">
        <w:rPr>
          <w:rFonts w:ascii="Times New Roman" w:hAnsi="Times New Roman" w:cs="Times New Roman"/>
          <w:sz w:val="18"/>
          <w:szCs w:val="18"/>
        </w:rPr>
        <w:t>ed</w:t>
      </w:r>
      <w:r w:rsidRPr="002E6996">
        <w:rPr>
          <w:rFonts w:ascii="Times New Roman" w:hAnsi="Times New Roman" w:cs="Times New Roman"/>
          <w:sz w:val="18"/>
          <w:szCs w:val="18"/>
        </w:rPr>
        <w:t>.</w:t>
      </w:r>
    </w:p>
    <w:p w:rsidR="005F257A" w:rsidRPr="002E6996" w:rsidRDefault="005F257A" w:rsidP="005F257A">
      <w:pPr>
        <w:spacing w:line="360" w:lineRule="auto"/>
        <w:rPr>
          <w:rFonts w:ascii="Times New Roman" w:eastAsia="標楷體" w:hAnsi="Times New Roman" w:cs="Times New Roman"/>
          <w:sz w:val="18"/>
          <w:szCs w:val="18"/>
        </w:rPr>
      </w:pPr>
      <w:r w:rsidRPr="002E6996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>c</w:t>
      </w:r>
      <w:r w:rsidRPr="002E6996">
        <w:rPr>
          <w:rFonts w:ascii="Times New Roman" w:hAnsi="Times New Roman" w:cs="Times New Roman"/>
          <w:sz w:val="18"/>
          <w:szCs w:val="18"/>
        </w:rPr>
        <w:t xml:space="preserve">The matched peptides </w:t>
      </w:r>
      <w:r w:rsidR="00D0508A">
        <w:rPr>
          <w:rFonts w:ascii="Times New Roman" w:hAnsi="Times New Roman" w:cs="Times New Roman"/>
          <w:sz w:val="18"/>
          <w:szCs w:val="18"/>
        </w:rPr>
        <w:t>are</w:t>
      </w:r>
      <w:r w:rsidRPr="002E6996">
        <w:rPr>
          <w:rFonts w:ascii="Times New Roman" w:hAnsi="Times New Roman" w:cs="Times New Roman"/>
          <w:sz w:val="18"/>
          <w:szCs w:val="18"/>
        </w:rPr>
        <w:t xml:space="preserve"> shown in bold, </w:t>
      </w:r>
      <w:r w:rsidR="00D0508A">
        <w:rPr>
          <w:rFonts w:ascii="Times New Roman" w:hAnsi="Times New Roman" w:cs="Times New Roman"/>
          <w:sz w:val="18"/>
          <w:szCs w:val="18"/>
        </w:rPr>
        <w:t xml:space="preserve">and </w:t>
      </w:r>
      <w:r w:rsidRPr="002E6996">
        <w:rPr>
          <w:rFonts w:ascii="Times New Roman" w:hAnsi="Times New Roman" w:cs="Times New Roman"/>
          <w:sz w:val="18"/>
          <w:szCs w:val="18"/>
        </w:rPr>
        <w:t xml:space="preserve">the </w:t>
      </w:r>
      <w:r w:rsidRPr="002E6996">
        <w:rPr>
          <w:rFonts w:ascii="Times New Roman" w:eastAsia="標楷體" w:hAnsi="Times New Roman" w:cs="Times New Roman"/>
          <w:sz w:val="18"/>
          <w:szCs w:val="18"/>
        </w:rPr>
        <w:t xml:space="preserve">acid cleavage sites (aspartic acid-proline, D-P) </w:t>
      </w:r>
      <w:r w:rsidR="00D0508A">
        <w:rPr>
          <w:rFonts w:ascii="Times New Roman" w:eastAsia="標楷體" w:hAnsi="Times New Roman" w:cs="Times New Roman"/>
          <w:sz w:val="18"/>
          <w:szCs w:val="18"/>
        </w:rPr>
        <w:t>are</w:t>
      </w:r>
      <w:r w:rsidRPr="002E6996">
        <w:rPr>
          <w:rFonts w:ascii="Times New Roman" w:eastAsia="標楷體" w:hAnsi="Times New Roman" w:cs="Times New Roman"/>
          <w:sz w:val="18"/>
          <w:szCs w:val="18"/>
        </w:rPr>
        <w:t xml:space="preserve"> underline</w:t>
      </w:r>
      <w:r w:rsidR="00D0508A">
        <w:rPr>
          <w:rFonts w:ascii="Times New Roman" w:eastAsia="標楷體" w:hAnsi="Times New Roman" w:cs="Times New Roman"/>
          <w:sz w:val="18"/>
          <w:szCs w:val="18"/>
        </w:rPr>
        <w:t>d</w:t>
      </w:r>
      <w:r w:rsidRPr="002E6996">
        <w:rPr>
          <w:rFonts w:ascii="Times New Roman" w:eastAsia="標楷體" w:hAnsi="Times New Roman" w:cs="Times New Roman"/>
          <w:sz w:val="18"/>
          <w:szCs w:val="18"/>
        </w:rPr>
        <w:t>.</w:t>
      </w:r>
    </w:p>
    <w:p w:rsidR="005F257A" w:rsidRPr="005F257A" w:rsidRDefault="005F257A" w:rsidP="00125434">
      <w:pPr>
        <w:pStyle w:val="paragraph"/>
        <w:textAlignment w:val="baseline"/>
        <w:rPr>
          <w:rFonts w:ascii="Times New Roman" w:eastAsia="Arial Unicode MS" w:hAnsi="Times New Roman" w:cs="Times New Roman"/>
          <w:b/>
          <w:bCs/>
          <w:sz w:val="18"/>
          <w:szCs w:val="18"/>
        </w:rPr>
      </w:pPr>
    </w:p>
    <w:p w:rsidR="005F257A" w:rsidRDefault="005F257A" w:rsidP="00125434">
      <w:pPr>
        <w:pStyle w:val="paragraph"/>
        <w:textAlignment w:val="baseline"/>
        <w:rPr>
          <w:rFonts w:ascii="Times New Roman" w:eastAsia="Arial Unicode MS" w:hAnsi="Times New Roman" w:cs="Times New Roman"/>
          <w:b/>
          <w:bCs/>
          <w:sz w:val="18"/>
          <w:szCs w:val="18"/>
        </w:rPr>
      </w:pPr>
    </w:p>
    <w:p w:rsidR="00DC6A18" w:rsidRDefault="00DC6A18">
      <w:pPr>
        <w:widowControl/>
        <w:rPr>
          <w:rFonts w:ascii="Times New Roman" w:eastAsia="Arial Unicode MS" w:hAnsi="Times New Roman" w:cs="Times New Roman"/>
          <w:b/>
          <w:bCs/>
          <w:kern w:val="0"/>
          <w:sz w:val="18"/>
          <w:szCs w:val="18"/>
        </w:rPr>
      </w:pPr>
      <w:r>
        <w:rPr>
          <w:rFonts w:ascii="Times New Roman" w:eastAsia="Arial Unicode MS" w:hAnsi="Times New Roman" w:cs="Times New Roman"/>
          <w:b/>
          <w:bCs/>
          <w:sz w:val="18"/>
          <w:szCs w:val="18"/>
        </w:rPr>
        <w:br w:type="page"/>
      </w:r>
    </w:p>
    <w:p w:rsidR="00125434" w:rsidRPr="00125434" w:rsidRDefault="005F257A" w:rsidP="00125434">
      <w:pPr>
        <w:pStyle w:val="paragraph"/>
        <w:textAlignment w:val="baseline"/>
        <w:rPr>
          <w:rFonts w:ascii="Times New Roman" w:eastAsia="Arial Unicode MS" w:hAnsi="Times New Roman" w:cs="Times New Roman"/>
          <w:sz w:val="18"/>
          <w:szCs w:val="18"/>
        </w:rPr>
      </w:pPr>
      <w:r>
        <w:rPr>
          <w:rFonts w:ascii="Times New Roman" w:eastAsia="Arial Unicode MS" w:hAnsi="Times New Roman" w:cs="Times New Roman" w:hint="eastAsia"/>
          <w:b/>
          <w:bCs/>
          <w:sz w:val="18"/>
          <w:szCs w:val="18"/>
        </w:rPr>
        <w:lastRenderedPageBreak/>
        <w:t>Supplementary Table S</w:t>
      </w:r>
      <w:r>
        <w:rPr>
          <w:rFonts w:ascii="Times New Roman" w:eastAsia="Arial Unicode MS" w:hAnsi="Times New Roman" w:cs="Times New Roman"/>
          <w:b/>
          <w:bCs/>
          <w:sz w:val="18"/>
          <w:szCs w:val="18"/>
        </w:rPr>
        <w:t>2</w:t>
      </w:r>
      <w:r w:rsidR="00125434" w:rsidRPr="00125434">
        <w:rPr>
          <w:rFonts w:ascii="Times New Roman" w:eastAsia="Arial Unicode MS" w:hAnsi="Times New Roman" w:cs="Times New Roman" w:hint="eastAsia"/>
          <w:b/>
          <w:bCs/>
          <w:sz w:val="18"/>
          <w:szCs w:val="18"/>
        </w:rPr>
        <w:t xml:space="preserve">. The identified proteins from lactate cultured </w:t>
      </w:r>
      <w:r w:rsidR="00125434" w:rsidRPr="00125434">
        <w:rPr>
          <w:rFonts w:ascii="Times New Roman" w:eastAsia="Arial Unicode MS" w:hAnsi="Times New Roman" w:cs="Times New Roman" w:hint="eastAsia"/>
          <w:b/>
          <w:bCs/>
          <w:i/>
          <w:iCs/>
          <w:sz w:val="18"/>
          <w:szCs w:val="18"/>
        </w:rPr>
        <w:t>Kluyveromyces marxianus</w:t>
      </w:r>
      <w:r w:rsidR="00125434" w:rsidRPr="00125434">
        <w:rPr>
          <w:rFonts w:ascii="Times New Roman" w:eastAsia="Arial Unicode MS" w:hAnsi="Times New Roman" w:cs="Times New Roman" w:hint="eastAsia"/>
          <w:b/>
          <w:bCs/>
          <w:sz w:val="18"/>
          <w:szCs w:val="18"/>
        </w:rPr>
        <w:t xml:space="preserve"> medium by LC-MS/MS analysis.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1"/>
        <w:gridCol w:w="976"/>
        <w:gridCol w:w="2136"/>
        <w:gridCol w:w="5093"/>
      </w:tblGrid>
      <w:tr w:rsidR="00F54F38" w:rsidRPr="00125434" w:rsidTr="00383C0C">
        <w:trPr>
          <w:trHeight w:val="20"/>
        </w:trPr>
        <w:tc>
          <w:tcPr>
            <w:tcW w:w="2261" w:type="dxa"/>
            <w:tcBorders>
              <w:top w:val="single" w:sz="12" w:space="0" w:color="auto"/>
              <w:bottom w:val="double" w:sz="4" w:space="0" w:color="auto"/>
            </w:tcBorders>
            <w:noWrap/>
            <w:vAlign w:val="center"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b/>
                <w:bCs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b/>
                <w:bCs/>
                <w:sz w:val="18"/>
                <w:szCs w:val="18"/>
              </w:rPr>
              <w:t>Metabolism</w:t>
            </w:r>
          </w:p>
        </w:tc>
        <w:tc>
          <w:tcPr>
            <w:tcW w:w="976" w:type="dxa"/>
            <w:tcBorders>
              <w:top w:val="single" w:sz="12" w:space="0" w:color="auto"/>
              <w:bottom w:val="double" w:sz="4" w:space="0" w:color="auto"/>
            </w:tcBorders>
            <w:noWrap/>
            <w:vAlign w:val="center"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b/>
                <w:bCs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b/>
                <w:bCs/>
                <w:sz w:val="18"/>
                <w:szCs w:val="18"/>
              </w:rPr>
              <w:t>UniProt accession number</w:t>
            </w:r>
          </w:p>
        </w:tc>
        <w:tc>
          <w:tcPr>
            <w:tcW w:w="2136" w:type="dxa"/>
            <w:tcBorders>
              <w:top w:val="single" w:sz="12" w:space="0" w:color="auto"/>
              <w:bottom w:val="double" w:sz="4" w:space="0" w:color="auto"/>
            </w:tcBorders>
            <w:noWrap/>
            <w:vAlign w:val="center"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b/>
                <w:bCs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b/>
                <w:bCs/>
                <w:sz w:val="18"/>
                <w:szCs w:val="18"/>
              </w:rPr>
              <w:t>Protein name</w:t>
            </w:r>
          </w:p>
        </w:tc>
        <w:tc>
          <w:tcPr>
            <w:tcW w:w="5093" w:type="dxa"/>
            <w:tcBorders>
              <w:top w:val="single" w:sz="12" w:space="0" w:color="auto"/>
              <w:bottom w:val="double" w:sz="4" w:space="0" w:color="auto"/>
            </w:tcBorders>
            <w:noWrap/>
            <w:vAlign w:val="center"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b/>
                <w:bCs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b/>
                <w:bCs/>
                <w:sz w:val="18"/>
                <w:szCs w:val="18"/>
              </w:rPr>
              <w:t>Gene Ontology (Biological process)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tcBorders>
              <w:top w:val="doub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iCs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/>
                <w:iCs/>
                <w:sz w:val="18"/>
                <w:szCs w:val="18"/>
              </w:rPr>
              <w:t>Tricarboxylic acid cycle</w:t>
            </w:r>
          </w:p>
        </w:tc>
        <w:tc>
          <w:tcPr>
            <w:tcW w:w="976" w:type="dxa"/>
            <w:tcBorders>
              <w:top w:val="doub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W0TEG9</w:t>
            </w:r>
          </w:p>
        </w:tc>
        <w:tc>
          <w:tcPr>
            <w:tcW w:w="2136" w:type="dxa"/>
            <w:tcBorders>
              <w:top w:val="doub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Malate dehydrogenase (EC 1.1.1.37)</w:t>
            </w:r>
          </w:p>
        </w:tc>
        <w:tc>
          <w:tcPr>
            <w:tcW w:w="5093" w:type="dxa"/>
            <w:tcBorders>
              <w:top w:val="doub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carbohydrate metabolic process [GO:0005975]; malate metabolic process [GO:0006108]; tricarboxylic acid cycle [GO:0006099]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W0TAI6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Malate dehydrogenase (EC 1.1.1.37)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carboxylic acid metabolic process [GO:0019752]; gluconeogenesis [GO:0006094]; protein import into peroxisome matrix [GO:0016558]; tricarboxylic acid cycle [GO:0006099]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W0TJM6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Fumarate hydratase (EC 4.2.1.2)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double-strand break repair [GO:0006302]; fumarate metabolic process [GO:0006106]; tricarboxylic acid cycle [GO:0006099]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W0THE4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Malate synthase (EC 2.3.3.9)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glyoxylate cycle [GO:0006097]; tricarboxylic acid cycle [GO:0006099]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W0TBI1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Isocitrate dehydrogenase [NADP] (EC 1.1.1.42)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isocitrate metabolic process [GO:0006102]; tricarboxylic acid cycle [GO:0006099]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W0TGG7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Isocitrate dehydrogenase [NAD] subunit, mitochondrial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isocitrate metabolic process [GO:0006102]; tricarboxylic acid cycle [GO:0006099]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W0T7K6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Aconitate hydratase, mitochondrial (Aconitase) (EC 4.2.1.-)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mitochondrial genome maintenance [GO:0000002]; tricarboxylic acid cycle [GO:0006099]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W0TFA8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Citrate synthase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propionate catabolic process, 2-methylcitrate cycle [GO:0019629]; tricarboxylic acid cycle [GO:0006099]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W0T883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Succinate--CoA ligase [ADP-forming] subunit alpha, mitochondrial (EC 6.2.1.5) (Succinyl-CoA synthetase subunit alpha) (SCS-alpha)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succinyl-CoA metabolic process [GO:0006104]; tricarboxylic acid cycle [GO:0006099]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W0T4J0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Succinate--CoA ligase [ADP-forming] subunit beta, mitochondrial (EC 6.2.1.5) (Succinyl-CoA synthetase beta chain) (SCS-beta)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succinyl-CoA metabolic process [GO:0006104]; tricarboxylic acid cycle [GO:0006099]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W0TKL8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Succinate dehydrogenase [ubiquinone] iron-sulfur subunit, mitochondrial (EC 1.3.5.1)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tricarboxylic acid cycle [GO:0006099]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W0T7K3</w:t>
            </w:r>
          </w:p>
        </w:tc>
        <w:tc>
          <w:tcPr>
            <w:tcW w:w="2136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Isocitrate dehydrogenase [NAD] subunit, mitochondrial</w:t>
            </w:r>
          </w:p>
        </w:tc>
        <w:tc>
          <w:tcPr>
            <w:tcW w:w="5093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tricarboxylic acid cycle [GO:0006099]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W0TDY2</w:t>
            </w:r>
          </w:p>
        </w:tc>
        <w:tc>
          <w:tcPr>
            <w:tcW w:w="2136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2-oxoglutarate dehydrogenase E1 component</w:t>
            </w:r>
          </w:p>
        </w:tc>
        <w:tc>
          <w:tcPr>
            <w:tcW w:w="5093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tricarboxylic acid cycle [GO:0006099]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tcBorders>
              <w:top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iCs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/>
                <w:iCs/>
                <w:sz w:val="18"/>
                <w:szCs w:val="18"/>
              </w:rPr>
              <w:t>Glycolysis/gluconeogenesis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W0TAI6</w:t>
            </w:r>
          </w:p>
        </w:tc>
        <w:tc>
          <w:tcPr>
            <w:tcW w:w="2136" w:type="dxa"/>
            <w:tcBorders>
              <w:top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Malate dehydrogenase (EC 1.1.1.37)</w:t>
            </w:r>
          </w:p>
        </w:tc>
        <w:tc>
          <w:tcPr>
            <w:tcW w:w="5093" w:type="dxa"/>
            <w:tcBorders>
              <w:top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carboxylic acid metabolic process [GO:0019752]; gluconeogenesis [GO:0006094]; protein import into peroxisome matrix [GO:0016558]; tricarboxylic acid cycle [GO:0006099]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W0TF96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Fructose-bisphosphatase (EC 3.1.3.11)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cellular response to glucose starvation [GO:0042149]; gluconeogenesis [GO:0006094]; reactive oxygen species metabolic process [GO:0072593]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W0TD31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Phosphoenolpyruvate carboxykinase (ATP) (EC 4.1.1.49)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gluconeogenesis [GO:0006094]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W0T3B0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Pyruvate carboxylase (EC 6.4.1.1)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gluconeogenesis [GO:0006094]; pyruvate metabolic process [GO:0006090]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W0T3P9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Phosphotransferase (EC 2.7.1.-)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cellular glucose homeostasis [GO:0001678]; fructose 6-phosphate metabolic process [GO:0006002]; glycolytic fermentation [GO:0019660]; glycolytic process [GO:0006096]; mannose metabolic process [GO:0006013]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W0TF55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Phosphotransferase (EC 2.7.1.-)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cellular glucose homeostasis [GO:0001678]; glycolytic process [GO:0006096]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W0T3H5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Phosphoglycerate kinase (EC 2.7.2.3)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gluconeogenesis [GO:0006094]; glycolytic process [GO:0006096]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W0T9W3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Fructose-bisphosphate aldolase (FBP aldolase) (EC 4.1.2.13)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gluconeogenesis [GO:0006094]; glycolytic process [GO:0006096]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W0T4R5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Glucose-6-phosphate isomerase (EC 5.3.1.9)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gluconeogenesis [GO:0006094]; glycolytic process [GO:0006096]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P84998</w:t>
            </w:r>
          </w:p>
        </w:tc>
        <w:tc>
          <w:tcPr>
            <w:tcW w:w="2136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 xml:space="preserve">Glyceraldehyde-3-phosphate dehydrogenase </w:t>
            </w: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lastRenderedPageBreak/>
              <w:t>1 (GAPDH 1) (EC 1.2.1.12)</w:t>
            </w:r>
          </w:p>
        </w:tc>
        <w:tc>
          <w:tcPr>
            <w:tcW w:w="5093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lastRenderedPageBreak/>
              <w:t>glucose metabolic process [GO:0006006]; glycolytic process [GO:0006096]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tcBorders>
              <w:top w:val="nil"/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A4ZGQ9</w:t>
            </w:r>
          </w:p>
        </w:tc>
        <w:tc>
          <w:tcPr>
            <w:tcW w:w="2136" w:type="dxa"/>
            <w:tcBorders>
              <w:top w:val="nil"/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Glyceraldehyde-3-phosphate dehydrogenase (EC 1.2.1.12)</w:t>
            </w:r>
          </w:p>
        </w:tc>
        <w:tc>
          <w:tcPr>
            <w:tcW w:w="5093" w:type="dxa"/>
            <w:tcBorders>
              <w:top w:val="nil"/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glucose metabolic process [GO:0006006]; glycolytic process [GO:0006096]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tcBorders>
              <w:top w:val="nil"/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W0T7K9</w:t>
            </w:r>
          </w:p>
        </w:tc>
        <w:tc>
          <w:tcPr>
            <w:tcW w:w="2136" w:type="dxa"/>
            <w:tcBorders>
              <w:top w:val="nil"/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Phosphopyruvate hydratase (EC 4.2.1.11)</w:t>
            </w:r>
          </w:p>
        </w:tc>
        <w:tc>
          <w:tcPr>
            <w:tcW w:w="5093" w:type="dxa"/>
            <w:tcBorders>
              <w:top w:val="nil"/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glycolytic process [GO:0006096]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W0T6W0</w:t>
            </w:r>
          </w:p>
        </w:tc>
        <w:tc>
          <w:tcPr>
            <w:tcW w:w="2136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Phosphoglycerate mutase 3</w:t>
            </w:r>
          </w:p>
        </w:tc>
        <w:tc>
          <w:tcPr>
            <w:tcW w:w="5093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glycolytic process [GO:0006096]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tcBorders>
              <w:top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iCs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/>
                <w:iCs/>
                <w:sz w:val="18"/>
                <w:szCs w:val="18"/>
              </w:rPr>
              <w:t>Pentose-phosphate pathway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W0TCV6</w:t>
            </w:r>
          </w:p>
        </w:tc>
        <w:tc>
          <w:tcPr>
            <w:tcW w:w="2136" w:type="dxa"/>
            <w:tcBorders>
              <w:top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Transaldolase (EC 2.2.1.2)</w:t>
            </w:r>
          </w:p>
        </w:tc>
        <w:tc>
          <w:tcPr>
            <w:tcW w:w="5093" w:type="dxa"/>
            <w:tcBorders>
              <w:top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carbohydrate metabolic process [GO:0005975]; pentose-phosphate shunt [GO:0006098]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W0T4I6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6-phosphogluconolactonase-like protein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carbohydrate metabolic process [GO:0005975]; pentose-phosphate shunt [GO:0006098]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W0TD99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Ribulose-phosphate 3-epimerase (EC 5.1.3.1)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carbohydrate metabolic process [GO:0005975]; pentose-phosphate shunt [GO:0006098]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W0T3V9</w:t>
            </w:r>
          </w:p>
        </w:tc>
        <w:tc>
          <w:tcPr>
            <w:tcW w:w="2136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6-phosphogluconate dehydrogenase, decarboxylating (EC 1.1.1.44)</w:t>
            </w:r>
          </w:p>
        </w:tc>
        <w:tc>
          <w:tcPr>
            <w:tcW w:w="5093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D-gluconate metabolic process [GO:0019521]; pentose-phosphate shunt [GO:0006098]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W0TCY6</w:t>
            </w:r>
          </w:p>
        </w:tc>
        <w:tc>
          <w:tcPr>
            <w:tcW w:w="2136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Glucose-6-phosphate 1-dehydrogenase (EC 1.1.1.49)</w:t>
            </w:r>
          </w:p>
        </w:tc>
        <w:tc>
          <w:tcPr>
            <w:tcW w:w="5093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glucose metabolic process [GO:0006006]; pentose-phosphate shunt [GO:0006098]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tcBorders>
              <w:top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iCs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/>
                <w:iCs/>
                <w:sz w:val="18"/>
                <w:szCs w:val="18"/>
              </w:rPr>
              <w:t>Galactose metabolism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W0T4K1</w:t>
            </w:r>
          </w:p>
        </w:tc>
        <w:tc>
          <w:tcPr>
            <w:tcW w:w="2136" w:type="dxa"/>
            <w:tcBorders>
              <w:top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NAD(P)H-dependent D-xylose reductase</w:t>
            </w:r>
          </w:p>
        </w:tc>
        <w:tc>
          <w:tcPr>
            <w:tcW w:w="5093" w:type="dxa"/>
            <w:tcBorders>
              <w:top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arabinose catabolic process [GO:0019568]; cellular response to osmotic stress [GO:0071470]; cellular response to oxidative stress [GO:0034599]; D-xylose catabolic process [GO:0042843]; galactose catabolic process [GO:0019388]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W0T9M7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Galactose-1-phosphate uridylyltransferase (EC 2.7.7.12)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galactose catabolic process via UDP-galactose [GO:0033499]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S5WA50</w:t>
            </w:r>
          </w:p>
        </w:tc>
        <w:tc>
          <w:tcPr>
            <w:tcW w:w="2136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UDP-glucose 4-epimerase</w:t>
            </w:r>
          </w:p>
        </w:tc>
        <w:tc>
          <w:tcPr>
            <w:tcW w:w="5093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galactose metabolic process [GO:0006012]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S5VNV2</w:t>
            </w:r>
          </w:p>
        </w:tc>
        <w:tc>
          <w:tcPr>
            <w:tcW w:w="2136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Galactokinase (EC 2.7.1.6) (Galactose kinase)</w:t>
            </w:r>
          </w:p>
        </w:tc>
        <w:tc>
          <w:tcPr>
            <w:tcW w:w="5093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galactose metabolic process [GO:0006012]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tcBorders>
              <w:top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iCs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/>
                <w:iCs/>
                <w:sz w:val="18"/>
                <w:szCs w:val="18"/>
              </w:rPr>
              <w:t>Other carbohydrate metabolism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W0TBD3</w:t>
            </w:r>
          </w:p>
        </w:tc>
        <w:tc>
          <w:tcPr>
            <w:tcW w:w="2136" w:type="dxa"/>
            <w:tcBorders>
              <w:top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Phosphoglucomutase-2</w:t>
            </w:r>
          </w:p>
        </w:tc>
        <w:tc>
          <w:tcPr>
            <w:tcW w:w="5093" w:type="dxa"/>
            <w:tcBorders>
              <w:top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carbohydrate metabolic process [GO:0005975]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W0TDC6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Uncharacterized glycosyl hydrolase YBR056W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carbohydrate metabolic process [GO:0005975]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W0TK22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Probable family 17 glucosidase SCW4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carbohydrate metabolic process [GO:0005975]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B3GQU5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Exo-inulinase (EC 3.2.1.7) (Inulinase)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carbohydrate metabolic process [GO:0005975]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W0TC08</w:t>
            </w:r>
          </w:p>
        </w:tc>
        <w:tc>
          <w:tcPr>
            <w:tcW w:w="2136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Glycosidase (EC 3.2.-.-)</w:t>
            </w:r>
          </w:p>
        </w:tc>
        <w:tc>
          <w:tcPr>
            <w:tcW w:w="5093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carbohydrate metabolic process [GO:0005975]; cell wall chitin metabolic process [GO:0006037]; fungal-type cell wall organization [GO:0031505]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W0T4T5</w:t>
            </w:r>
          </w:p>
        </w:tc>
        <w:tc>
          <w:tcPr>
            <w:tcW w:w="2136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Glycerol-3-phosphate dehydrogenase [NAD(+)] (EC 1.1.1.8)</w:t>
            </w:r>
          </w:p>
        </w:tc>
        <w:tc>
          <w:tcPr>
            <w:tcW w:w="5093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carbohydrate metabolic process [GO:0005975]; glycerol-3-phosphate catabolic process [GO:0046168]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tcBorders>
              <w:top w:val="single" w:sz="4" w:space="0" w:color="auto"/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iCs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/>
                <w:iCs/>
                <w:sz w:val="18"/>
                <w:szCs w:val="18"/>
              </w:rPr>
              <w:t>Lactate metabolism</w:t>
            </w:r>
          </w:p>
        </w:tc>
        <w:tc>
          <w:tcPr>
            <w:tcW w:w="976" w:type="dxa"/>
            <w:tcBorders>
              <w:top w:val="single" w:sz="4" w:space="0" w:color="auto"/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W0TFC1</w:t>
            </w:r>
          </w:p>
        </w:tc>
        <w:tc>
          <w:tcPr>
            <w:tcW w:w="2136" w:type="dxa"/>
            <w:tcBorders>
              <w:top w:val="single" w:sz="4" w:space="0" w:color="auto"/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D-lactate dehydrogenase [cytochrome] 2</w:t>
            </w:r>
          </w:p>
        </w:tc>
        <w:tc>
          <w:tcPr>
            <w:tcW w:w="5093" w:type="dxa"/>
            <w:tcBorders>
              <w:top w:val="single" w:sz="4" w:space="0" w:color="auto"/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lactate catabolic process [GO:1903457]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W0T5A6</w:t>
            </w:r>
          </w:p>
        </w:tc>
        <w:tc>
          <w:tcPr>
            <w:tcW w:w="2136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Cytochrome b2</w:t>
            </w:r>
          </w:p>
        </w:tc>
        <w:tc>
          <w:tcPr>
            <w:tcW w:w="5093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lactate metabolic process [GO:0006089]</w:t>
            </w:r>
          </w:p>
        </w:tc>
      </w:tr>
      <w:tr w:rsidR="00F54F38" w:rsidRPr="00125434" w:rsidTr="00383C0C">
        <w:trPr>
          <w:trHeight w:val="634"/>
        </w:trPr>
        <w:tc>
          <w:tcPr>
            <w:tcW w:w="2261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b/>
                <w:bCs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b/>
                <w:bCs/>
                <w:sz w:val="18"/>
                <w:szCs w:val="18"/>
              </w:rPr>
              <w:t>Stress response</w:t>
            </w:r>
          </w:p>
        </w:tc>
        <w:tc>
          <w:tcPr>
            <w:tcW w:w="976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136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5093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tcBorders>
              <w:top w:val="doub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iCs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/>
                <w:iCs/>
                <w:sz w:val="18"/>
                <w:szCs w:val="18"/>
              </w:rPr>
              <w:t>Starvation</w:t>
            </w:r>
          </w:p>
        </w:tc>
        <w:tc>
          <w:tcPr>
            <w:tcW w:w="976" w:type="dxa"/>
            <w:tcBorders>
              <w:top w:val="doub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W0T855</w:t>
            </w:r>
          </w:p>
        </w:tc>
        <w:tc>
          <w:tcPr>
            <w:tcW w:w="2136" w:type="dxa"/>
            <w:tcBorders>
              <w:top w:val="doub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cAMP-dependent protein kinase regulatory subunit</w:t>
            </w:r>
          </w:p>
        </w:tc>
        <w:tc>
          <w:tcPr>
            <w:tcW w:w="5093" w:type="dxa"/>
            <w:tcBorders>
              <w:top w:val="doub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cAMP-mediated signaling [GO:0019933]; negative regulation of meiotic cell cycle [GO:0051447]; negative regulation of Ras protein signal transduction [GO:0046580]; positive regulation of adenylate cyclase activity [GO:0045762]; positive regulation of protein export from nucleus [GO:0046827]; positive regulation of transcription from RNA polymerase II promoter in response to glucose starvation [GO:0061406]; positive regulation of transcription from RNA polymerase II promoter in response to nitrogen starvation [GO:0036278]; protein localization to bud neck [GO:0097271]; regulation of cytoplasmic mRNA processing body assembly [GO:0010603]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W0TF96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Fructose-bisphosphatase (EC 3.1.3.11)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cellular response to glucose starvation [GO:0042149]; gluconeogenesis [GO:0006094]; reactive oxygen species metabolic process [GO:0072593]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W0T2R7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Protein SDS23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cellular response to glucose starvation [GO:0042149]; regulation of mitotic metaphase/anaphase transition [GO:0030071]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W0TCL5</w:t>
            </w:r>
          </w:p>
        </w:tc>
        <w:tc>
          <w:tcPr>
            <w:tcW w:w="2136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Zinc finger protein ZPR1</w:t>
            </w:r>
          </w:p>
        </w:tc>
        <w:tc>
          <w:tcPr>
            <w:tcW w:w="5093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cellular response to starvation [GO:0009267]; G2/M transition of mitotic cell cycle [GO:0000086]; response to glucose [GO:0009749]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W0TG70</w:t>
            </w:r>
          </w:p>
        </w:tc>
        <w:tc>
          <w:tcPr>
            <w:tcW w:w="2136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Proteinase YSCB</w:t>
            </w:r>
          </w:p>
        </w:tc>
        <w:tc>
          <w:tcPr>
            <w:tcW w:w="5093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cellular response to starvation [GO:0009267]; pexophagy [GO:0000425]; protein catabolic process in the vacuole [GO:0007039]; sporulation resulting in formation of a cellular spore [GO:0030435]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tcBorders>
              <w:top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iCs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/>
                <w:iCs/>
                <w:sz w:val="18"/>
                <w:szCs w:val="18"/>
              </w:rPr>
              <w:t>Osmotic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W0T4K1</w:t>
            </w:r>
          </w:p>
        </w:tc>
        <w:tc>
          <w:tcPr>
            <w:tcW w:w="2136" w:type="dxa"/>
            <w:tcBorders>
              <w:top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NAD(P)H-dependent D-xylose reductase</w:t>
            </w:r>
          </w:p>
        </w:tc>
        <w:tc>
          <w:tcPr>
            <w:tcW w:w="5093" w:type="dxa"/>
            <w:tcBorders>
              <w:top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arabinose catabolic process [GO:0019568]; cellular response to osmotic stress [GO:0071470]; cellular response to oxidative stress [GO:0034599]; D-xylose catabolic process [GO:0042843]; galactose catabolic process [GO:0019388]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W0T9D0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Serine/threonine-protein phosphatase 2A activator (EC 5.2.1.8) (Phosphotyrosyl phosphatase activator)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autophagy [GO:0006914]; DNA repair [GO:0006281]; G1/S transition of mitotic cell cycle [GO:0000082]; mitotic spindle organization [GO:0007052]; regulation of transcription from RNA polymerase II promoter in response to stress [GO:0043618]; response to osmotic stress [GO:0006970]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iCs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iCs/>
                <w:sz w:val="18"/>
                <w:szCs w:val="18"/>
              </w:rPr>
              <w:t>W0TAV4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iCs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iCs/>
                <w:sz w:val="18"/>
                <w:szCs w:val="18"/>
              </w:rPr>
              <w:t>12 kDa heat shock protein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cell adhesion [GO:0007155]; cellular response to heat [GO:0034605]; cellular response to osmotic stress [GO:0071470]; cellular response to oxidative stress [GO:0034599]; plasma membrane organization [GO:0007009]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W0TGP2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Glutamine synthetase (EC 6.3.1.2)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cellular response to osmotic stress [GO:0071470]; glutamine biosynthetic process [GO:0006542]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W0TDZ5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Clustered mitochondria protein homolog (Protein TIF31 homolog)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cellular response to osmotic stress [GO:0071470]; intracellular distribution of mitochondria [GO:0048312]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W0T7Z4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Ankyrin repeat-containing protein YAR1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cellular response to oxidative stress [GO:0034599]; regulation of protein localization [GO:0032880]; response to osmotic stress [GO:0006970]; ribosomal small subunit biogenesis [GO:0042274]; ribosomal small subunit export from nucleus [GO:0000056]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W0T9K6</w:t>
            </w:r>
          </w:p>
        </w:tc>
        <w:tc>
          <w:tcPr>
            <w:tcW w:w="2136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Nuclear cap-binding protein complex subunit 1</w:t>
            </w:r>
          </w:p>
        </w:tc>
        <w:tc>
          <w:tcPr>
            <w:tcW w:w="5093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mRNA cis splicing, via spliceosome [GO:0045292]; mRNA transport [GO:0051028]; nuclear-transcribed mRNA catabolic process, nonsense-mediated decay [GO:0000184]; response to osmotic stress [GO:0006970]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iCs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iCs/>
                <w:sz w:val="18"/>
                <w:szCs w:val="18"/>
              </w:rPr>
              <w:t>W0TAQ8</w:t>
            </w:r>
          </w:p>
        </w:tc>
        <w:tc>
          <w:tcPr>
            <w:tcW w:w="2136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iCs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iCs/>
                <w:sz w:val="18"/>
                <w:szCs w:val="18"/>
              </w:rPr>
              <w:t>Heat shock protein 104</w:t>
            </w:r>
          </w:p>
        </w:tc>
        <w:tc>
          <w:tcPr>
            <w:tcW w:w="5093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cellular heat acclimation [GO:0070370]; cellular response to osmotic stress [GO:0071470]; chaperone cofactor-dependent protein refolding [GO:0051085]; inheritance of oxidatively modified proteins involved in replicative cell aging [GO:0001319]; protein folding in endoplasmic reticulum [GO:0034975]; protein unfolding [GO:0043335]; stress granule disassembly [GO:0035617]; trehalose metabolism in response to heat stress [GO:0070414]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tcBorders>
              <w:top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iCs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/>
                <w:iCs/>
                <w:sz w:val="18"/>
                <w:szCs w:val="18"/>
              </w:rPr>
              <w:t>Oxidative stress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W0TF05</w:t>
            </w:r>
          </w:p>
        </w:tc>
        <w:tc>
          <w:tcPr>
            <w:tcW w:w="2136" w:type="dxa"/>
            <w:tcBorders>
              <w:top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Superoxide dismutase [Cu-Zn] (EC 1.15.1.1)</w:t>
            </w:r>
          </w:p>
        </w:tc>
        <w:tc>
          <w:tcPr>
            <w:tcW w:w="5093" w:type="dxa"/>
            <w:tcBorders>
              <w:top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age-dependent response to reactive oxygen species involved in chronological cell aging [GO:0001320]; cellular copper ion homeostasis [GO:0006878]; cellular zinc ion homeostasis [GO:0006882]; fungal-type cell wall organization [GO:0031505]; negative regulation of cellular respiration [GO:1901856]; positive regulation of DNA-binding transcription factor activity [GO:0051091]; positive regulation of transcription from RNA polymerase II promoter in response to oxidative stress [GO:0036091]; protein stabilization [GO:0050821]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W0T4K1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NAD(P)H-dependent D-xylose reductase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arabinose catabolic process [GO:0019568]; cellular response to osmotic stress [GO:0071470]; cellular response to oxidative stress [GO:0034599]; D-xylose catabolic process [GO:0042843]; galactose catabolic process [GO:0019388]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W0TIE1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Actin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ascospore wall assembly [GO:0030476]; cellular response to oxidative stress [GO:0034599]; DNA repair [GO:0006281]; endocytosis [GO:0006897]; establishment of cell polarity [GO:0030010]; mitotic actomyosin contractile ring contraction [GO:1902404]; protein secretion [GO:0009306]; vacuole inheritance [GO:0000011]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iCs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iCs/>
                <w:sz w:val="18"/>
                <w:szCs w:val="18"/>
              </w:rPr>
              <w:t>W0TAV4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iCs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iCs/>
                <w:sz w:val="18"/>
                <w:szCs w:val="18"/>
              </w:rPr>
              <w:t>12 kDa heat shock protein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cell adhesion [GO:0007155]; cellular response to heat [GO:0034605]; cellular response to osmotic stress [GO:0071470]; cellular response to oxidative stress [GO:0034599]; plasma membrane organization [GO:0007009]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W0TC44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Peroxiredoxin TSA1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cell redox homeostasis [GO:0045454]; cellular detoxification of hydrogen peroxide [GO:0061692]; hydrogen peroxide catabolic process [GO:0042744]; negative regulation of DNA-binding transcription factor activity [GO:0043433]; positive regulation of transcription from RNA polymerase II promoter in response to oxidative stress [GO:0036091]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W0T8K0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Glutathione reductase (EC 1.8.1.7)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cell redox homeostasis [GO:0045454]; cellular response to menadione [GO:0036245]; cellular response to oxidative stress [GO:0034599]; glutathione metabolic process [GO:0006749]; protein glutathionylation [GO:0010731]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W0TCC1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Peroxiredoxin DOT5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cell redox homeostasis [GO:0045454]; cellular response to oxidative stress [GO:0034599]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W0TKG9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Mitochondrial peroxiredoxin PRX1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cell redox homeostasis [GO:0045454]; cellular response to oxidative stress [GO:0034599]; regulation of hydrogen peroxide-induced cell death [GO:1903205]; response to cadmium ion [GO:0046686]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W0TFP1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Peroxidase (EC 1.11.1.-)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cellular response to oxidative stress [GO:0034599]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W0T647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Glutathione peroxidase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cellular response to oxidative stress [GO:0034599]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W0T7R5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Alcohol dehydrogenase (EC 1.1.1.1)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cellular response to oxidative stress [GO:0034599]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W0TFY8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Survival factor 1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cellular response to oxidative stress [GO:0034599]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W0TG01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Translationally-controlled tumor protein homolog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cellular response to oxidative stress [GO:0034599]; cytoplasmic translation [GO:0002181]; negative regulation of autophagy [GO:0010507]; negative regulation of microtubule depolymerization [GO:0007026]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W0T804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NADH-cytochrome b5 reductase (EC 1.6.2.2)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cellular response to oxidative stress [GO:0034599]; ergosterol biosynthetic process [GO:0006696]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W0TAN7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Glutamate decarboxylase (EC 4.1.1.15)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cellular response to oxidative stress [GO:0034599]; glutamate catabolic process [GO:0006538]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W0T7Z4</w:t>
            </w:r>
          </w:p>
        </w:tc>
        <w:tc>
          <w:tcPr>
            <w:tcW w:w="2136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Ankyrin repeat-containing protein YAR1</w:t>
            </w:r>
          </w:p>
        </w:tc>
        <w:tc>
          <w:tcPr>
            <w:tcW w:w="5093" w:type="dxa"/>
            <w:tcBorders>
              <w:bottom w:val="nil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cellular response to oxidative stress [GO:0034599]; regulation of protein localization [GO:0032880]; response to osmotic stress [GO:0006970]; ribosomal small subunit biogenesis [GO:0042274]; ribosomal small subunit export from nucleus [GO:0000056]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W0T3L1</w:t>
            </w:r>
          </w:p>
        </w:tc>
        <w:tc>
          <w:tcPr>
            <w:tcW w:w="2136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RNA polymerase II subunit A C-terminal domain phosphatase (EC 3.1.3.16)</w:t>
            </w:r>
          </w:p>
        </w:tc>
        <w:tc>
          <w:tcPr>
            <w:tcW w:w="5093" w:type="dxa"/>
            <w:tcBorders>
              <w:top w:val="nil"/>
              <w:bottom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dephosphorylation of RNA polymerase II C-terminal domain [GO:0070940]; response to oxidative stress [GO:0006979]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tcBorders>
              <w:top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iCs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/>
                <w:iCs/>
                <w:sz w:val="18"/>
                <w:szCs w:val="18"/>
              </w:rPr>
              <w:t>Protein folding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W0TD70</w:t>
            </w:r>
          </w:p>
        </w:tc>
        <w:tc>
          <w:tcPr>
            <w:tcW w:w="2136" w:type="dxa"/>
            <w:tcBorders>
              <w:top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ATP-dependent molecular chaperone HSC82</w:t>
            </w:r>
          </w:p>
        </w:tc>
        <w:tc>
          <w:tcPr>
            <w:tcW w:w="5093" w:type="dxa"/>
            <w:tcBorders>
              <w:top w:val="single" w:sz="4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adenylate cyclase-activating glucose-activated G protein-coupled receptor signaling pathway [GO:0010619]; chaperone-mediated protein folding [GO:0061077]; heterochromatin assembly by small RNA [GO:0031048]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W0TBY6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Peptidyl-prolyl cis-trans isomerase (PPIase) (EC 5.2.1.8)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apoptotic process [GO:0006915]; protein folding [GO:0006457]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W0TCK6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Peptidyl-prolyl cis-trans isomerase (PPIase) (EC 5.2.1.8)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ascospore formation [GO:0030437]; histone deacetylation [GO:0016575]; positive regulation of meiotic nuclear division [GO:0045836]; protein folding [GO:0006457]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W0T7S8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ATPase GET3 (EC 3.6.-.-) (Arsenical pump-driving ATPase) (Arsenite-stimulated ATPase) (Golgi to ER traffic protein 3) (Guided entry of tail-anchored proteins 3)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ATP-independent chaperone mediated protein folding [GO:1990507]; pheromone-dependent signal transduction involved in conjugation with cellular fusion [GO:0000750]; posttranslational protein targeting to endoplasmic reticulum membrane [GO:0006620]; protein insertion into ER membrane [GO:0045048]; response to heat [GO:0009408]; response to metal ion [GO:0010038]; retrograde vesicle-mediated transport, Golgi to endoplasmic reticulum [GO:0006890]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W0T4W1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Heat shock protein homolog SSE1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autophagy [GO:0006914]; proteasomal ubiquitin-independent protein catabolic process [GO:0010499]; proteasome-mediated ubiquitin-dependent protein catabolic process [GO:0043161]; protein refolding [GO:0042026]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W0T4B9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Protein disulfide-isomerase (EC 5.3.4.1)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cell redox homeostasis [GO:0045454]; mannose trimming involved in glycoprotein ERAD pathway [GO:1904382]; protein folding [GO:0006457]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iCs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iCs/>
                <w:sz w:val="18"/>
                <w:szCs w:val="18"/>
              </w:rPr>
              <w:t>W0TAQ8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iCs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iCs/>
                <w:sz w:val="18"/>
                <w:szCs w:val="18"/>
              </w:rPr>
              <w:t>Heat shock protein 104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cellular heat acclimation [GO:0070370]; cellular response to osmotic stress [GO:0071470]; chaperone cofactor-dependent protein refolding [GO:0051085]; inheritance of oxidatively modified proteins involved in replicative cell aging [GO:0001319]; protein folding in endoplasmic reticulum [GO:0034975]; protein unfolding [GO:0043335]; stress granule disassembly [GO:0035617]; trehalose metabolism in response to heat stress [GO:0070414]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W0TCL3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Hsp90 co-chaperone AHA1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cellular response to heat [GO:0034605]; protein folding [GO:0006457]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W0THY0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Heat shock protein SSA3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cellular response to heat [GO:0034605]; protein folding [GO:0006457]; SRP-dependent cotranslational protein targeting to membrane, translocation [GO:0006616]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W0TIR2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Putative aspartyl aminopeptidase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chaperone-mediated protein folding [GO:0061077]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W0TH33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Peptidylprolyl isomerase (EC 5.2.1.8)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chromatin organization [GO:0006325]; protein folding [GO:0006457]; regulation of homoserine biosynthetic process [GO:1901710]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W0T5P3</w:t>
            </w:r>
          </w:p>
        </w:tc>
        <w:tc>
          <w:tcPr>
            <w:tcW w:w="2136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Heat shock protein 60</w:t>
            </w:r>
          </w:p>
        </w:tc>
        <w:tc>
          <w:tcPr>
            <w:tcW w:w="5093" w:type="dxa"/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'de novo' protein folding [GO:0006458]; chaperone-mediated protein complex assembly [GO:0051131]; protein import into mitochondrial intermembrane space [GO:0045041]; protein maturation [GO:0051604]; protein refolding [GO:0042026]; protein stabilization [GO:0050821]</w:t>
            </w:r>
          </w:p>
        </w:tc>
      </w:tr>
      <w:tr w:rsidR="00F54F38" w:rsidRPr="00125434" w:rsidTr="00383C0C">
        <w:trPr>
          <w:trHeight w:val="20"/>
        </w:trPr>
        <w:tc>
          <w:tcPr>
            <w:tcW w:w="2261" w:type="dxa"/>
            <w:tcBorders>
              <w:bottom w:val="single" w:sz="12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</w:p>
        </w:tc>
        <w:tc>
          <w:tcPr>
            <w:tcW w:w="976" w:type="dxa"/>
            <w:tcBorders>
              <w:bottom w:val="single" w:sz="12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W0TDW0</w:t>
            </w:r>
          </w:p>
        </w:tc>
        <w:tc>
          <w:tcPr>
            <w:tcW w:w="2136" w:type="dxa"/>
            <w:tcBorders>
              <w:bottom w:val="single" w:sz="12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Peptidyl-prolyl cis-trans isomerase D</w:t>
            </w:r>
          </w:p>
        </w:tc>
        <w:tc>
          <w:tcPr>
            <w:tcW w:w="5093" w:type="dxa"/>
            <w:tcBorders>
              <w:bottom w:val="single" w:sz="12" w:space="0" w:color="auto"/>
            </w:tcBorders>
            <w:noWrap/>
            <w:hideMark/>
          </w:tcPr>
          <w:p w:rsidR="00125434" w:rsidRPr="00125434" w:rsidRDefault="00125434" w:rsidP="00F54F38">
            <w:pPr>
              <w:pStyle w:val="paragraph"/>
              <w:spacing w:line="0" w:lineRule="atLeast"/>
              <w:textAlignment w:val="baseline"/>
              <w:rPr>
                <w:rFonts w:ascii="Times New Roman" w:eastAsia="Arial Unicode MS" w:hAnsi="Times New Roman" w:cs="Times New Roman"/>
                <w:sz w:val="18"/>
                <w:szCs w:val="18"/>
              </w:rPr>
            </w:pPr>
            <w:r w:rsidRPr="00125434">
              <w:rPr>
                <w:rFonts w:ascii="Times New Roman" w:eastAsia="Arial Unicode MS" w:hAnsi="Times New Roman" w:cs="Times New Roman" w:hint="eastAsia"/>
                <w:sz w:val="18"/>
                <w:szCs w:val="18"/>
              </w:rPr>
              <w:t>protein refolding [GO:0042026]</w:t>
            </w:r>
          </w:p>
        </w:tc>
      </w:tr>
    </w:tbl>
    <w:p w:rsidR="00383C0C" w:rsidRDefault="00383C0C" w:rsidP="00383C0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Times New Roman" w:hAnsi="Times New Roman" w:cs="Times New Roman"/>
          <w:b/>
          <w:bCs/>
          <w:sz w:val="20"/>
          <w:szCs w:val="20"/>
        </w:rPr>
      </w:pPr>
    </w:p>
    <w:p w:rsidR="00383C0C" w:rsidRDefault="00383C0C" w:rsidP="00383C0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Times New Roman" w:hAnsi="Times New Roman" w:cs="Times New Roman"/>
          <w:b/>
          <w:bCs/>
          <w:sz w:val="20"/>
          <w:szCs w:val="20"/>
        </w:rPr>
      </w:pPr>
    </w:p>
    <w:p w:rsidR="00DC6A18" w:rsidRDefault="00DC6A18">
      <w:pPr>
        <w:widowControl/>
        <w:rPr>
          <w:rStyle w:val="normaltextrun"/>
          <w:rFonts w:ascii="Times New Roman" w:eastAsia="新細明體" w:hAnsi="Times New Roman" w:cs="Times New Roman"/>
          <w:b/>
          <w:bCs/>
          <w:kern w:val="0"/>
          <w:sz w:val="20"/>
          <w:szCs w:val="20"/>
        </w:rPr>
      </w:pPr>
      <w:r>
        <w:rPr>
          <w:rStyle w:val="normaltextrun"/>
          <w:rFonts w:ascii="Times New Roman" w:hAnsi="Times New Roman" w:cs="Times New Roman"/>
          <w:b/>
          <w:bCs/>
          <w:sz w:val="20"/>
          <w:szCs w:val="20"/>
        </w:rPr>
        <w:br w:type="page"/>
      </w:r>
    </w:p>
    <w:p w:rsidR="00125434" w:rsidRPr="008E784E" w:rsidRDefault="00144F6B" w:rsidP="00383C0C">
      <w:pPr>
        <w:pStyle w:val="paragraph"/>
        <w:spacing w:before="0" w:beforeAutospacing="0" w:after="0" w:afterAutospacing="0"/>
        <w:textAlignment w:val="baseline"/>
        <w:rPr>
          <w:rFonts w:ascii="Times New Roman" w:eastAsia="Arial Unicode MS" w:hAnsi="Times New Roman" w:cs="Times New Roman"/>
          <w:sz w:val="18"/>
          <w:szCs w:val="18"/>
        </w:rPr>
      </w:pPr>
      <w:r w:rsidRPr="008E784E">
        <w:rPr>
          <w:rFonts w:ascii="Times New Roman" w:eastAsia="Arial Unicode MS" w:hAnsi="Times New Roman" w:cs="Times New Roman" w:hint="eastAsia"/>
          <w:b/>
          <w:bCs/>
          <w:sz w:val="18"/>
          <w:szCs w:val="18"/>
        </w:rPr>
        <w:lastRenderedPageBreak/>
        <w:t>Supplementary Table S</w:t>
      </w:r>
      <w:r w:rsidRPr="008E784E">
        <w:rPr>
          <w:rFonts w:ascii="Times New Roman" w:eastAsia="Arial Unicode MS" w:hAnsi="Times New Roman" w:cs="Times New Roman"/>
          <w:b/>
          <w:bCs/>
          <w:sz w:val="18"/>
          <w:szCs w:val="18"/>
        </w:rPr>
        <w:t>3</w:t>
      </w:r>
      <w:r w:rsidRPr="008E784E">
        <w:rPr>
          <w:rFonts w:ascii="Times New Roman" w:eastAsia="Arial Unicode MS" w:hAnsi="Times New Roman" w:cs="Times New Roman" w:hint="eastAsia"/>
          <w:b/>
          <w:bCs/>
          <w:sz w:val="18"/>
          <w:szCs w:val="18"/>
        </w:rPr>
        <w:t>.</w:t>
      </w:r>
      <w:r w:rsidR="00383C0C" w:rsidRPr="008E784E">
        <w:rPr>
          <w:rStyle w:val="normaltextrun"/>
          <w:rFonts w:ascii="Times New Roman" w:hAnsi="Times New Roman" w:cs="Times New Roman"/>
          <w:sz w:val="18"/>
          <w:szCs w:val="18"/>
        </w:rPr>
        <w:t xml:space="preserve"> All</w:t>
      </w:r>
      <w:r w:rsidR="00383C0C" w:rsidRPr="008E784E">
        <w:rPr>
          <w:sz w:val="18"/>
          <w:szCs w:val="18"/>
        </w:rPr>
        <w:t xml:space="preserve"> </w:t>
      </w:r>
      <w:r w:rsidR="00383C0C" w:rsidRPr="008E784E">
        <w:rPr>
          <w:rStyle w:val="normaltextrun"/>
          <w:rFonts w:ascii="Times New Roman" w:hAnsi="Times New Roman" w:cs="Times New Roman"/>
          <w:sz w:val="18"/>
          <w:szCs w:val="18"/>
        </w:rPr>
        <w:t>primer sequences for qPCR analysis.</w:t>
      </w:r>
      <w:r w:rsidR="00383C0C" w:rsidRPr="008E784E">
        <w:rPr>
          <w:rStyle w:val="eop"/>
          <w:rFonts w:ascii="Times New Roman" w:hAnsi="Times New Roman" w:cs="Times New Roman"/>
          <w:sz w:val="18"/>
          <w:szCs w:val="18"/>
        </w:rPr>
        <w:t> </w:t>
      </w:r>
    </w:p>
    <w:tbl>
      <w:tblPr>
        <w:tblStyle w:val="a3"/>
        <w:tblW w:w="832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53"/>
        <w:gridCol w:w="3433"/>
        <w:gridCol w:w="3434"/>
      </w:tblGrid>
      <w:tr w:rsidR="00383C0C" w:rsidRPr="008E784E" w:rsidTr="001E42AA">
        <w:trPr>
          <w:trHeight w:val="451"/>
        </w:trPr>
        <w:tc>
          <w:tcPr>
            <w:tcW w:w="1453" w:type="dxa"/>
            <w:tcBorders>
              <w:bottom w:val="single" w:sz="4" w:space="0" w:color="auto"/>
            </w:tcBorders>
          </w:tcPr>
          <w:p w:rsidR="00383C0C" w:rsidRPr="008E784E" w:rsidRDefault="00383C0C" w:rsidP="001E42AA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784E">
              <w:rPr>
                <w:rFonts w:ascii="Times New Roman" w:hAnsi="Times New Roman" w:cs="Times New Roman"/>
                <w:b/>
                <w:sz w:val="18"/>
                <w:szCs w:val="18"/>
              </w:rPr>
              <w:t>Gene</w:t>
            </w:r>
          </w:p>
        </w:tc>
        <w:tc>
          <w:tcPr>
            <w:tcW w:w="3433" w:type="dxa"/>
            <w:tcBorders>
              <w:bottom w:val="single" w:sz="4" w:space="0" w:color="auto"/>
            </w:tcBorders>
          </w:tcPr>
          <w:p w:rsidR="00383C0C" w:rsidRPr="008E784E" w:rsidRDefault="00383C0C" w:rsidP="001E42AA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784E">
              <w:rPr>
                <w:rFonts w:ascii="Times New Roman" w:hAnsi="Times New Roman" w:cs="Times New Roman"/>
                <w:b/>
                <w:sz w:val="18"/>
                <w:szCs w:val="18"/>
              </w:rPr>
              <w:t>Forward primer</w:t>
            </w:r>
          </w:p>
        </w:tc>
        <w:tc>
          <w:tcPr>
            <w:tcW w:w="3434" w:type="dxa"/>
            <w:tcBorders>
              <w:bottom w:val="single" w:sz="4" w:space="0" w:color="auto"/>
            </w:tcBorders>
          </w:tcPr>
          <w:p w:rsidR="00383C0C" w:rsidRPr="008E784E" w:rsidRDefault="00383C0C" w:rsidP="001E42AA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E784E">
              <w:rPr>
                <w:rFonts w:ascii="Times New Roman" w:hAnsi="Times New Roman" w:cs="Times New Roman"/>
                <w:b/>
                <w:sz w:val="18"/>
                <w:szCs w:val="18"/>
              </w:rPr>
              <w:t>Reverse primer</w:t>
            </w:r>
          </w:p>
        </w:tc>
      </w:tr>
      <w:tr w:rsidR="00383C0C" w:rsidRPr="008E784E" w:rsidTr="001E42AA">
        <w:trPr>
          <w:trHeight w:val="432"/>
        </w:trPr>
        <w:tc>
          <w:tcPr>
            <w:tcW w:w="1453" w:type="dxa"/>
            <w:tcBorders>
              <w:bottom w:val="nil"/>
            </w:tcBorders>
          </w:tcPr>
          <w:p w:rsidR="00383C0C" w:rsidRPr="008E784E" w:rsidRDefault="00383C0C" w:rsidP="001E42AA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E784E">
              <w:rPr>
                <w:rFonts w:ascii="Times New Roman" w:hAnsi="Times New Roman" w:cs="Times New Roman"/>
                <w:i/>
                <w:sz w:val="18"/>
                <w:szCs w:val="18"/>
              </w:rPr>
              <w:t>HSP12</w:t>
            </w:r>
          </w:p>
        </w:tc>
        <w:tc>
          <w:tcPr>
            <w:tcW w:w="3433" w:type="dxa"/>
            <w:tcBorders>
              <w:bottom w:val="nil"/>
            </w:tcBorders>
          </w:tcPr>
          <w:p w:rsidR="00383C0C" w:rsidRPr="008E784E" w:rsidRDefault="00383C0C" w:rsidP="001E42AA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8E784E">
              <w:rPr>
                <w:rFonts w:ascii="Times New Roman" w:hAnsi="Times New Roman" w:cs="Times New Roman"/>
                <w:sz w:val="18"/>
                <w:szCs w:val="18"/>
              </w:rPr>
              <w:t>CCAGACTCCCAAAAGAGCACTC</w:t>
            </w:r>
          </w:p>
        </w:tc>
        <w:tc>
          <w:tcPr>
            <w:tcW w:w="3434" w:type="dxa"/>
            <w:tcBorders>
              <w:bottom w:val="nil"/>
            </w:tcBorders>
          </w:tcPr>
          <w:p w:rsidR="00383C0C" w:rsidRPr="008E784E" w:rsidRDefault="00383C0C" w:rsidP="001E42AA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8E784E">
              <w:rPr>
                <w:rFonts w:ascii="Times New Roman" w:hAnsi="Times New Roman" w:cs="Times New Roman"/>
                <w:sz w:val="18"/>
                <w:szCs w:val="18"/>
              </w:rPr>
              <w:t>CCTTACCCTGTTGAGCACTGTC</w:t>
            </w:r>
          </w:p>
        </w:tc>
      </w:tr>
      <w:tr w:rsidR="00383C0C" w:rsidRPr="008E784E" w:rsidTr="001E42AA">
        <w:trPr>
          <w:trHeight w:val="451"/>
        </w:trPr>
        <w:tc>
          <w:tcPr>
            <w:tcW w:w="1453" w:type="dxa"/>
            <w:tcBorders>
              <w:top w:val="nil"/>
              <w:bottom w:val="nil"/>
            </w:tcBorders>
          </w:tcPr>
          <w:p w:rsidR="00383C0C" w:rsidRPr="008E784E" w:rsidRDefault="00383C0C" w:rsidP="001E42AA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E784E">
              <w:rPr>
                <w:rFonts w:ascii="Times New Roman" w:hAnsi="Times New Roman" w:cs="Times New Roman"/>
                <w:i/>
                <w:sz w:val="18"/>
                <w:szCs w:val="18"/>
              </w:rPr>
              <w:t>GAP1</w:t>
            </w:r>
          </w:p>
        </w:tc>
        <w:tc>
          <w:tcPr>
            <w:tcW w:w="3433" w:type="dxa"/>
            <w:tcBorders>
              <w:top w:val="nil"/>
              <w:bottom w:val="nil"/>
            </w:tcBorders>
          </w:tcPr>
          <w:p w:rsidR="00383C0C" w:rsidRPr="008E784E" w:rsidRDefault="00383C0C" w:rsidP="001E42AA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8E784E">
              <w:rPr>
                <w:rFonts w:ascii="Times New Roman" w:hAnsi="Times New Roman" w:cs="Times New Roman"/>
                <w:sz w:val="18"/>
                <w:szCs w:val="18"/>
              </w:rPr>
              <w:t>CCAAGAAAAGGACCCAGCTACC</w:t>
            </w:r>
          </w:p>
        </w:tc>
        <w:tc>
          <w:tcPr>
            <w:tcW w:w="3434" w:type="dxa"/>
            <w:tcBorders>
              <w:top w:val="nil"/>
              <w:bottom w:val="nil"/>
            </w:tcBorders>
          </w:tcPr>
          <w:p w:rsidR="00383C0C" w:rsidRPr="008E784E" w:rsidRDefault="00383C0C" w:rsidP="001E42AA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8E784E">
              <w:rPr>
                <w:rFonts w:ascii="Times New Roman" w:hAnsi="Times New Roman" w:cs="Times New Roman"/>
                <w:sz w:val="18"/>
                <w:szCs w:val="18"/>
              </w:rPr>
              <w:t>GGTCTTGGAAGGAGTAATC</w:t>
            </w:r>
          </w:p>
        </w:tc>
      </w:tr>
      <w:tr w:rsidR="00383C0C" w:rsidRPr="008E784E" w:rsidTr="001E42AA">
        <w:trPr>
          <w:trHeight w:val="451"/>
        </w:trPr>
        <w:tc>
          <w:tcPr>
            <w:tcW w:w="1453" w:type="dxa"/>
            <w:tcBorders>
              <w:top w:val="nil"/>
              <w:bottom w:val="nil"/>
            </w:tcBorders>
          </w:tcPr>
          <w:p w:rsidR="00383C0C" w:rsidRPr="008E784E" w:rsidRDefault="00383C0C" w:rsidP="001E42AA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E784E">
              <w:rPr>
                <w:rFonts w:ascii="Times New Roman" w:hAnsi="Times New Roman" w:cs="Times New Roman"/>
                <w:i/>
                <w:sz w:val="18"/>
                <w:szCs w:val="18"/>
              </w:rPr>
              <w:t>ENO</w:t>
            </w:r>
          </w:p>
        </w:tc>
        <w:tc>
          <w:tcPr>
            <w:tcW w:w="3433" w:type="dxa"/>
            <w:tcBorders>
              <w:top w:val="nil"/>
              <w:bottom w:val="nil"/>
            </w:tcBorders>
          </w:tcPr>
          <w:p w:rsidR="00383C0C" w:rsidRPr="008E784E" w:rsidRDefault="00383C0C" w:rsidP="001E42AA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8E784E">
              <w:rPr>
                <w:rFonts w:ascii="Times New Roman" w:hAnsi="Times New Roman" w:cs="Times New Roman"/>
                <w:sz w:val="18"/>
                <w:szCs w:val="18"/>
              </w:rPr>
              <w:t>GGTAAGGGTGTCTTGAAGGCTG</w:t>
            </w:r>
          </w:p>
        </w:tc>
        <w:tc>
          <w:tcPr>
            <w:tcW w:w="3434" w:type="dxa"/>
            <w:tcBorders>
              <w:top w:val="nil"/>
              <w:bottom w:val="nil"/>
            </w:tcBorders>
          </w:tcPr>
          <w:p w:rsidR="00383C0C" w:rsidRPr="008E784E" w:rsidRDefault="00383C0C" w:rsidP="001E42AA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8E784E">
              <w:rPr>
                <w:rFonts w:ascii="Times New Roman" w:hAnsi="Times New Roman" w:cs="Times New Roman"/>
                <w:sz w:val="18"/>
                <w:szCs w:val="18"/>
              </w:rPr>
              <w:t>AGCACCCAACTTGGACTTGTTT</w:t>
            </w:r>
          </w:p>
        </w:tc>
      </w:tr>
      <w:tr w:rsidR="00383C0C" w:rsidRPr="008E784E" w:rsidTr="001E42AA">
        <w:trPr>
          <w:trHeight w:val="432"/>
        </w:trPr>
        <w:tc>
          <w:tcPr>
            <w:tcW w:w="1453" w:type="dxa"/>
            <w:tcBorders>
              <w:top w:val="nil"/>
              <w:bottom w:val="nil"/>
            </w:tcBorders>
          </w:tcPr>
          <w:p w:rsidR="00383C0C" w:rsidRPr="008E784E" w:rsidRDefault="00383C0C" w:rsidP="001E42AA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E784E">
              <w:rPr>
                <w:rFonts w:ascii="Times New Roman" w:hAnsi="Times New Roman" w:cs="Times New Roman"/>
                <w:i/>
                <w:sz w:val="18"/>
                <w:szCs w:val="18"/>
              </w:rPr>
              <w:t>PGU1</w:t>
            </w:r>
          </w:p>
        </w:tc>
        <w:tc>
          <w:tcPr>
            <w:tcW w:w="3433" w:type="dxa"/>
            <w:tcBorders>
              <w:top w:val="nil"/>
              <w:bottom w:val="nil"/>
            </w:tcBorders>
          </w:tcPr>
          <w:p w:rsidR="00383C0C" w:rsidRPr="008E784E" w:rsidRDefault="00383C0C" w:rsidP="001E42AA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8E784E">
              <w:rPr>
                <w:rFonts w:ascii="Times New Roman" w:hAnsi="Times New Roman" w:cs="Times New Roman"/>
                <w:sz w:val="18"/>
                <w:szCs w:val="18"/>
              </w:rPr>
              <w:t>GTCGGGCAGGTTACCTTTGATT</w:t>
            </w:r>
          </w:p>
        </w:tc>
        <w:tc>
          <w:tcPr>
            <w:tcW w:w="3434" w:type="dxa"/>
            <w:tcBorders>
              <w:top w:val="nil"/>
              <w:bottom w:val="nil"/>
            </w:tcBorders>
          </w:tcPr>
          <w:p w:rsidR="00383C0C" w:rsidRPr="008E784E" w:rsidRDefault="00383C0C" w:rsidP="001E42AA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8E784E">
              <w:rPr>
                <w:rFonts w:ascii="Times New Roman" w:hAnsi="Times New Roman" w:cs="Times New Roman"/>
                <w:sz w:val="18"/>
                <w:szCs w:val="18"/>
              </w:rPr>
              <w:t>CGACATCTGAGTTGCCAGTCAA</w:t>
            </w:r>
          </w:p>
        </w:tc>
      </w:tr>
      <w:tr w:rsidR="00383C0C" w:rsidRPr="008E784E" w:rsidTr="001E42AA">
        <w:trPr>
          <w:trHeight w:val="451"/>
        </w:trPr>
        <w:tc>
          <w:tcPr>
            <w:tcW w:w="1453" w:type="dxa"/>
            <w:tcBorders>
              <w:top w:val="nil"/>
              <w:bottom w:val="nil"/>
            </w:tcBorders>
          </w:tcPr>
          <w:p w:rsidR="00383C0C" w:rsidRPr="008E784E" w:rsidRDefault="00383C0C" w:rsidP="001E42AA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E784E">
              <w:rPr>
                <w:rFonts w:ascii="Times New Roman" w:hAnsi="Times New Roman" w:cs="Times New Roman"/>
                <w:i/>
                <w:sz w:val="18"/>
                <w:szCs w:val="18"/>
              </w:rPr>
              <w:t>INU1</w:t>
            </w:r>
          </w:p>
        </w:tc>
        <w:tc>
          <w:tcPr>
            <w:tcW w:w="3433" w:type="dxa"/>
            <w:tcBorders>
              <w:top w:val="nil"/>
              <w:bottom w:val="nil"/>
            </w:tcBorders>
          </w:tcPr>
          <w:p w:rsidR="00383C0C" w:rsidRPr="008E784E" w:rsidRDefault="00383C0C" w:rsidP="001E42AA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8E784E">
              <w:rPr>
                <w:rFonts w:ascii="Times New Roman" w:hAnsi="Times New Roman" w:cs="Times New Roman"/>
                <w:sz w:val="18"/>
                <w:szCs w:val="18"/>
              </w:rPr>
              <w:t>AACACTCCAAACGAGAAGGACG</w:t>
            </w:r>
          </w:p>
        </w:tc>
        <w:tc>
          <w:tcPr>
            <w:tcW w:w="3434" w:type="dxa"/>
            <w:tcBorders>
              <w:top w:val="nil"/>
              <w:bottom w:val="nil"/>
            </w:tcBorders>
          </w:tcPr>
          <w:p w:rsidR="00383C0C" w:rsidRPr="008E784E" w:rsidRDefault="00383C0C" w:rsidP="001E42AA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8E784E">
              <w:rPr>
                <w:rFonts w:ascii="Times New Roman" w:hAnsi="Times New Roman" w:cs="Times New Roman"/>
                <w:sz w:val="18"/>
                <w:szCs w:val="18"/>
              </w:rPr>
              <w:t>CGGAGTTAGGGTTTGTGCTGAA</w:t>
            </w:r>
          </w:p>
        </w:tc>
      </w:tr>
      <w:tr w:rsidR="00383C0C" w:rsidRPr="008E784E" w:rsidTr="001E42AA">
        <w:trPr>
          <w:trHeight w:val="451"/>
        </w:trPr>
        <w:tc>
          <w:tcPr>
            <w:tcW w:w="1453" w:type="dxa"/>
            <w:tcBorders>
              <w:top w:val="nil"/>
            </w:tcBorders>
          </w:tcPr>
          <w:p w:rsidR="00383C0C" w:rsidRPr="008E784E" w:rsidRDefault="00383C0C" w:rsidP="001E42AA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8E784E">
              <w:rPr>
                <w:rStyle w:val="normaltextrun"/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bdr w:val="none" w:sz="0" w:space="0" w:color="auto" w:frame="1"/>
              </w:rPr>
              <w:t>ACT</w:t>
            </w:r>
          </w:p>
        </w:tc>
        <w:tc>
          <w:tcPr>
            <w:tcW w:w="3433" w:type="dxa"/>
            <w:tcBorders>
              <w:top w:val="nil"/>
            </w:tcBorders>
          </w:tcPr>
          <w:p w:rsidR="00383C0C" w:rsidRPr="008E784E" w:rsidRDefault="00383C0C" w:rsidP="001E42AA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8E784E">
              <w:rPr>
                <w:rFonts w:ascii="Times New Roman" w:hAnsi="Times New Roman" w:cs="Times New Roman"/>
                <w:sz w:val="18"/>
                <w:szCs w:val="18"/>
              </w:rPr>
              <w:t>GGGGCTTCGGTCAACAAAAC</w:t>
            </w:r>
          </w:p>
        </w:tc>
        <w:tc>
          <w:tcPr>
            <w:tcW w:w="3434" w:type="dxa"/>
            <w:tcBorders>
              <w:top w:val="nil"/>
            </w:tcBorders>
          </w:tcPr>
          <w:p w:rsidR="00383C0C" w:rsidRPr="008E784E" w:rsidRDefault="00383C0C" w:rsidP="001E42AA">
            <w:pPr>
              <w:pStyle w:val="paragraph"/>
              <w:spacing w:before="0" w:beforeAutospacing="0" w:after="0" w:afterAutospacing="0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8E784E">
              <w:rPr>
                <w:rFonts w:ascii="Times New Roman" w:hAnsi="Times New Roman" w:cs="Times New Roman"/>
                <w:sz w:val="18"/>
                <w:szCs w:val="18"/>
              </w:rPr>
              <w:t>TGGTCGGTATGGGTCAAAAGG</w:t>
            </w:r>
          </w:p>
        </w:tc>
      </w:tr>
    </w:tbl>
    <w:p w:rsidR="00BF3B92" w:rsidRDefault="00BF3B92" w:rsidP="00552C88">
      <w:pPr>
        <w:pStyle w:val="paragraph"/>
        <w:spacing w:before="0" w:beforeAutospacing="0" w:after="0" w:afterAutospacing="0"/>
        <w:textAlignment w:val="baseline"/>
        <w:rPr>
          <w:rFonts w:ascii="Times New Roman" w:eastAsia="Arial Unicode MS" w:hAnsi="Times New Roman" w:cs="Times New Roman"/>
          <w:sz w:val="18"/>
          <w:szCs w:val="18"/>
        </w:rPr>
      </w:pPr>
    </w:p>
    <w:p w:rsidR="00BF3B92" w:rsidRDefault="00BF3B92">
      <w:pPr>
        <w:widowControl/>
        <w:rPr>
          <w:rFonts w:ascii="Times New Roman" w:eastAsia="Arial Unicode MS" w:hAnsi="Times New Roman" w:cs="Times New Roman"/>
          <w:kern w:val="0"/>
          <w:sz w:val="18"/>
          <w:szCs w:val="18"/>
        </w:rPr>
      </w:pPr>
      <w:r>
        <w:rPr>
          <w:rFonts w:ascii="Times New Roman" w:eastAsia="Arial Unicode MS" w:hAnsi="Times New Roman" w:cs="Times New Roman"/>
          <w:sz w:val="18"/>
          <w:szCs w:val="18"/>
        </w:rPr>
        <w:br w:type="page"/>
      </w:r>
    </w:p>
    <w:p w:rsidR="00125434" w:rsidRDefault="00BF3B92" w:rsidP="00552C88">
      <w:pPr>
        <w:pStyle w:val="paragraph"/>
        <w:spacing w:before="0" w:beforeAutospacing="0" w:after="0" w:afterAutospacing="0"/>
        <w:textAlignment w:val="baseline"/>
        <w:rPr>
          <w:rFonts w:ascii="Times New Roman" w:eastAsia="Arial Unicode MS" w:hAnsi="Times New Roman" w:cs="Times New Roman"/>
          <w:sz w:val="18"/>
          <w:szCs w:val="18"/>
        </w:rPr>
      </w:pPr>
      <w:r>
        <w:rPr>
          <w:rFonts w:ascii="Times New Roman" w:eastAsia="Arial Unicode MS" w:hAnsi="Times New Roman" w:cs="Times New Roman" w:hint="eastAsia"/>
          <w:sz w:val="18"/>
          <w:szCs w:val="18"/>
        </w:rPr>
        <w:lastRenderedPageBreak/>
        <w:t xml:space="preserve">The </w:t>
      </w:r>
      <w:r>
        <w:rPr>
          <w:rFonts w:ascii="Times New Roman" w:eastAsia="Arial Unicode MS" w:hAnsi="Times New Roman" w:cs="Times New Roman"/>
          <w:sz w:val="18"/>
          <w:szCs w:val="18"/>
        </w:rPr>
        <w:t>uncropped gel in Figure 2b.</w:t>
      </w:r>
    </w:p>
    <w:p w:rsidR="00BF3B92" w:rsidRDefault="00BF3B92" w:rsidP="00552C88">
      <w:pPr>
        <w:pStyle w:val="paragraph"/>
        <w:spacing w:before="0" w:beforeAutospacing="0" w:after="0" w:afterAutospacing="0"/>
        <w:textAlignment w:val="baseline"/>
        <w:rPr>
          <w:rFonts w:ascii="Times New Roman" w:eastAsia="Arial Unicode MS" w:hAnsi="Times New Roman" w:cs="Times New Roman"/>
          <w:sz w:val="18"/>
          <w:szCs w:val="18"/>
        </w:rPr>
      </w:pPr>
      <w:r w:rsidRPr="00BF3B92">
        <w:rPr>
          <w:rFonts w:ascii="Times New Roman" w:eastAsia="Arial Unicode MS" w:hAnsi="Times New Roman" w:cs="Times New Roman"/>
          <w:noProof/>
          <w:sz w:val="18"/>
          <w:szCs w:val="18"/>
        </w:rPr>
        <w:drawing>
          <wp:inline distT="0" distB="0" distL="0" distR="0">
            <wp:extent cx="5006289" cy="3754717"/>
            <wp:effectExtent l="0" t="0" r="4445" b="0"/>
            <wp:docPr id="2" name="圖片 2" descr="I:\CC Huang\MOST延攬研究學者\第三年\HSP12\HSP12 paper submit files\IMG_98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CC Huang\MOST延攬研究學者\第三年\HSP12\HSP12 paper submit files\IMG_988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7145" cy="3755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3B92" w:rsidRDefault="00BF3B92" w:rsidP="00552C88">
      <w:pPr>
        <w:pStyle w:val="paragraph"/>
        <w:spacing w:before="0" w:beforeAutospacing="0" w:after="0" w:afterAutospacing="0"/>
        <w:textAlignment w:val="baseline"/>
        <w:rPr>
          <w:rFonts w:ascii="Times New Roman" w:eastAsia="Arial Unicode MS" w:hAnsi="Times New Roman" w:cs="Times New Roman"/>
          <w:sz w:val="18"/>
          <w:szCs w:val="18"/>
        </w:rPr>
      </w:pPr>
    </w:p>
    <w:p w:rsidR="00BF3B92" w:rsidRDefault="00BF3B92" w:rsidP="00552C88">
      <w:pPr>
        <w:pStyle w:val="paragraph"/>
        <w:spacing w:before="0" w:beforeAutospacing="0" w:after="0" w:afterAutospacing="0"/>
        <w:textAlignment w:val="baseline"/>
        <w:rPr>
          <w:rFonts w:ascii="Times New Roman" w:eastAsia="Arial Unicode MS" w:hAnsi="Times New Roman" w:cs="Times New Roman"/>
          <w:sz w:val="18"/>
          <w:szCs w:val="18"/>
        </w:rPr>
      </w:pPr>
    </w:p>
    <w:p w:rsidR="00BF3B92" w:rsidRDefault="00BF3B92" w:rsidP="00552C88">
      <w:pPr>
        <w:pStyle w:val="paragraph"/>
        <w:spacing w:before="0" w:beforeAutospacing="0" w:after="0" w:afterAutospacing="0"/>
        <w:textAlignment w:val="baseline"/>
        <w:rPr>
          <w:rFonts w:ascii="Times New Roman" w:eastAsia="Arial Unicode MS" w:hAnsi="Times New Roman" w:cs="Times New Roman"/>
          <w:sz w:val="18"/>
          <w:szCs w:val="18"/>
        </w:rPr>
      </w:pPr>
    </w:p>
    <w:p w:rsidR="00BF3B92" w:rsidRDefault="00BF3B92" w:rsidP="00552C88">
      <w:pPr>
        <w:pStyle w:val="paragraph"/>
        <w:spacing w:before="0" w:beforeAutospacing="0" w:after="0" w:afterAutospacing="0"/>
        <w:textAlignment w:val="baseline"/>
        <w:rPr>
          <w:rFonts w:ascii="Times New Roman" w:eastAsia="Arial Unicode MS" w:hAnsi="Times New Roman" w:cs="Times New Roman"/>
          <w:sz w:val="18"/>
          <w:szCs w:val="18"/>
        </w:rPr>
      </w:pPr>
    </w:p>
    <w:p w:rsidR="00BF3B92" w:rsidRDefault="00BF3B92" w:rsidP="00552C88">
      <w:pPr>
        <w:pStyle w:val="paragraph"/>
        <w:spacing w:before="0" w:beforeAutospacing="0" w:after="0" w:afterAutospacing="0"/>
        <w:textAlignment w:val="baseline"/>
        <w:rPr>
          <w:rFonts w:ascii="Times New Roman" w:eastAsia="Arial Unicode MS" w:hAnsi="Times New Roman" w:cs="Times New Roman"/>
          <w:sz w:val="18"/>
          <w:szCs w:val="18"/>
        </w:rPr>
      </w:pPr>
      <w:r>
        <w:rPr>
          <w:rFonts w:ascii="Times New Roman" w:eastAsia="Arial Unicode MS" w:hAnsi="Times New Roman" w:cs="Times New Roman" w:hint="eastAsia"/>
          <w:sz w:val="18"/>
          <w:szCs w:val="18"/>
        </w:rPr>
        <w:t xml:space="preserve">The </w:t>
      </w:r>
      <w:r>
        <w:rPr>
          <w:rFonts w:ascii="Times New Roman" w:eastAsia="Arial Unicode MS" w:hAnsi="Times New Roman" w:cs="Times New Roman"/>
          <w:sz w:val="18"/>
          <w:szCs w:val="18"/>
        </w:rPr>
        <w:t>uncropped gel in Figure S1.</w:t>
      </w:r>
    </w:p>
    <w:p w:rsidR="00BF3B92" w:rsidRPr="00383C0C" w:rsidRDefault="00337848" w:rsidP="00552C88">
      <w:pPr>
        <w:pStyle w:val="paragraph"/>
        <w:spacing w:before="0" w:beforeAutospacing="0" w:after="0" w:afterAutospacing="0"/>
        <w:textAlignment w:val="baseline"/>
        <w:rPr>
          <w:rFonts w:ascii="Times New Roman" w:eastAsia="Arial Unicode MS" w:hAnsi="Times New Roman" w:cs="Times New Roman"/>
          <w:sz w:val="18"/>
          <w:szCs w:val="18"/>
        </w:rPr>
      </w:pPr>
      <w:r w:rsidRPr="00337848">
        <w:rPr>
          <w:rFonts w:ascii="Times New Roman" w:eastAsia="Arial Unicode MS" w:hAnsi="Times New Roman" w:cs="Times New Roman"/>
          <w:noProof/>
          <w:sz w:val="18"/>
          <w:szCs w:val="18"/>
        </w:rPr>
        <w:drawing>
          <wp:inline distT="0" distB="0" distL="0" distR="0">
            <wp:extent cx="3269615" cy="2465070"/>
            <wp:effectExtent l="0" t="0" r="6985" b="0"/>
            <wp:docPr id="4" name="圖片 4" descr="C:\Users\Lab403-GC\Downloads\0922hi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ab403-GC\Downloads\0922hi-1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9615" cy="246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F3B92" w:rsidRPr="00383C0C" w:rsidSect="0012543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5434" w:rsidRDefault="00125434" w:rsidP="00125434">
      <w:r>
        <w:separator/>
      </w:r>
    </w:p>
  </w:endnote>
  <w:endnote w:type="continuationSeparator" w:id="0">
    <w:p w:rsidR="00125434" w:rsidRDefault="00125434" w:rsidP="001254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5434" w:rsidRDefault="00125434" w:rsidP="00125434">
      <w:r>
        <w:separator/>
      </w:r>
    </w:p>
  </w:footnote>
  <w:footnote w:type="continuationSeparator" w:id="0">
    <w:p w:rsidR="00125434" w:rsidRDefault="00125434" w:rsidP="001254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C88"/>
    <w:rsid w:val="0012451F"/>
    <w:rsid w:val="00125434"/>
    <w:rsid w:val="00144F6B"/>
    <w:rsid w:val="001B3E4F"/>
    <w:rsid w:val="002E5AD8"/>
    <w:rsid w:val="002E6996"/>
    <w:rsid w:val="00337848"/>
    <w:rsid w:val="00383C0C"/>
    <w:rsid w:val="004060B4"/>
    <w:rsid w:val="00552C88"/>
    <w:rsid w:val="005E15CD"/>
    <w:rsid w:val="005F257A"/>
    <w:rsid w:val="00627C4E"/>
    <w:rsid w:val="006E289E"/>
    <w:rsid w:val="007A7ACB"/>
    <w:rsid w:val="008E784E"/>
    <w:rsid w:val="00B85218"/>
    <w:rsid w:val="00BF3B92"/>
    <w:rsid w:val="00C27EB3"/>
    <w:rsid w:val="00D0508A"/>
    <w:rsid w:val="00D91201"/>
    <w:rsid w:val="00DC6A18"/>
    <w:rsid w:val="00E70814"/>
    <w:rsid w:val="00F5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5:chartTrackingRefBased/>
  <w15:docId w15:val="{96CDC791-EA1B-4E47-83E4-B5AB3CC3F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552C88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normaltextrun">
    <w:name w:val="normaltextrun"/>
    <w:basedOn w:val="a0"/>
    <w:rsid w:val="00552C88"/>
  </w:style>
  <w:style w:type="character" w:customStyle="1" w:styleId="spellingerror">
    <w:name w:val="spellingerror"/>
    <w:basedOn w:val="a0"/>
    <w:rsid w:val="00552C88"/>
  </w:style>
  <w:style w:type="character" w:customStyle="1" w:styleId="eop">
    <w:name w:val="eop"/>
    <w:basedOn w:val="a0"/>
    <w:rsid w:val="00552C88"/>
  </w:style>
  <w:style w:type="character" w:customStyle="1" w:styleId="contextualspellingandgrammarerror">
    <w:name w:val="contextualspellingandgrammarerror"/>
    <w:basedOn w:val="a0"/>
    <w:rsid w:val="00552C88"/>
  </w:style>
  <w:style w:type="table" w:styleId="a3">
    <w:name w:val="Table Grid"/>
    <w:basedOn w:val="a1"/>
    <w:uiPriority w:val="39"/>
    <w:rsid w:val="00552C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2543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25434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2543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25434"/>
    <w:rPr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5F257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rsid w:val="005F257A"/>
    <w:rPr>
      <w:rFonts w:ascii="細明體" w:eastAsia="細明體" w:hAnsi="細明體" w:cs="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324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0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02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1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8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9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6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44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69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76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94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l@dragon.nchu.edu.tw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cchuang@dragon.nchu.edu.tw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8C59FD-6B17-45A0-AF9D-932A9835A5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9</Pages>
  <Words>2932</Words>
  <Characters>16714</Characters>
  <Application>Microsoft Office Word</Application>
  <DocSecurity>0</DocSecurity>
  <Lines>139</Lines>
  <Paragraphs>39</Paragraphs>
  <ScaleCrop>false</ScaleCrop>
  <Company/>
  <LinksUpToDate>false</LinksUpToDate>
  <CharactersWithSpaces>19607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Coffee</dc:creator>
  <cp:keywords/>
  <dc:description/>
  <cp:lastModifiedBy>Shou-Chen Lo</cp:lastModifiedBy>
  <cp:revision>17</cp:revision>
  <dcterms:created xsi:type="dcterms:W3CDTF">2020-11-11T03:00:00Z</dcterms:created>
  <dcterms:modified xsi:type="dcterms:W3CDTF">2021-01-08T01:51:00Z</dcterms:modified>
</cp:coreProperties>
</file>