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DCF02" w14:textId="0360371A" w:rsidR="00D2644E" w:rsidRDefault="00D2644E" w:rsidP="00D2644E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noProof/>
          <w:color w:val="000000" w:themeColor="text1"/>
        </w:rPr>
        <w:drawing>
          <wp:inline distT="0" distB="0" distL="0" distR="0" wp14:anchorId="2E1F7069" wp14:editId="553F95BC">
            <wp:extent cx="5276850" cy="7781925"/>
            <wp:effectExtent l="0" t="0" r="0" b="9525"/>
            <wp:docPr id="11" name="Picture 11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B4136" w14:textId="77777777" w:rsidR="00D2644E" w:rsidRDefault="00D2644E" w:rsidP="00D2644E">
      <w:pPr>
        <w:spacing w:line="480" w:lineRule="auto"/>
        <w:rPr>
          <w:color w:val="000000" w:themeColor="text1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Extended Data Fig. 1 |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Manhattan plots and quantile-quantile plots for all genome-wide 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lastRenderedPageBreak/>
        <w:t>association analyses of hippocampal and subfield volumes in CHIMGEN (EAS).</w:t>
      </w:r>
    </w:p>
    <w:p w14:paraId="5561AB61" w14:textId="7D3D14E6" w:rsidR="00D2644E" w:rsidRDefault="00D2644E" w:rsidP="00D2644E">
      <w:pPr>
        <w:spacing w:line="480" w:lineRule="auto"/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drawing>
          <wp:inline distT="0" distB="0" distL="0" distR="0" wp14:anchorId="07283594" wp14:editId="088BFB87">
            <wp:extent cx="5276850" cy="7781925"/>
            <wp:effectExtent l="0" t="0" r="0" b="9525"/>
            <wp:docPr id="10" name="Picture 10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78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87E55" w14:textId="77777777" w:rsidR="00D2644E" w:rsidRDefault="00D2644E" w:rsidP="00D2644E">
      <w:pPr>
        <w:spacing w:line="480" w:lineRule="auto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</w:pPr>
      <w:bookmarkStart w:id="0" w:name="_Hlk97068018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Extended Data Fig. 2</w:t>
      </w:r>
      <w:bookmarkEnd w:id="0"/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|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Manhattan plots and quantile-quantile plots for </w:t>
      </w:r>
      <w:r>
        <w:rPr>
          <w:rFonts w:ascii="Times New Roman" w:hAnsi="Times New Roman"/>
          <w:color w:val="000000" w:themeColor="text1"/>
          <w:sz w:val="24"/>
          <w:szCs w:val="24"/>
        </w:rPr>
        <w:t>trans-ancestry meta-analyses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of hippocampal and subfield volumes.</w:t>
      </w:r>
    </w:p>
    <w:p w14:paraId="3E135167" w14:textId="71C95A8D" w:rsidR="00D2644E" w:rsidRDefault="00D2644E" w:rsidP="00D2644E">
      <w:pPr>
        <w:spacing w:line="480" w:lineRule="auto"/>
        <w:jc w:val="center"/>
        <w:rPr>
          <w:noProof/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2C9C228B" wp14:editId="6BC4A3B5">
            <wp:extent cx="5111115" cy="8229600"/>
            <wp:effectExtent l="0" t="0" r="0" b="0"/>
            <wp:docPr id="9" name="Picture 9" descr="Diagram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, 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11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6C40C" w14:textId="3E653B06" w:rsidR="00D2644E" w:rsidRDefault="00D2644E" w:rsidP="00D2644E">
      <w:pPr>
        <w:widowControl/>
        <w:jc w:val="center"/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7CE5F5AD" wp14:editId="20E9A4D5">
            <wp:extent cx="5276850" cy="8067675"/>
            <wp:effectExtent l="0" t="0" r="0" b="9525"/>
            <wp:docPr id="8" name="Picture 8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06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BBBDB" w14:textId="78A3E400" w:rsidR="00D2644E" w:rsidRDefault="00D2644E" w:rsidP="00D2644E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1D0EDD1E" wp14:editId="7F5846DF">
            <wp:extent cx="5276850" cy="8067675"/>
            <wp:effectExtent l="0" t="0" r="0" b="9525"/>
            <wp:docPr id="7" name="Picture 7" descr="Engineering draw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Engineering drawing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06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27C93" w14:textId="0B75DDA1" w:rsidR="00D2644E" w:rsidRDefault="00D2644E" w:rsidP="00D2644E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5E4597B2" wp14:editId="34325F11">
            <wp:extent cx="5276850" cy="8067675"/>
            <wp:effectExtent l="0" t="0" r="0" b="9525"/>
            <wp:docPr id="6" name="Picture 6" descr="Diagram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, 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06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20032" w14:textId="1C5996BA" w:rsidR="00D2644E" w:rsidRDefault="00D2644E" w:rsidP="00D2644E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2ED972AA" wp14:editId="105808E3">
            <wp:extent cx="5276850" cy="8067675"/>
            <wp:effectExtent l="0" t="0" r="0" b="9525"/>
            <wp:docPr id="5" name="Picture 5" descr="A picture containing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06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E747B" w14:textId="455DC7F1" w:rsidR="00D2644E" w:rsidRDefault="00D2644E" w:rsidP="00D2644E">
      <w:pPr>
        <w:widowControl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6710A5EB" wp14:editId="6C6A4ECC">
            <wp:extent cx="5276850" cy="2047875"/>
            <wp:effectExtent l="0" t="0" r="0" b="9525"/>
            <wp:docPr id="4" name="Picture 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73EE5" w14:textId="77777777" w:rsidR="00D2644E" w:rsidRDefault="00D2644E" w:rsidP="00D2644E">
      <w:pPr>
        <w:spacing w:line="480" w:lineRule="auto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Extended Data Fig. 3 |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>Locuszoom</w:t>
      </w:r>
      <w:proofErr w:type="spellEnd"/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plots for </w:t>
      </w:r>
      <w:r>
        <w:rPr>
          <w:rFonts w:ascii="Times New Roman" w:hAnsi="Times New Roman"/>
          <w:color w:val="000000" w:themeColor="text1"/>
          <w:sz w:val="24"/>
          <w:szCs w:val="24"/>
        </w:rPr>
        <w:t>60 locus-trait associations identified in trans-ancestry meta-analyses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of hippocampal and subfield volumes.</w:t>
      </w:r>
    </w:p>
    <w:p w14:paraId="78E4911C" w14:textId="77777777" w:rsidR="00D2644E" w:rsidRDefault="00D2644E" w:rsidP="00D2644E">
      <w:pPr>
        <w:widowControl/>
        <w:jc w:val="left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br w:type="page"/>
      </w:r>
    </w:p>
    <w:p w14:paraId="739FC8AB" w14:textId="178E21FE" w:rsidR="00D2644E" w:rsidRDefault="00D2644E" w:rsidP="00D2644E">
      <w:pPr>
        <w:spacing w:line="480" w:lineRule="auto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  <w:vertAlign w:val="subscript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04BA1120" wp14:editId="1B9AAA90">
            <wp:extent cx="2952750" cy="2505075"/>
            <wp:effectExtent l="0" t="0" r="0" b="0"/>
            <wp:docPr id="3" name="Picture 3" descr="A picture containing text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d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23EBB" w14:textId="77777777" w:rsidR="00D2644E" w:rsidRDefault="00D2644E" w:rsidP="00D2644E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Extended Data Fig. 4 |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Comparison of the LD of the 50 lead SNPs between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EAS and EUR by Wilcoxon rank-sum test. The lead SNPs are derived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from 60 locus-trait associations identified by trans-ancestry meta-analyses. </w:t>
      </w:r>
      <w:r>
        <w:rPr>
          <w:rFonts w:ascii="Times New Roman" w:hAnsi="Times New Roman"/>
          <w:color w:val="000000" w:themeColor="text1"/>
          <w:sz w:val="24"/>
          <w:szCs w:val="24"/>
        </w:rPr>
        <w:t>The black horizontal lines represent the medians. EAS, East Asian ancestry; EUR, European ancestry; LD, linkage disequilibrium; SNP, single nucleotide polymorphism.</w:t>
      </w:r>
    </w:p>
    <w:p w14:paraId="298D7A74" w14:textId="77777777" w:rsidR="00D2644E" w:rsidRDefault="00D2644E" w:rsidP="00D2644E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339F8AE9" w14:textId="77777777" w:rsidR="00D2644E" w:rsidRDefault="00D2644E" w:rsidP="00D2644E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AA0CD29" w14:textId="77777777" w:rsidR="00D2644E" w:rsidRDefault="00D2644E" w:rsidP="00D2644E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55EB606E" w14:textId="77777777" w:rsidR="00D2644E" w:rsidRDefault="00D2644E" w:rsidP="00D2644E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41DF4130" w14:textId="77777777" w:rsidR="00D2644E" w:rsidRDefault="00D2644E" w:rsidP="00D2644E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CD4B77D" w14:textId="77777777" w:rsidR="00D2644E" w:rsidRDefault="00D2644E" w:rsidP="00D2644E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77900335" w14:textId="77777777" w:rsidR="00D2644E" w:rsidRDefault="00D2644E" w:rsidP="00D2644E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6AD80F6C" w14:textId="77777777" w:rsidR="00D2644E" w:rsidRDefault="00D2644E" w:rsidP="00D2644E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7DD49625" w14:textId="77777777" w:rsidR="00D2644E" w:rsidRDefault="00D2644E" w:rsidP="00D2644E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5F9109A4" w14:textId="7B1748F6" w:rsidR="00D2644E" w:rsidRDefault="00D2644E" w:rsidP="00D2644E">
      <w:pPr>
        <w:spacing w:line="480" w:lineRule="auto"/>
        <w:jc w:val="center"/>
        <w:rPr>
          <w:noProof/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712FA98D" wp14:editId="1071DC26">
            <wp:extent cx="4162425" cy="2333625"/>
            <wp:effectExtent l="0" t="0" r="9525" b="9525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BD0B0" w14:textId="77777777" w:rsidR="00D2644E" w:rsidRDefault="00D2644E" w:rsidP="00D2644E">
      <w:pPr>
        <w:spacing w:line="480" w:lineRule="auto"/>
        <w:rPr>
          <w:rFonts w:ascii="Times New Roman" w:hAnsi="Times New Roman" w:hint="eastAsia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Extended Data Fig. 5 |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Distributions of the included </w:t>
      </w:r>
      <w:r>
        <w:rPr>
          <w:rFonts w:ascii="Times New Roman" w:hAnsi="Times New Roman"/>
          <w:color w:val="000000" w:themeColor="text1"/>
          <w:sz w:val="24"/>
          <w:szCs w:val="24"/>
        </w:rPr>
        <w:t>7,039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participants </w:t>
      </w:r>
      <w:r>
        <w:rPr>
          <w:rFonts w:ascii="Times New Roman" w:hAnsi="Times New Roman"/>
          <w:color w:val="000000" w:themeColor="text1"/>
          <w:sz w:val="24"/>
          <w:szCs w:val="24"/>
        </w:rPr>
        <w:t>obtained by 30 3.0-Tesla MR scanners with ten types.</w:t>
      </w:r>
    </w:p>
    <w:p w14:paraId="5DF1D04B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0D0BDB7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30AE19D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537DE620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1FF24C45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D64BA1A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C44326B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F4EE47A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09FD93E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0F5DC67D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1B946E46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28572FA3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33CB44E3" w14:textId="77777777" w:rsidR="00D2644E" w:rsidRDefault="00D2644E" w:rsidP="00D2644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14:paraId="181E914C" w14:textId="48F67EAB" w:rsidR="00D2644E" w:rsidRDefault="00D2644E" w:rsidP="00D2644E">
      <w:pPr>
        <w:spacing w:line="480" w:lineRule="auto"/>
        <w:jc w:val="center"/>
        <w:rPr>
          <w:noProof/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4C887784" wp14:editId="5B96F309">
            <wp:extent cx="4362450" cy="3914775"/>
            <wp:effectExtent l="0" t="0" r="0" b="9525"/>
            <wp:docPr id="1" name="Picture 1" descr="Table&#10;&#10;Description automatically generated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>
                      <a:picLocks noGrp="1"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14" r="29510" b="10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B8BDC0" w14:textId="77777777" w:rsidR="00D2644E" w:rsidRDefault="00D2644E" w:rsidP="00D2644E">
      <w:pPr>
        <w:spacing w:line="480" w:lineRule="auto"/>
        <w:rPr>
          <w:rFonts w:ascii="Times New Roman" w:eastAsia="SimSun" w:hAnsi="Times New Roman" w:cs="Times New Roman" w:hint="eastAsia"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Extended Data Fig. 6 |</w:t>
      </w:r>
      <w: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</w:rPr>
        <w:t xml:space="preserve"> Quality control (QC) procedures for genotyping data. PCA, principal components analysis. Note: one individual satisfies the criteria of both PCA outlier and excess heterozygosity.</w:t>
      </w:r>
    </w:p>
    <w:p w14:paraId="49159D90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44E"/>
    <w:rsid w:val="00AF2E74"/>
    <w:rsid w:val="00D2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258F2"/>
  <w15:chartTrackingRefBased/>
  <w15:docId w15:val="{56644965-85C3-4D46-A40D-BA5BF4F21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644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66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2022-03-15T21:27:00Z</dcterms:created>
  <dcterms:modified xsi:type="dcterms:W3CDTF">2022-03-15T21:28:00Z</dcterms:modified>
</cp:coreProperties>
</file>