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D16" w:rsidRDefault="00C27D16" w:rsidP="00C27D16">
      <w:pPr>
        <w:pStyle w:val="Caption"/>
        <w:keepNext/>
        <w:rPr>
          <w:b/>
          <w:bCs/>
          <w:i w:val="0"/>
          <w:iCs w:val="0"/>
          <w:color w:val="7030A0"/>
        </w:rPr>
      </w:pPr>
      <w:r>
        <w:rPr>
          <w:rFonts w:ascii="Times New Roman" w:hAnsi="Times New Roman" w:cs="Times New Roman"/>
          <w:b/>
          <w:bCs/>
          <w:i w:val="0"/>
          <w:iCs w:val="0"/>
          <w:color w:val="7030A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i w:val="0"/>
          <w:iCs w:val="0"/>
          <w:color w:val="7030A0"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i w:val="0"/>
          <w:iCs w:val="0"/>
          <w:color w:val="7030A0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/>
          <w:bCs/>
          <w:i w:val="0"/>
          <w:iCs w:val="0"/>
          <w:color w:val="7030A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7030A0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i w:val="0"/>
          <w:iCs w:val="0"/>
          <w:color w:val="7030A0"/>
          <w:sz w:val="24"/>
          <w:szCs w:val="24"/>
        </w:rPr>
        <w:fldChar w:fldCharType="end"/>
      </w:r>
    </w:p>
    <w:p w:rsidR="00C27D16" w:rsidRDefault="00C27D16" w:rsidP="00C27D16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</w:pP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Demographic information of patients and controls</w:t>
      </w:r>
    </w:p>
    <w:tbl>
      <w:tblPr>
        <w:tblStyle w:val="GridTable7Colorful-Accent61"/>
        <w:tblW w:w="9805" w:type="dxa"/>
        <w:tblInd w:w="0" w:type="dxa"/>
        <w:tblLook w:val="04A0" w:firstRow="1" w:lastRow="0" w:firstColumn="1" w:lastColumn="0" w:noHBand="0" w:noVBand="1"/>
      </w:tblPr>
      <w:tblGrid>
        <w:gridCol w:w="3005"/>
        <w:gridCol w:w="3380"/>
        <w:gridCol w:w="3420"/>
      </w:tblGrid>
      <w:tr w:rsidR="00C27D16" w:rsidTr="00C27D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:rsidR="00C27D16" w:rsidRDefault="00C27D16">
            <w:pPr>
              <w:pStyle w:val="Caption"/>
              <w:keepNext/>
              <w:jc w:val="center"/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i w:val="0"/>
                <w:iCs w:val="0"/>
                <w:color w:val="000000" w:themeColor="text1"/>
                <w:sz w:val="22"/>
                <w:szCs w:val="22"/>
              </w:rPr>
              <w:t>Patients total=30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8D08D" w:themeColor="accent6" w:themeTint="99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 w:val="0"/>
                <w:iCs w:val="0"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i w:val="0"/>
                <w:iCs w:val="0"/>
                <w:color w:val="000000" w:themeColor="text1"/>
                <w:sz w:val="22"/>
                <w:szCs w:val="22"/>
              </w:rPr>
              <w:t>Normal database=28</w:t>
            </w:r>
          </w:p>
        </w:tc>
      </w:tr>
      <w:tr w:rsidR="00C27D16" w:rsidTr="00C27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Male/Female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  <w:t>15/15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  <w:t>13/15</w:t>
            </w:r>
          </w:p>
        </w:tc>
      </w:tr>
      <w:tr w:rsidR="00C27D16" w:rsidTr="00C27D16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Age at onset(y)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Theme="majorBidi" w:eastAsia="Times New Roman" w:hAnsiTheme="majorBidi" w:cstheme="majorBidi"/>
                <w:i w:val="0"/>
                <w:iCs w:val="0"/>
                <w:color w:val="auto"/>
                <w:sz w:val="22"/>
                <w:szCs w:val="22"/>
              </w:rPr>
              <w:t>14</w:t>
            </w:r>
          </w:p>
          <w:p w:rsidR="00C27D16" w:rsidRDefault="00C27D16">
            <w:pPr>
              <w:pStyle w:val="Caption"/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i w:val="0"/>
                <w:iCs w:val="0"/>
                <w:color w:val="auto"/>
                <w:sz w:val="22"/>
                <w:szCs w:val="22"/>
              </w:rPr>
              <w:t>(0.18-30)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  <w:t>15.3</w:t>
            </w:r>
          </w:p>
          <w:p w:rsidR="00C27D16" w:rsidRDefault="00C27D1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(0.26-31)</w:t>
            </w:r>
          </w:p>
        </w:tc>
      </w:tr>
      <w:tr w:rsidR="00C27D16" w:rsidTr="00C27D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Age at MRI scan(y)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Theme="majorBidi" w:eastAsia="Times New Roman" w:hAnsiTheme="majorBidi" w:cstheme="majorBidi"/>
                <w:i w:val="0"/>
                <w:iCs w:val="0"/>
                <w:color w:val="auto"/>
                <w:sz w:val="22"/>
                <w:szCs w:val="22"/>
              </w:rPr>
              <w:t>23.03</w:t>
            </w:r>
          </w:p>
          <w:p w:rsidR="00C27D16" w:rsidRDefault="00C27D1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(1-46)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D16" w:rsidRDefault="00C27D16">
            <w:pPr>
              <w:pStyle w:val="Caption"/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Theme="majorBidi" w:hAnsiTheme="majorBidi" w:cstheme="majorBidi"/>
                <w:i w:val="0"/>
                <w:iCs w:val="0"/>
                <w:color w:val="auto"/>
                <w:sz w:val="22"/>
                <w:szCs w:val="22"/>
              </w:rPr>
              <w:t>30.1</w:t>
            </w:r>
          </w:p>
          <w:p w:rsidR="00C27D16" w:rsidRDefault="00C27D16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(5-46)</w:t>
            </w:r>
          </w:p>
        </w:tc>
      </w:tr>
    </w:tbl>
    <w:p w:rsidR="00AD1398" w:rsidRDefault="00AD1398"/>
    <w:p w:rsidR="00C27D16" w:rsidRDefault="00C27D16"/>
    <w:p w:rsidR="00C27D16" w:rsidRDefault="00C27D16" w:rsidP="00C27D16">
      <w:pPr>
        <w:pStyle w:val="HTMLPreformatted"/>
        <w:rPr>
          <w:rFonts w:ascii="Times New Roman" w:eastAsiaTheme="minorHAnsi" w:hAnsi="Times New Roman" w:cstheme="majorBidi"/>
          <w:sz w:val="22"/>
          <w:szCs w:val="22"/>
        </w:rPr>
      </w:pPr>
      <w:r w:rsidRPr="003E4952">
        <w:rPr>
          <w:rFonts w:ascii="Times New Roman" w:eastAsiaTheme="minorHAnsi" w:hAnsi="Times New Roman" w:cstheme="majorBidi"/>
          <w:b/>
          <w:bCs/>
          <w:color w:val="7030A0"/>
          <w:sz w:val="24"/>
          <w:szCs w:val="24"/>
        </w:rPr>
        <w:t xml:space="preserve">Table </w:t>
      </w:r>
      <w:r>
        <w:rPr>
          <w:rFonts w:ascii="Times New Roman" w:eastAsiaTheme="minorHAnsi" w:hAnsi="Times New Roman" w:cstheme="majorBidi"/>
          <w:b/>
          <w:bCs/>
          <w:color w:val="7030A0"/>
          <w:sz w:val="24"/>
          <w:szCs w:val="24"/>
        </w:rPr>
        <w:t>2</w:t>
      </w:r>
      <w:r w:rsidRPr="003E4952">
        <w:rPr>
          <w:rFonts w:ascii="Times New Roman" w:eastAsiaTheme="minorHAnsi" w:hAnsi="Times New Roman" w:cstheme="majorBidi"/>
          <w:sz w:val="22"/>
          <w:szCs w:val="22"/>
        </w:rPr>
        <w:t xml:space="preserve"> </w:t>
      </w:r>
    </w:p>
    <w:p w:rsidR="00C27D16" w:rsidRDefault="00C27D16" w:rsidP="00C27D16">
      <w:pPr>
        <w:pStyle w:val="HTMLPreformatted"/>
        <w:rPr>
          <w:rFonts w:ascii="Times New Roman" w:eastAsiaTheme="minorHAnsi" w:hAnsi="Times New Roman" w:cstheme="majorBidi"/>
          <w:sz w:val="22"/>
          <w:szCs w:val="22"/>
          <w:rtl/>
        </w:rPr>
      </w:pPr>
      <w:r w:rsidRPr="003E4952">
        <w:rPr>
          <w:rFonts w:ascii="Times New Roman" w:eastAsiaTheme="minorHAnsi" w:hAnsi="Times New Roman" w:cstheme="majorBidi"/>
          <w:sz w:val="24"/>
          <w:szCs w:val="24"/>
        </w:rPr>
        <w:t>Extracted features</w:t>
      </w:r>
    </w:p>
    <w:p w:rsidR="00C27D16" w:rsidRPr="003E4952" w:rsidRDefault="00C27D16" w:rsidP="00C27D16">
      <w:pPr>
        <w:pStyle w:val="HTMLPreformatted"/>
        <w:rPr>
          <w:rFonts w:ascii="Times New Roman" w:eastAsiaTheme="minorHAnsi" w:hAnsi="Times New Roman" w:cstheme="majorBidi"/>
          <w:sz w:val="22"/>
          <w:szCs w:val="22"/>
          <w:rtl/>
        </w:rPr>
      </w:pPr>
    </w:p>
    <w:tbl>
      <w:tblPr>
        <w:tblStyle w:val="TableGrid"/>
        <w:tblW w:w="11430" w:type="dxa"/>
        <w:jc w:val="center"/>
        <w:tblLook w:val="04A0" w:firstRow="1" w:lastRow="0" w:firstColumn="1" w:lastColumn="0" w:noHBand="0" w:noVBand="1"/>
      </w:tblPr>
      <w:tblGrid>
        <w:gridCol w:w="1800"/>
        <w:gridCol w:w="2070"/>
        <w:gridCol w:w="3960"/>
        <w:gridCol w:w="3600"/>
      </w:tblGrid>
      <w:tr w:rsidR="00C27D16" w:rsidRPr="00EB4FBF" w:rsidTr="003D4AC5">
        <w:trPr>
          <w:trHeight w:val="647"/>
          <w:jc w:val="center"/>
        </w:trPr>
        <w:tc>
          <w:tcPr>
            <w:tcW w:w="3870" w:type="dxa"/>
            <w:gridSpan w:val="2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EB4FBF">
              <w:rPr>
                <w:rFonts w:cstheme="majorBidi"/>
                <w:b/>
                <w:bCs/>
                <w:sz w:val="24"/>
                <w:szCs w:val="24"/>
              </w:rPr>
              <w:t>Features</w:t>
            </w:r>
          </w:p>
        </w:tc>
        <w:tc>
          <w:tcPr>
            <w:tcW w:w="396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EB4FBF">
              <w:rPr>
                <w:rFonts w:cstheme="majorBidi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360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 w:val="0"/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EB4FBF">
              <w:rPr>
                <w:rFonts w:cstheme="majorBidi"/>
                <w:b/>
                <w:bCs/>
                <w:sz w:val="24"/>
                <w:szCs w:val="24"/>
              </w:rPr>
              <w:t>Formula components</w:t>
            </w:r>
          </w:p>
        </w:tc>
      </w:tr>
      <w:tr w:rsidR="00C27D16" w:rsidRPr="00EB4FBF" w:rsidTr="003D4AC5">
        <w:trPr>
          <w:jc w:val="center"/>
        </w:trPr>
        <w:tc>
          <w:tcPr>
            <w:tcW w:w="1800" w:type="dxa"/>
            <w:vMerge w:val="restart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EB4FBF">
              <w:rPr>
                <w:rFonts w:cstheme="majorBidi"/>
                <w:b/>
                <w:bCs/>
                <w:sz w:val="24"/>
                <w:szCs w:val="24"/>
              </w:rPr>
              <w:t>Surface-based Features</w:t>
            </w:r>
          </w:p>
        </w:tc>
        <w:tc>
          <w:tcPr>
            <w:tcW w:w="207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2"/>
                <w:szCs w:val="22"/>
              </w:rPr>
            </w:pPr>
            <w:r w:rsidRPr="00EB4FBF">
              <w:rPr>
                <w:rFonts w:cstheme="majorBidi"/>
                <w:b/>
                <w:bCs/>
                <w:sz w:val="22"/>
                <w:szCs w:val="22"/>
              </w:rPr>
              <w:t>Cortical thickness</w:t>
            </w:r>
          </w:p>
        </w:tc>
        <w:tc>
          <w:tcPr>
            <w:tcW w:w="396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 xml:space="preserve">Distance from the WM surface to the closest point over the </w:t>
            </w:r>
            <w:proofErr w:type="spellStart"/>
            <w:r w:rsidRPr="00EB4FBF">
              <w:rPr>
                <w:rFonts w:cstheme="majorBidi"/>
                <w:sz w:val="22"/>
                <w:szCs w:val="22"/>
              </w:rPr>
              <w:t>pial</w:t>
            </w:r>
            <w:proofErr w:type="spellEnd"/>
            <w:r w:rsidRPr="00EB4FBF">
              <w:rPr>
                <w:rFonts w:cstheme="majorBidi"/>
                <w:sz w:val="22"/>
                <w:szCs w:val="22"/>
              </w:rPr>
              <w:t xml:space="preserve"> surface </w:t>
            </w:r>
            <w:r w:rsidRPr="00A916A2">
              <w:rPr>
                <w:rFonts w:cstheme="majorBidi"/>
                <w:color w:val="7030A0"/>
                <w:sz w:val="22"/>
                <w:szCs w:val="22"/>
              </w:rPr>
              <w:t>[14,15]</w:t>
            </w:r>
          </w:p>
        </w:tc>
        <w:tc>
          <w:tcPr>
            <w:tcW w:w="360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>WM surface: WM-GM boundary</w:t>
            </w:r>
          </w:p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proofErr w:type="spellStart"/>
            <w:r w:rsidRPr="00EB4FBF">
              <w:rPr>
                <w:rFonts w:cstheme="majorBidi"/>
                <w:sz w:val="22"/>
                <w:szCs w:val="22"/>
              </w:rPr>
              <w:t>Pial</w:t>
            </w:r>
            <w:proofErr w:type="spellEnd"/>
            <w:r w:rsidRPr="00EB4FBF">
              <w:rPr>
                <w:rFonts w:cstheme="majorBidi"/>
                <w:sz w:val="22"/>
                <w:szCs w:val="22"/>
              </w:rPr>
              <w:t xml:space="preserve"> surface: GM-CSF boundary</w:t>
            </w:r>
          </w:p>
        </w:tc>
      </w:tr>
      <w:tr w:rsidR="00C27D16" w:rsidRPr="00EB4FBF" w:rsidTr="003D4AC5">
        <w:trPr>
          <w:jc w:val="center"/>
        </w:trPr>
        <w:tc>
          <w:tcPr>
            <w:tcW w:w="1800" w:type="dxa"/>
            <w:vMerge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2"/>
                <w:szCs w:val="22"/>
              </w:rPr>
            </w:pPr>
            <w:r w:rsidRPr="00EB4FBF">
              <w:rPr>
                <w:rFonts w:cstheme="majorBidi"/>
                <w:b/>
                <w:bCs/>
                <w:sz w:val="22"/>
                <w:szCs w:val="22"/>
              </w:rPr>
              <w:t>Mean curvature</w:t>
            </w:r>
          </w:p>
        </w:tc>
        <w:tc>
          <w:tcPr>
            <w:tcW w:w="396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>
              <w:rPr>
                <w:rFonts w:cstheme="majorBidi"/>
                <w:sz w:val="22"/>
                <w:szCs w:val="22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ajorBidi"/>
                      <w:sz w:val="22"/>
                      <w:szCs w:val="22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2"/>
                      <w:szCs w:val="22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2"/>
                      <w:szCs w:val="22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hAnsi="Cambria Math" w:cstheme="majorBidi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2"/>
                          <w:szCs w:val="22"/>
                        </w:rPr>
                        <m:t>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2"/>
                          <w:szCs w:val="22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2"/>
                      <w:szCs w:val="22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sz w:val="22"/>
                          <w:szCs w:val="22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2"/>
                          <w:szCs w:val="22"/>
                        </w:rPr>
                        <m:t>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2"/>
                          <w:szCs w:val="22"/>
                        </w:rPr>
                        <m:t>2</m:t>
                      </m:r>
                    </m:sub>
                  </m:sSub>
                </m:e>
              </m:d>
              <m:r>
                <w:rPr>
                  <w:rFonts w:ascii="Cambria Math" w:hAnsi="Cambria Math" w:cstheme="majorBidi"/>
                  <w:color w:val="7030A0"/>
                </w:rPr>
                <m:t xml:space="preserve"> </m:t>
              </m:r>
            </m:oMath>
            <w:r w:rsidRPr="00A916A2">
              <w:rPr>
                <w:rFonts w:cstheme="majorBidi"/>
                <w:color w:val="7030A0"/>
                <w:sz w:val="22"/>
                <w:szCs w:val="22"/>
              </w:rPr>
              <w:t>[16]</w:t>
            </w:r>
          </w:p>
        </w:tc>
        <w:tc>
          <w:tcPr>
            <w:tcW w:w="3600" w:type="dxa"/>
            <w:vMerge w:val="restart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 xml:space="preserve">k1 and k2 are the principal curvatures at points 1 and 2 on the cortical surface </w:t>
            </w:r>
          </w:p>
        </w:tc>
      </w:tr>
      <w:tr w:rsidR="00C27D16" w:rsidRPr="00EB4FBF" w:rsidTr="003D4AC5">
        <w:trPr>
          <w:jc w:val="center"/>
        </w:trPr>
        <w:tc>
          <w:tcPr>
            <w:tcW w:w="1800" w:type="dxa"/>
            <w:vMerge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2"/>
                <w:szCs w:val="22"/>
              </w:rPr>
            </w:pPr>
            <w:r w:rsidRPr="00EB4FBF">
              <w:rPr>
                <w:rFonts w:cstheme="majorBidi"/>
                <w:b/>
                <w:bCs/>
                <w:sz w:val="22"/>
                <w:szCs w:val="22"/>
              </w:rPr>
              <w:t>Gaussian curvature</w:t>
            </w:r>
          </w:p>
        </w:tc>
        <w:tc>
          <w:tcPr>
            <w:tcW w:w="396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>k1.k2</w:t>
            </w:r>
            <w:r>
              <w:rPr>
                <w:rFonts w:cstheme="majorBidi"/>
                <w:sz w:val="22"/>
                <w:szCs w:val="22"/>
              </w:rPr>
              <w:t xml:space="preserve"> </w:t>
            </w:r>
            <w:r w:rsidRPr="00A916A2">
              <w:rPr>
                <w:rFonts w:cstheme="majorBidi"/>
                <w:color w:val="7030A0"/>
                <w:sz w:val="22"/>
                <w:szCs w:val="22"/>
              </w:rPr>
              <w:t>[17]</w:t>
            </w:r>
          </w:p>
        </w:tc>
        <w:tc>
          <w:tcPr>
            <w:tcW w:w="3600" w:type="dxa"/>
            <w:vMerge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</w:p>
        </w:tc>
      </w:tr>
      <w:tr w:rsidR="00C27D16" w:rsidRPr="00EB4FBF" w:rsidTr="003D4AC5">
        <w:trPr>
          <w:jc w:val="center"/>
        </w:trPr>
        <w:tc>
          <w:tcPr>
            <w:tcW w:w="1800" w:type="dxa"/>
            <w:vMerge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2"/>
                <w:szCs w:val="22"/>
              </w:rPr>
            </w:pPr>
            <w:r w:rsidRPr="00EB4FBF">
              <w:rPr>
                <w:rFonts w:cstheme="majorBidi"/>
                <w:b/>
                <w:bCs/>
                <w:sz w:val="22"/>
                <w:szCs w:val="22"/>
              </w:rPr>
              <w:t>Folding index</w:t>
            </w:r>
          </w:p>
        </w:tc>
        <w:tc>
          <w:tcPr>
            <w:tcW w:w="396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>|k1| (|k1|-|k2|)</w:t>
            </w:r>
            <w:r>
              <w:rPr>
                <w:rFonts w:cstheme="majorBidi"/>
                <w:sz w:val="22"/>
                <w:szCs w:val="22"/>
              </w:rPr>
              <w:t xml:space="preserve"> </w:t>
            </w:r>
            <w:r w:rsidRPr="00A916A2">
              <w:rPr>
                <w:rFonts w:cstheme="majorBidi"/>
                <w:color w:val="7030A0"/>
                <w:sz w:val="22"/>
                <w:szCs w:val="22"/>
              </w:rPr>
              <w:t>[18]</w:t>
            </w:r>
          </w:p>
        </w:tc>
        <w:tc>
          <w:tcPr>
            <w:tcW w:w="3600" w:type="dxa"/>
            <w:vMerge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</w:p>
        </w:tc>
      </w:tr>
      <w:tr w:rsidR="00C27D16" w:rsidRPr="00EB4FBF" w:rsidTr="003D4AC5">
        <w:trPr>
          <w:jc w:val="center"/>
        </w:trPr>
        <w:tc>
          <w:tcPr>
            <w:tcW w:w="1800" w:type="dxa"/>
            <w:vMerge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2"/>
                <w:szCs w:val="22"/>
              </w:rPr>
            </w:pPr>
            <w:r w:rsidRPr="00EB4FBF">
              <w:rPr>
                <w:rFonts w:cstheme="majorBidi"/>
                <w:b/>
                <w:bCs/>
                <w:sz w:val="22"/>
                <w:szCs w:val="22"/>
              </w:rPr>
              <w:t>Curvature index</w:t>
            </w:r>
          </w:p>
        </w:tc>
        <w:tc>
          <w:tcPr>
            <w:tcW w:w="396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>|k1k2|</w:t>
            </w:r>
            <w:r>
              <w:rPr>
                <w:rFonts w:cstheme="majorBidi"/>
                <w:sz w:val="22"/>
                <w:szCs w:val="22"/>
              </w:rPr>
              <w:t xml:space="preserve"> </w:t>
            </w:r>
            <w:r w:rsidRPr="00A916A2">
              <w:rPr>
                <w:rFonts w:cstheme="majorBidi"/>
                <w:color w:val="7030A0"/>
                <w:sz w:val="22"/>
                <w:szCs w:val="22"/>
              </w:rPr>
              <w:t>[18]</w:t>
            </w:r>
          </w:p>
        </w:tc>
        <w:tc>
          <w:tcPr>
            <w:tcW w:w="3600" w:type="dxa"/>
            <w:vMerge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</w:p>
        </w:tc>
      </w:tr>
      <w:tr w:rsidR="00C27D16" w:rsidRPr="00EB4FBF" w:rsidTr="003D4AC5">
        <w:trPr>
          <w:trHeight w:val="1457"/>
          <w:jc w:val="center"/>
        </w:trPr>
        <w:tc>
          <w:tcPr>
            <w:tcW w:w="180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4"/>
                <w:szCs w:val="24"/>
              </w:rPr>
            </w:pPr>
            <w:r w:rsidRPr="00EB4FBF">
              <w:rPr>
                <w:rFonts w:cstheme="majorBidi"/>
                <w:b/>
                <w:bCs/>
                <w:sz w:val="24"/>
                <w:szCs w:val="24"/>
              </w:rPr>
              <w:t>Intensity-based Features</w:t>
            </w:r>
          </w:p>
        </w:tc>
        <w:tc>
          <w:tcPr>
            <w:tcW w:w="2070" w:type="dxa"/>
            <w:shd w:val="clear" w:color="auto" w:fill="F7CAAC" w:themeFill="accent2" w:themeFillTint="66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b/>
                <w:bCs/>
                <w:sz w:val="22"/>
                <w:szCs w:val="22"/>
              </w:rPr>
            </w:pPr>
            <w:r w:rsidRPr="00EB4FBF">
              <w:rPr>
                <w:rFonts w:cstheme="majorBidi"/>
                <w:b/>
                <w:bCs/>
                <w:sz w:val="22"/>
                <w:szCs w:val="22"/>
              </w:rPr>
              <w:t>Intensity contrast</w:t>
            </w:r>
          </w:p>
        </w:tc>
        <w:tc>
          <w:tcPr>
            <w:tcW w:w="396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>Ratio of the GM signal intensity to the WM signal</w:t>
            </w:r>
            <w:r>
              <w:rPr>
                <w:rFonts w:cstheme="majorBidi"/>
                <w:sz w:val="22"/>
                <w:szCs w:val="22"/>
              </w:rPr>
              <w:t xml:space="preserve"> </w:t>
            </w:r>
            <w:r w:rsidRPr="00A916A2">
              <w:rPr>
                <w:rFonts w:cstheme="majorBidi"/>
                <w:color w:val="7030A0"/>
                <w:sz w:val="22"/>
                <w:szCs w:val="22"/>
              </w:rPr>
              <w:t>[19]</w:t>
            </w:r>
          </w:p>
        </w:tc>
        <w:tc>
          <w:tcPr>
            <w:tcW w:w="3600" w:type="dxa"/>
            <w:vAlign w:val="center"/>
          </w:tcPr>
          <w:p w:rsidR="00C27D16" w:rsidRPr="00EB4FBF" w:rsidRDefault="00C27D16" w:rsidP="003D4AC5">
            <w:pPr>
              <w:jc w:val="center"/>
              <w:rPr>
                <w:rFonts w:cstheme="majorBidi"/>
                <w:sz w:val="22"/>
                <w:szCs w:val="22"/>
              </w:rPr>
            </w:pPr>
            <w:r w:rsidRPr="00EB4FBF">
              <w:rPr>
                <w:rFonts w:cstheme="majorBidi"/>
                <w:sz w:val="22"/>
                <w:szCs w:val="22"/>
              </w:rPr>
              <w:t xml:space="preserve">GM signal intensity, obtained at 30% of the cortical thickness above the GM-WM boundary and the WM signal intensity, is 1 mm below the GM-WM boundary </w:t>
            </w:r>
          </w:p>
        </w:tc>
      </w:tr>
    </w:tbl>
    <w:p w:rsidR="00C27D16" w:rsidRDefault="00C27D16"/>
    <w:p w:rsidR="00C27D16" w:rsidRDefault="00C27D16"/>
    <w:p w:rsidR="00C27D16" w:rsidRDefault="00C27D16"/>
    <w:p w:rsidR="00C27D16" w:rsidRDefault="00C27D16"/>
    <w:p w:rsidR="00C27D16" w:rsidRDefault="00C27D16">
      <w:bookmarkStart w:id="0" w:name="_GoBack"/>
      <w:bookmarkEnd w:id="0"/>
    </w:p>
    <w:p w:rsidR="00C27D16" w:rsidRPr="00EB4FBF" w:rsidRDefault="00C27D16" w:rsidP="00C27D16">
      <w:pPr>
        <w:pStyle w:val="Caption"/>
        <w:keepNext/>
        <w:rPr>
          <w:b/>
          <w:bCs/>
          <w:i w:val="0"/>
          <w:iCs w:val="0"/>
          <w:color w:val="7030A0"/>
        </w:rPr>
      </w:pPr>
      <w:r w:rsidRPr="00EB4FBF">
        <w:rPr>
          <w:rFonts w:asciiTheme="majorBidi" w:hAnsiTheme="majorBidi" w:cstheme="majorBidi"/>
          <w:b/>
          <w:bCs/>
          <w:i w:val="0"/>
          <w:iCs w:val="0"/>
          <w:color w:val="7030A0"/>
          <w:sz w:val="24"/>
          <w:szCs w:val="24"/>
        </w:rPr>
        <w:lastRenderedPageBreak/>
        <w:t>Table 3</w:t>
      </w:r>
    </w:p>
    <w:p w:rsidR="00C27D16" w:rsidRPr="00241D16" w:rsidRDefault="00C27D16" w:rsidP="00C27D16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auto"/>
          <w:sz w:val="22"/>
          <w:szCs w:val="22"/>
        </w:rPr>
      </w:pPr>
      <w:r w:rsidRPr="00241D16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Comparison of classification results in this study with other studies</w:t>
      </w:r>
    </w:p>
    <w:tbl>
      <w:tblPr>
        <w:tblStyle w:val="GridTable21"/>
        <w:tblW w:w="7506" w:type="dxa"/>
        <w:tblLayout w:type="fixed"/>
        <w:tblLook w:val="04A0" w:firstRow="1" w:lastRow="0" w:firstColumn="1" w:lastColumn="0" w:noHBand="0" w:noVBand="1"/>
      </w:tblPr>
      <w:tblGrid>
        <w:gridCol w:w="2016"/>
        <w:gridCol w:w="2016"/>
        <w:gridCol w:w="1160"/>
        <w:gridCol w:w="1234"/>
        <w:gridCol w:w="1080"/>
      </w:tblGrid>
      <w:tr w:rsidR="00C27D16" w:rsidRPr="0089128F" w:rsidTr="003D4A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top w:val="single" w:sz="12" w:space="0" w:color="auto"/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vAlign w:val="center"/>
          </w:tcPr>
          <w:p w:rsidR="00C27D16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>
              <w:rPr>
                <w:sz w:val="22"/>
              </w:rPr>
              <w:t>Study</w:t>
            </w:r>
          </w:p>
        </w:tc>
        <w:tc>
          <w:tcPr>
            <w:tcW w:w="2016" w:type="dxa"/>
            <w:tcBorders>
              <w:top w:val="single" w:sz="12" w:space="0" w:color="auto"/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bookmarkStart w:id="1" w:name="_Hlk51060130"/>
            <w:r>
              <w:rPr>
                <w:sz w:val="22"/>
              </w:rPr>
              <w:t>C</w:t>
            </w:r>
            <w:r w:rsidRPr="0089128F">
              <w:rPr>
                <w:sz w:val="22"/>
              </w:rPr>
              <w:t>lassifier</w:t>
            </w:r>
          </w:p>
        </w:tc>
        <w:tc>
          <w:tcPr>
            <w:tcW w:w="1160" w:type="dxa"/>
            <w:tcBorders>
              <w:top w:val="single" w:sz="12" w:space="0" w:color="auto"/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Sensitivity</w:t>
            </w:r>
          </w:p>
        </w:tc>
        <w:tc>
          <w:tcPr>
            <w:tcW w:w="1234" w:type="dxa"/>
            <w:tcBorders>
              <w:top w:val="single" w:sz="12" w:space="0" w:color="auto"/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Specificity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Accuracy</w:t>
            </w:r>
          </w:p>
        </w:tc>
      </w:tr>
      <w:tr w:rsidR="00C27D16" w:rsidRPr="0089128F" w:rsidTr="003D4A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 w:rsidRPr="00940395">
              <w:rPr>
                <w:sz w:val="22"/>
              </w:rPr>
              <w:t xml:space="preserve">El </w:t>
            </w:r>
            <w:proofErr w:type="spellStart"/>
            <w:r w:rsidRPr="00940395">
              <w:rPr>
                <w:sz w:val="22"/>
              </w:rPr>
              <w:t>Azami</w:t>
            </w:r>
            <w:proofErr w:type="spellEnd"/>
            <w:r w:rsidRPr="00940395">
              <w:rPr>
                <w:sz w:val="22"/>
              </w:rPr>
              <w:t xml:space="preserve"> </w:t>
            </w:r>
          </w:p>
        </w:tc>
        <w:tc>
          <w:tcPr>
            <w:tcW w:w="2016" w:type="dxa"/>
            <w:vMerge w:val="restart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>
              <w:rPr>
                <w:sz w:val="22"/>
              </w:rPr>
              <w:t>SVM</w:t>
            </w:r>
            <w:r w:rsidRPr="0089128F">
              <w:rPr>
                <w:sz w:val="22"/>
              </w:rPr>
              <w:t xml:space="preserve"> </w:t>
            </w:r>
          </w:p>
        </w:tc>
        <w:tc>
          <w:tcPr>
            <w:tcW w:w="1160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77%</w:t>
            </w:r>
          </w:p>
        </w:tc>
        <w:tc>
          <w:tcPr>
            <w:tcW w:w="1234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80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C27D16" w:rsidRPr="0089128F" w:rsidTr="003D4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 w:rsidRPr="0089128F">
              <w:rPr>
                <w:sz w:val="22"/>
              </w:rPr>
              <w:t>this study</w:t>
            </w:r>
          </w:p>
        </w:tc>
        <w:tc>
          <w:tcPr>
            <w:tcW w:w="2016" w:type="dxa"/>
            <w:vMerge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160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037E66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037E66">
              <w:rPr>
                <w:b/>
                <w:bCs/>
                <w:sz w:val="22"/>
              </w:rPr>
              <w:t>95%</w:t>
            </w:r>
          </w:p>
        </w:tc>
        <w:tc>
          <w:tcPr>
            <w:tcW w:w="1234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037E66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037E66">
              <w:rPr>
                <w:b/>
                <w:bCs/>
                <w:sz w:val="22"/>
              </w:rPr>
              <w:t>100%</w:t>
            </w:r>
          </w:p>
        </w:tc>
        <w:tc>
          <w:tcPr>
            <w:tcW w:w="1080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037E66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037E66">
              <w:rPr>
                <w:b/>
                <w:bCs/>
                <w:sz w:val="22"/>
              </w:rPr>
              <w:t>97.9%</w:t>
            </w:r>
          </w:p>
        </w:tc>
      </w:tr>
      <w:tr w:rsidR="00C27D16" w:rsidRPr="0089128F" w:rsidTr="003D4A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>
              <w:rPr>
                <w:sz w:val="22"/>
              </w:rPr>
              <w:t>Gill</w:t>
            </w:r>
          </w:p>
        </w:tc>
        <w:tc>
          <w:tcPr>
            <w:tcW w:w="2016" w:type="dxa"/>
            <w:vMerge w:val="restart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>
              <w:rPr>
                <w:sz w:val="22"/>
              </w:rPr>
              <w:t>DT</w:t>
            </w:r>
          </w:p>
        </w:tc>
        <w:tc>
          <w:tcPr>
            <w:tcW w:w="1160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83%</w:t>
            </w:r>
          </w:p>
        </w:tc>
        <w:tc>
          <w:tcPr>
            <w:tcW w:w="1234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92%</w:t>
            </w:r>
          </w:p>
        </w:tc>
        <w:tc>
          <w:tcPr>
            <w:tcW w:w="1080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C27D16" w:rsidRPr="0089128F" w:rsidTr="003D4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 w:rsidRPr="0089128F">
              <w:rPr>
                <w:sz w:val="22"/>
              </w:rPr>
              <w:t>this study</w:t>
            </w:r>
          </w:p>
        </w:tc>
        <w:tc>
          <w:tcPr>
            <w:tcW w:w="2016" w:type="dxa"/>
            <w:vMerge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160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037E66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037E66">
              <w:rPr>
                <w:b/>
                <w:bCs/>
                <w:sz w:val="22"/>
              </w:rPr>
              <w:t>89.6%</w:t>
            </w:r>
          </w:p>
        </w:tc>
        <w:tc>
          <w:tcPr>
            <w:tcW w:w="1234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037E66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037E66">
              <w:rPr>
                <w:b/>
                <w:bCs/>
                <w:sz w:val="22"/>
              </w:rPr>
              <w:t>99.8%</w:t>
            </w:r>
          </w:p>
        </w:tc>
        <w:tc>
          <w:tcPr>
            <w:tcW w:w="1080" w:type="dxa"/>
            <w:tcBorders>
              <w:left w:val="single" w:sz="12" w:space="0" w:color="auto"/>
              <w:bottom w:val="single" w:sz="12" w:space="0" w:color="767171" w:themeColor="background2" w:themeShade="80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037E66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037E66">
              <w:rPr>
                <w:b/>
                <w:bCs/>
                <w:sz w:val="22"/>
              </w:rPr>
              <w:t>95.6%</w:t>
            </w:r>
          </w:p>
        </w:tc>
      </w:tr>
      <w:tr w:rsidR="00C27D16" w:rsidRPr="0089128F" w:rsidTr="003D4A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Besson</w:t>
            </w:r>
            <w:proofErr w:type="spellEnd"/>
          </w:p>
        </w:tc>
        <w:tc>
          <w:tcPr>
            <w:tcW w:w="2016" w:type="dxa"/>
            <w:vMerge w:val="restart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89128F">
              <w:rPr>
                <w:sz w:val="22"/>
              </w:rPr>
              <w:t xml:space="preserve">ANN </w:t>
            </w:r>
          </w:p>
        </w:tc>
        <w:tc>
          <w:tcPr>
            <w:tcW w:w="1160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89%</w:t>
            </w:r>
          </w:p>
        </w:tc>
        <w:tc>
          <w:tcPr>
            <w:tcW w:w="1234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80" w:type="dxa"/>
            <w:tcBorders>
              <w:top w:val="single" w:sz="12" w:space="0" w:color="767171" w:themeColor="background2" w:themeShade="8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rtl/>
              </w:rPr>
            </w:pPr>
            <w:r>
              <w:rPr>
                <w:sz w:val="22"/>
              </w:rPr>
              <w:t>-</w:t>
            </w:r>
          </w:p>
        </w:tc>
      </w:tr>
      <w:tr w:rsidR="00C27D16" w:rsidRPr="0089128F" w:rsidTr="003D4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27D16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>
              <w:rPr>
                <w:sz w:val="22"/>
              </w:rPr>
              <w:t>Adler</w:t>
            </w:r>
          </w:p>
        </w:tc>
        <w:tc>
          <w:tcPr>
            <w:tcW w:w="201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</w:p>
        </w:tc>
        <w:tc>
          <w:tcPr>
            <w:tcW w:w="11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73%</w:t>
            </w:r>
          </w:p>
        </w:tc>
        <w:tc>
          <w:tcPr>
            <w:tcW w:w="12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C27D16" w:rsidRPr="0089128F" w:rsidTr="003D4A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Jin</w:t>
            </w:r>
            <w:proofErr w:type="spellEnd"/>
          </w:p>
        </w:tc>
        <w:tc>
          <w:tcPr>
            <w:tcW w:w="2016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</w:rPr>
            </w:pPr>
          </w:p>
        </w:tc>
        <w:tc>
          <w:tcPr>
            <w:tcW w:w="116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73.7%</w:t>
            </w:r>
          </w:p>
        </w:tc>
        <w:tc>
          <w:tcPr>
            <w:tcW w:w="123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89128F">
              <w:rPr>
                <w:sz w:val="22"/>
              </w:rPr>
              <w:t>90%</w:t>
            </w:r>
          </w:p>
        </w:tc>
        <w:tc>
          <w:tcPr>
            <w:tcW w:w="108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C27D16" w:rsidRPr="0089128F" w:rsidTr="003D4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rPr>
                <w:sz w:val="22"/>
              </w:rPr>
            </w:pPr>
            <w:r w:rsidRPr="0089128F">
              <w:rPr>
                <w:sz w:val="22"/>
              </w:rPr>
              <w:t>this study</w:t>
            </w:r>
          </w:p>
        </w:tc>
        <w:tc>
          <w:tcPr>
            <w:tcW w:w="20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11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96.7</w:t>
            </w:r>
            <w:r w:rsidRPr="0089128F">
              <w:rPr>
                <w:b/>
                <w:bCs/>
                <w:sz w:val="22"/>
              </w:rPr>
              <w:t>%</w:t>
            </w:r>
          </w:p>
        </w:tc>
        <w:tc>
          <w:tcPr>
            <w:tcW w:w="12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100</w:t>
            </w:r>
            <w:r w:rsidRPr="0089128F">
              <w:rPr>
                <w:b/>
                <w:bCs/>
                <w:sz w:val="22"/>
              </w:rPr>
              <w:t>%</w:t>
            </w:r>
          </w:p>
        </w:tc>
        <w:tc>
          <w:tcPr>
            <w:tcW w:w="108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:rsidR="00C27D16" w:rsidRPr="0089128F" w:rsidRDefault="00C27D16" w:rsidP="003D4AC5">
            <w:pPr>
              <w:pStyle w:val="Style4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</w:rPr>
            </w:pPr>
            <w:r w:rsidRPr="0089128F">
              <w:rPr>
                <w:b/>
                <w:bCs/>
                <w:sz w:val="22"/>
              </w:rPr>
              <w:t>98.6%</w:t>
            </w:r>
          </w:p>
        </w:tc>
      </w:tr>
      <w:bookmarkEnd w:id="1"/>
    </w:tbl>
    <w:p w:rsidR="00C27D16" w:rsidRDefault="00C27D16"/>
    <w:sectPr w:rsidR="00C27D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 Za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D16"/>
    <w:rsid w:val="00AD1398"/>
    <w:rsid w:val="00C2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51E07"/>
  <w15:chartTrackingRefBased/>
  <w15:docId w15:val="{A449296C-71D3-42DF-B4C4-533C712A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7D1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27D1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GridTable7Colorful-Accent61">
    <w:name w:val="Grid Table 7 Colorful - Accent 61"/>
    <w:basedOn w:val="TableNormal"/>
    <w:uiPriority w:val="52"/>
    <w:rsid w:val="00C27D16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Ind w:w="0" w:type="nil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eGrid">
    <w:name w:val="Table Grid"/>
    <w:basedOn w:val="TableNormal"/>
    <w:uiPriority w:val="59"/>
    <w:rsid w:val="00C27D16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C27D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27D16"/>
    <w:rPr>
      <w:rFonts w:ascii="Courier New" w:eastAsia="Times New Roman" w:hAnsi="Courier New" w:cs="Courier New"/>
      <w:sz w:val="20"/>
      <w:szCs w:val="20"/>
    </w:rPr>
  </w:style>
  <w:style w:type="paragraph" w:customStyle="1" w:styleId="Style4">
    <w:name w:val="Style4"/>
    <w:basedOn w:val="Normal"/>
    <w:link w:val="Style4Char"/>
    <w:qFormat/>
    <w:rsid w:val="00C27D16"/>
    <w:pPr>
      <w:bidi/>
      <w:spacing w:after="200" w:line="276" w:lineRule="auto"/>
    </w:pPr>
    <w:rPr>
      <w:rFonts w:eastAsiaTheme="minorEastAsia" w:cs="B Zar"/>
      <w:sz w:val="24"/>
      <w:szCs w:val="24"/>
      <w:lang w:bidi="fa-IR"/>
    </w:rPr>
  </w:style>
  <w:style w:type="character" w:customStyle="1" w:styleId="Style4Char">
    <w:name w:val="Style4 Char"/>
    <w:basedOn w:val="DefaultParagraphFont"/>
    <w:link w:val="Style4"/>
    <w:rsid w:val="00C27D16"/>
    <w:rPr>
      <w:rFonts w:eastAsiaTheme="minorEastAsia" w:cs="B Zar"/>
      <w:sz w:val="24"/>
      <w:szCs w:val="24"/>
      <w:lang w:bidi="fa-IR"/>
    </w:rPr>
  </w:style>
  <w:style w:type="table" w:customStyle="1" w:styleId="GridTable21">
    <w:name w:val="Grid Table 21"/>
    <w:basedOn w:val="TableNormal"/>
    <w:uiPriority w:val="47"/>
    <w:rsid w:val="00C27D16"/>
    <w:pPr>
      <w:spacing w:after="0" w:line="240" w:lineRule="auto"/>
    </w:pPr>
    <w:rPr>
      <w:rFonts w:eastAsiaTheme="minorEastAsia"/>
      <w:lang w:bidi="fa-IR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81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2021-01-12T10:56:00Z</dcterms:created>
  <dcterms:modified xsi:type="dcterms:W3CDTF">2021-01-12T10:58:00Z</dcterms:modified>
</cp:coreProperties>
</file>