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620C" w:rsidRPr="007623AA" w:rsidRDefault="00FD620C" w:rsidP="00FD620C">
      <w:pPr>
        <w:spacing w:after="120" w:line="360" w:lineRule="auto"/>
        <w:rPr>
          <w:rFonts w:ascii="Arial" w:hAnsi="Arial" w:cs="Arial"/>
          <w:b/>
          <w:sz w:val="22"/>
          <w:szCs w:val="22"/>
        </w:rPr>
      </w:pPr>
      <w:r w:rsidRPr="007623AA">
        <w:rPr>
          <w:rFonts w:ascii="Arial" w:hAnsi="Arial" w:cs="Arial"/>
          <w:b/>
          <w:sz w:val="22"/>
          <w:szCs w:val="22"/>
        </w:rPr>
        <w:t>Additional files</w:t>
      </w:r>
    </w:p>
    <w:p w:rsidR="00FD620C" w:rsidRPr="007623AA" w:rsidRDefault="00FD620C" w:rsidP="00FD620C">
      <w:pPr>
        <w:spacing w:after="120" w:line="360" w:lineRule="auto"/>
        <w:rPr>
          <w:rFonts w:ascii="Arial" w:hAnsi="Arial" w:cs="Arial"/>
          <w:b/>
          <w:sz w:val="22"/>
          <w:szCs w:val="22"/>
        </w:rPr>
      </w:pPr>
      <w:r w:rsidRPr="007623AA">
        <w:rPr>
          <w:rFonts w:ascii="Arial" w:hAnsi="Arial" w:cs="Arial"/>
          <w:b/>
          <w:noProof/>
          <w:sz w:val="22"/>
          <w:szCs w:val="22"/>
        </w:rPr>
        <w:drawing>
          <wp:inline distT="0" distB="0" distL="0" distR="0" wp14:anchorId="57C45BD9" wp14:editId="23047F95">
            <wp:extent cx="5401225" cy="7199453"/>
            <wp:effectExtent l="0" t="0" r="9525" b="1905"/>
            <wp:docPr id="6" name="Picture 6" descr="C:\Users\jonoah\Documents\Potter Lab\Manuscripts\ApoE drug screen\Figures\SI\FigS1_half_fra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onoah\Documents\Potter Lab\Manuscripts\ApoE drug screen\Figures\SI\FigS1_half_fraction.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438532" cy="7249180"/>
                    </a:xfrm>
                    <a:prstGeom prst="rect">
                      <a:avLst/>
                    </a:prstGeom>
                    <a:noFill/>
                    <a:ln>
                      <a:noFill/>
                    </a:ln>
                  </pic:spPr>
                </pic:pic>
              </a:graphicData>
            </a:graphic>
          </wp:inline>
        </w:drawing>
      </w:r>
    </w:p>
    <w:p w:rsidR="00FD620C" w:rsidRPr="007623AA" w:rsidRDefault="00FD620C" w:rsidP="00FD620C">
      <w:pPr>
        <w:spacing w:after="120" w:line="360" w:lineRule="auto"/>
        <w:rPr>
          <w:rFonts w:ascii="Arial" w:hAnsi="Arial" w:cs="Arial"/>
          <w:sz w:val="22"/>
          <w:szCs w:val="22"/>
        </w:rPr>
      </w:pPr>
      <w:r w:rsidRPr="007623AA">
        <w:rPr>
          <w:rFonts w:ascii="Arial" w:hAnsi="Arial" w:cs="Arial"/>
          <w:b/>
          <w:sz w:val="22"/>
          <w:szCs w:val="22"/>
        </w:rPr>
        <w:t>Additional file 1. Half-fraction factorial design.</w:t>
      </w:r>
      <w:r w:rsidRPr="007623AA">
        <w:rPr>
          <w:rFonts w:ascii="Arial" w:hAnsi="Arial" w:cs="Arial"/>
          <w:sz w:val="22"/>
          <w:szCs w:val="22"/>
        </w:rPr>
        <w:t xml:space="preserve"> Three reactant concentrations, Aβ, apoE4, and ThT, were varied in a half-fraction factorial design for a total of 2</w:t>
      </w:r>
      <w:r w:rsidRPr="007623AA">
        <w:rPr>
          <w:rFonts w:ascii="Arial" w:hAnsi="Arial" w:cs="Arial"/>
          <w:sz w:val="22"/>
          <w:szCs w:val="22"/>
          <w:vertAlign w:val="superscript"/>
        </w:rPr>
        <w:t>3</w:t>
      </w:r>
      <w:r w:rsidRPr="007623AA">
        <w:rPr>
          <w:rFonts w:ascii="Arial" w:hAnsi="Arial" w:cs="Arial"/>
          <w:sz w:val="22"/>
          <w:szCs w:val="22"/>
        </w:rPr>
        <w:t xml:space="preserve">/2 = 4 experimental </w:t>
      </w:r>
      <w:r w:rsidRPr="007623AA">
        <w:rPr>
          <w:rFonts w:ascii="Arial" w:hAnsi="Arial" w:cs="Arial"/>
          <w:sz w:val="22"/>
          <w:szCs w:val="22"/>
        </w:rPr>
        <w:lastRenderedPageBreak/>
        <w:t xml:space="preserve">conditions and one center point. Three technical replicates (wells) were tested per experimental condition. Experimental conditions and data are provided in Additional file 6. </w:t>
      </w:r>
      <w:r w:rsidRPr="007623AA">
        <w:rPr>
          <w:rFonts w:ascii="Arial" w:hAnsi="Arial" w:cs="Arial"/>
          <w:b/>
          <w:sz w:val="22"/>
          <w:szCs w:val="22"/>
        </w:rPr>
        <w:t>a</w:t>
      </w:r>
      <w:r w:rsidRPr="007623AA">
        <w:rPr>
          <w:rFonts w:ascii="Arial" w:hAnsi="Arial" w:cs="Arial"/>
          <w:sz w:val="22"/>
          <w:szCs w:val="22"/>
        </w:rPr>
        <w:t xml:space="preserve">, Pareto chart of the standardized effect for each reactant on the integrated </w:t>
      </w:r>
      <w:r>
        <w:rPr>
          <w:rFonts w:ascii="Arial" w:hAnsi="Arial" w:cs="Arial"/>
          <w:sz w:val="22"/>
          <w:szCs w:val="22"/>
        </w:rPr>
        <w:t>AUC</w:t>
      </w:r>
      <w:r w:rsidRPr="007623AA">
        <w:rPr>
          <w:rFonts w:ascii="Arial" w:hAnsi="Arial" w:cs="Arial"/>
          <w:sz w:val="22"/>
          <w:szCs w:val="22"/>
        </w:rPr>
        <w:t xml:space="preserve"> of ThT intensity. The critical effect size for statistical significance (α = 0.05) is also shown at an effect size of 2.23 (red line). Aβ concentration had a large effect while the effects of apoE4 and ThT concentrations were insignificant. The interaction effects are confounded with the main effects and are therefore not shown. </w:t>
      </w:r>
      <w:r w:rsidRPr="007623AA">
        <w:rPr>
          <w:rFonts w:ascii="Arial" w:hAnsi="Arial" w:cs="Arial"/>
          <w:b/>
          <w:sz w:val="22"/>
          <w:szCs w:val="22"/>
        </w:rPr>
        <w:t>b</w:t>
      </w:r>
      <w:r w:rsidRPr="007623AA">
        <w:rPr>
          <w:rFonts w:ascii="Arial" w:hAnsi="Arial" w:cs="Arial"/>
          <w:sz w:val="22"/>
          <w:szCs w:val="22"/>
        </w:rPr>
        <w:t>, Main effects plot showing the size and direction of each effect on the AUC of ThT intensity. As Aβ concentration increased from 1 µM to 20 µM the AUC of ThT intensity increased from 0 to approximately 1.6 x 10</w:t>
      </w:r>
      <w:r w:rsidRPr="007623AA">
        <w:rPr>
          <w:rFonts w:ascii="Arial" w:hAnsi="Arial" w:cs="Arial"/>
          <w:sz w:val="22"/>
          <w:szCs w:val="22"/>
          <w:vertAlign w:val="superscript"/>
        </w:rPr>
        <w:t>6</w:t>
      </w:r>
      <w:r w:rsidRPr="007623AA">
        <w:rPr>
          <w:rFonts w:ascii="Arial" w:hAnsi="Arial" w:cs="Arial"/>
          <w:sz w:val="22"/>
          <w:szCs w:val="22"/>
        </w:rPr>
        <w:t xml:space="preserve"> a.u., while apoE4 and ThT concentrations had no significant effects.</w:t>
      </w:r>
      <w:r w:rsidRPr="007623AA">
        <w:rPr>
          <w:rFonts w:ascii="Arial" w:hAnsi="Arial" w:cs="Arial"/>
          <w:sz w:val="22"/>
          <w:szCs w:val="22"/>
        </w:rPr>
        <w:br w:type="page"/>
      </w:r>
    </w:p>
    <w:p w:rsidR="00FD620C" w:rsidRPr="007623AA" w:rsidRDefault="00FD620C" w:rsidP="00FD620C">
      <w:pPr>
        <w:spacing w:after="120" w:line="360" w:lineRule="auto"/>
        <w:rPr>
          <w:rFonts w:ascii="Arial" w:hAnsi="Arial" w:cs="Arial"/>
          <w:b/>
          <w:sz w:val="22"/>
          <w:szCs w:val="22"/>
        </w:rPr>
      </w:pPr>
      <w:r w:rsidRPr="007623AA">
        <w:rPr>
          <w:rFonts w:ascii="Arial" w:hAnsi="Arial" w:cs="Arial"/>
          <w:b/>
          <w:noProof/>
          <w:sz w:val="22"/>
          <w:szCs w:val="22"/>
        </w:rPr>
        <w:lastRenderedPageBreak/>
        <w:drawing>
          <wp:inline distT="0" distB="0" distL="0" distR="0" wp14:anchorId="7E9F323E" wp14:editId="3C5780CA">
            <wp:extent cx="5943600" cy="5949382"/>
            <wp:effectExtent l="0" t="0" r="0" b="0"/>
            <wp:docPr id="7" name="Picture 7" descr="C:\Users\jonoah\Documents\Potter Lab\Manuscripts\ApoE drug screen\Figures\SI\FigS2_surface_respons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onoah\Documents\Potter Lab\Manuscripts\ApoE drug screen\Figures\SI\FigS2_surface_response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5949382"/>
                    </a:xfrm>
                    <a:prstGeom prst="rect">
                      <a:avLst/>
                    </a:prstGeom>
                    <a:noFill/>
                    <a:ln>
                      <a:noFill/>
                    </a:ln>
                  </pic:spPr>
                </pic:pic>
              </a:graphicData>
            </a:graphic>
          </wp:inline>
        </w:drawing>
      </w:r>
    </w:p>
    <w:p w:rsidR="00FD620C" w:rsidRPr="007623AA" w:rsidRDefault="00FD620C" w:rsidP="00FD620C">
      <w:pPr>
        <w:spacing w:after="120" w:line="360" w:lineRule="auto"/>
        <w:rPr>
          <w:rFonts w:ascii="Arial" w:hAnsi="Arial" w:cs="Arial"/>
          <w:sz w:val="22"/>
          <w:szCs w:val="22"/>
        </w:rPr>
      </w:pPr>
      <w:r w:rsidRPr="007623AA">
        <w:rPr>
          <w:rFonts w:ascii="Arial" w:hAnsi="Arial" w:cs="Arial"/>
          <w:b/>
          <w:sz w:val="22"/>
          <w:szCs w:val="22"/>
        </w:rPr>
        <w:t>Additional file 2. Central composite response surface design #1.</w:t>
      </w:r>
      <w:r w:rsidRPr="007623AA">
        <w:rPr>
          <w:rFonts w:ascii="Arial" w:hAnsi="Arial" w:cs="Arial"/>
          <w:sz w:val="22"/>
          <w:szCs w:val="22"/>
        </w:rPr>
        <w:t xml:space="preserve"> The concentrations of three reactants, Aβ, apoE4, and ThT, were varied in a central composite design using 2</w:t>
      </w:r>
      <w:r w:rsidRPr="007623AA">
        <w:rPr>
          <w:rFonts w:ascii="Arial" w:hAnsi="Arial" w:cs="Arial"/>
          <w:sz w:val="22"/>
          <w:szCs w:val="22"/>
          <w:vertAlign w:val="superscript"/>
        </w:rPr>
        <w:t>3</w:t>
      </w:r>
      <w:r w:rsidRPr="007623AA">
        <w:rPr>
          <w:rFonts w:ascii="Arial" w:hAnsi="Arial" w:cs="Arial"/>
          <w:sz w:val="22"/>
          <w:szCs w:val="22"/>
        </w:rPr>
        <w:t xml:space="preserve"> = 8 corner points, 2*3 = 6 axial points, and one center point. An optimized design space was determined based on the results of the previous factorial experiment. Two replicates (wells) were tested per experimental condition and four replicates of the center point. Experimental conditions and data are provided in Additional file 6. </w:t>
      </w:r>
      <w:r w:rsidRPr="007623AA">
        <w:rPr>
          <w:rFonts w:ascii="Arial" w:hAnsi="Arial" w:cs="Arial"/>
          <w:b/>
          <w:sz w:val="22"/>
          <w:szCs w:val="22"/>
        </w:rPr>
        <w:t>a</w:t>
      </w:r>
      <w:r w:rsidRPr="007623AA">
        <w:rPr>
          <w:rFonts w:ascii="Arial" w:hAnsi="Arial" w:cs="Arial"/>
          <w:sz w:val="22"/>
          <w:szCs w:val="22"/>
        </w:rPr>
        <w:t>,</w:t>
      </w:r>
      <w:r w:rsidRPr="007623AA">
        <w:rPr>
          <w:rFonts w:ascii="Arial" w:hAnsi="Arial" w:cs="Arial"/>
          <w:b/>
          <w:sz w:val="22"/>
          <w:szCs w:val="22"/>
        </w:rPr>
        <w:t>b</w:t>
      </w:r>
      <w:r w:rsidRPr="007623AA">
        <w:rPr>
          <w:rFonts w:ascii="Arial" w:hAnsi="Arial" w:cs="Arial"/>
          <w:sz w:val="22"/>
          <w:szCs w:val="22"/>
        </w:rPr>
        <w:t xml:space="preserve">, Pareto charts showing the standardized effect for the main (A, B, C), quadratic (AA, BB, CC), and interaction effects (AB, BC, AC) on the AUC and the fold-change of ThT intensity, respectively. The critical effect size for statistical significance (α = 0.05) is also shown at an effect size of 2.074 (red line). All three </w:t>
      </w:r>
      <w:r w:rsidRPr="007623AA">
        <w:rPr>
          <w:rFonts w:ascii="Arial" w:hAnsi="Arial" w:cs="Arial"/>
          <w:sz w:val="22"/>
          <w:szCs w:val="22"/>
        </w:rPr>
        <w:lastRenderedPageBreak/>
        <w:t xml:space="preserve">variables had large main and quadratic effects on the AUC of ThT intensity, while all interaction effects were negligible. ThT and Aβ concentrations had large main and quadratic effects on the fold-change in ThT intensity, while the effects of apoE concentration and all interaction effects were much smaller. </w:t>
      </w:r>
      <w:r w:rsidRPr="007623AA">
        <w:rPr>
          <w:rFonts w:ascii="Arial" w:hAnsi="Arial" w:cs="Arial"/>
          <w:b/>
          <w:sz w:val="22"/>
          <w:szCs w:val="22"/>
        </w:rPr>
        <w:t>c</w:t>
      </w:r>
      <w:r w:rsidRPr="007623AA">
        <w:rPr>
          <w:rFonts w:ascii="Arial" w:hAnsi="Arial" w:cs="Arial"/>
          <w:sz w:val="22"/>
          <w:szCs w:val="22"/>
        </w:rPr>
        <w:t>,</w:t>
      </w:r>
      <w:r w:rsidRPr="007623AA">
        <w:rPr>
          <w:rFonts w:ascii="Arial" w:hAnsi="Arial" w:cs="Arial"/>
          <w:b/>
          <w:sz w:val="22"/>
          <w:szCs w:val="22"/>
        </w:rPr>
        <w:t>b</w:t>
      </w:r>
      <w:r w:rsidRPr="007623AA">
        <w:rPr>
          <w:rFonts w:ascii="Arial" w:hAnsi="Arial" w:cs="Arial"/>
          <w:sz w:val="22"/>
          <w:szCs w:val="22"/>
        </w:rPr>
        <w:t xml:space="preserve">, Main effects plots showing the combination of main and quadratic effects of each reactant on the AUC and the fold-change of ThT intensity, respectively. High Aβ concentration, low apoE4 concentration, and an intermediate ThT concentration maximized both the AUC, and the fold-change, of ThT intensity. </w:t>
      </w:r>
      <w:r w:rsidRPr="007623AA">
        <w:rPr>
          <w:rFonts w:ascii="Arial" w:hAnsi="Arial" w:cs="Arial"/>
          <w:b/>
          <w:sz w:val="22"/>
          <w:szCs w:val="22"/>
        </w:rPr>
        <w:t>e</w:t>
      </w:r>
      <w:r w:rsidRPr="007623AA">
        <w:rPr>
          <w:rFonts w:ascii="Arial" w:hAnsi="Arial" w:cs="Arial"/>
          <w:sz w:val="22"/>
          <w:szCs w:val="22"/>
        </w:rPr>
        <w:t>,</w:t>
      </w:r>
      <w:r w:rsidRPr="007623AA">
        <w:rPr>
          <w:rFonts w:ascii="Arial" w:hAnsi="Arial" w:cs="Arial"/>
          <w:b/>
          <w:sz w:val="22"/>
          <w:szCs w:val="22"/>
        </w:rPr>
        <w:t>f</w:t>
      </w:r>
      <w:r w:rsidRPr="007623AA">
        <w:rPr>
          <w:rFonts w:ascii="Arial" w:hAnsi="Arial" w:cs="Arial"/>
          <w:sz w:val="22"/>
          <w:szCs w:val="22"/>
        </w:rPr>
        <w:t>, Interaction plots showing the interaction effect of each reactant pair on the AUC and the fold-change of ThT intensity, respectively. No significant interactions were observed, which is evidenced by the similar shapes of the response curves for all reactant concentrations in each interaction plot.</w:t>
      </w:r>
    </w:p>
    <w:p w:rsidR="00FD620C" w:rsidRPr="007623AA" w:rsidRDefault="00FD620C" w:rsidP="00FD620C">
      <w:pPr>
        <w:spacing w:after="120" w:line="259" w:lineRule="auto"/>
        <w:rPr>
          <w:rFonts w:ascii="Arial" w:eastAsia="Times New Roman" w:hAnsi="Arial" w:cs="Arial"/>
          <w:sz w:val="22"/>
          <w:szCs w:val="22"/>
        </w:rPr>
      </w:pPr>
      <w:r w:rsidRPr="007623AA">
        <w:rPr>
          <w:rFonts w:ascii="Arial" w:hAnsi="Arial" w:cs="Arial"/>
          <w:sz w:val="22"/>
          <w:szCs w:val="22"/>
        </w:rPr>
        <w:br w:type="page"/>
      </w:r>
    </w:p>
    <w:p w:rsidR="00FD620C" w:rsidRPr="007623AA" w:rsidRDefault="00FD620C" w:rsidP="00FD620C">
      <w:pPr>
        <w:spacing w:after="120" w:line="360" w:lineRule="auto"/>
        <w:rPr>
          <w:rFonts w:ascii="Arial" w:hAnsi="Arial" w:cs="Arial"/>
          <w:sz w:val="22"/>
          <w:szCs w:val="22"/>
        </w:rPr>
      </w:pPr>
      <w:r w:rsidRPr="007623AA">
        <w:rPr>
          <w:rFonts w:ascii="Arial" w:hAnsi="Arial" w:cs="Arial"/>
          <w:noProof/>
          <w:sz w:val="22"/>
          <w:szCs w:val="22"/>
        </w:rPr>
        <w:lastRenderedPageBreak/>
        <w:drawing>
          <wp:inline distT="0" distB="0" distL="0" distR="0" wp14:anchorId="03F4A06D" wp14:editId="5ABB1D4F">
            <wp:extent cx="3657600" cy="2882667"/>
            <wp:effectExtent l="0" t="0" r="0" b="0"/>
            <wp:docPr id="9" name="Picture 9" descr="C:\Users\jonoah\Documents\Potter Lab\Manuscripts\ApoE drug screen\Nat Med figures\SuppFig_apoE_effe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onoah\Documents\Potter Lab\Manuscripts\ApoE drug screen\Nat Med figures\SuppFig_apoE_effect.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57600" cy="2882667"/>
                    </a:xfrm>
                    <a:prstGeom prst="rect">
                      <a:avLst/>
                    </a:prstGeom>
                    <a:noFill/>
                    <a:ln>
                      <a:noFill/>
                    </a:ln>
                  </pic:spPr>
                </pic:pic>
              </a:graphicData>
            </a:graphic>
          </wp:inline>
        </w:drawing>
      </w:r>
    </w:p>
    <w:p w:rsidR="00FD620C" w:rsidRPr="007623AA" w:rsidRDefault="00FD620C" w:rsidP="00FD620C">
      <w:pPr>
        <w:spacing w:after="120" w:line="360" w:lineRule="auto"/>
        <w:rPr>
          <w:rFonts w:ascii="Arial" w:hAnsi="Arial" w:cs="Arial"/>
          <w:sz w:val="22"/>
          <w:szCs w:val="22"/>
        </w:rPr>
      </w:pPr>
      <w:r w:rsidRPr="007623AA">
        <w:rPr>
          <w:rFonts w:ascii="Arial" w:hAnsi="Arial" w:cs="Arial"/>
          <w:b/>
          <w:sz w:val="22"/>
          <w:szCs w:val="22"/>
        </w:rPr>
        <w:t xml:space="preserve">Additional file 3. Effects of apoE4 concentration on Aβ42 fibrillization. </w:t>
      </w:r>
      <w:r w:rsidRPr="007623AA">
        <w:rPr>
          <w:rFonts w:ascii="Arial" w:hAnsi="Arial" w:cs="Arial"/>
          <w:sz w:val="22"/>
          <w:szCs w:val="22"/>
        </w:rPr>
        <w:t>Concentrations of Aβ42, apoE4, and ThT were varied in a response surface design. The fibrillization assay was run in a 384-well plate and was analyzed for ThT fluorescence over a 24 h period. Several groups were plotted to demonstrate the effects of the different concentrations of apoE4 on ThT fluorescence over time. The complete results are provided in Additional file 6. The data represent the mean of n = 3−4 wells per group.</w:t>
      </w:r>
    </w:p>
    <w:p w:rsidR="00FD620C" w:rsidRPr="007623AA" w:rsidRDefault="00FD620C" w:rsidP="00FD620C">
      <w:pPr>
        <w:spacing w:after="120" w:line="360" w:lineRule="auto"/>
        <w:rPr>
          <w:rFonts w:ascii="Arial" w:hAnsi="Arial" w:cs="Arial"/>
          <w:sz w:val="22"/>
          <w:szCs w:val="22"/>
        </w:rPr>
      </w:pPr>
      <w:r w:rsidRPr="007623AA">
        <w:rPr>
          <w:rFonts w:ascii="Arial" w:hAnsi="Arial" w:cs="Arial"/>
          <w:sz w:val="22"/>
          <w:szCs w:val="22"/>
        </w:rPr>
        <w:br w:type="page"/>
      </w:r>
    </w:p>
    <w:p w:rsidR="00FD620C" w:rsidRPr="007623AA" w:rsidRDefault="00FD620C" w:rsidP="00FD620C">
      <w:pPr>
        <w:spacing w:after="120" w:line="360" w:lineRule="auto"/>
        <w:rPr>
          <w:rFonts w:ascii="Arial" w:hAnsi="Arial" w:cs="Arial"/>
          <w:sz w:val="22"/>
          <w:szCs w:val="22"/>
        </w:rPr>
      </w:pPr>
      <w:r w:rsidRPr="007623AA">
        <w:rPr>
          <w:rFonts w:ascii="Arial" w:hAnsi="Arial" w:cs="Arial"/>
          <w:noProof/>
          <w:sz w:val="22"/>
          <w:szCs w:val="22"/>
        </w:rPr>
        <w:lastRenderedPageBreak/>
        <w:drawing>
          <wp:inline distT="0" distB="0" distL="0" distR="0" wp14:anchorId="576043E1" wp14:editId="2318E2F6">
            <wp:extent cx="5943600" cy="5960945"/>
            <wp:effectExtent l="0" t="0" r="0" b="1905"/>
            <wp:docPr id="8" name="Picture 8" descr="C:\Users\jonoah\Documents\Potter Lab\Manuscripts\ApoE drug screen\Figures\SI\FigS3_surface_respons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onoah\Documents\Potter Lab\Manuscripts\ApoE drug screen\Figures\SI\FigS3_surface_response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5960945"/>
                    </a:xfrm>
                    <a:prstGeom prst="rect">
                      <a:avLst/>
                    </a:prstGeom>
                    <a:noFill/>
                    <a:ln>
                      <a:noFill/>
                    </a:ln>
                  </pic:spPr>
                </pic:pic>
              </a:graphicData>
            </a:graphic>
          </wp:inline>
        </w:drawing>
      </w:r>
    </w:p>
    <w:p w:rsidR="00FD620C" w:rsidRPr="007623AA" w:rsidRDefault="00FD620C" w:rsidP="00FD620C">
      <w:pPr>
        <w:spacing w:after="120" w:line="360" w:lineRule="auto"/>
        <w:rPr>
          <w:rFonts w:ascii="Arial" w:hAnsi="Arial" w:cs="Arial"/>
          <w:sz w:val="22"/>
          <w:szCs w:val="22"/>
        </w:rPr>
      </w:pPr>
      <w:r w:rsidRPr="007623AA">
        <w:rPr>
          <w:rFonts w:ascii="Arial" w:hAnsi="Arial" w:cs="Arial"/>
          <w:b/>
          <w:sz w:val="22"/>
          <w:szCs w:val="22"/>
        </w:rPr>
        <w:t>Additional file 4. Central composite response surface design #2.</w:t>
      </w:r>
      <w:r w:rsidRPr="007623AA">
        <w:rPr>
          <w:rFonts w:ascii="Arial" w:hAnsi="Arial" w:cs="Arial"/>
          <w:sz w:val="22"/>
          <w:szCs w:val="22"/>
        </w:rPr>
        <w:t xml:space="preserve"> The concentrations of three reactants, Aβ, apoE4, and ThT, were varied in a central composite design using 2</w:t>
      </w:r>
      <w:r w:rsidRPr="007623AA">
        <w:rPr>
          <w:rFonts w:ascii="Arial" w:hAnsi="Arial" w:cs="Arial"/>
          <w:sz w:val="22"/>
          <w:szCs w:val="22"/>
          <w:vertAlign w:val="superscript"/>
        </w:rPr>
        <w:t>3</w:t>
      </w:r>
      <w:r w:rsidRPr="007623AA">
        <w:rPr>
          <w:rFonts w:ascii="Arial" w:hAnsi="Arial" w:cs="Arial"/>
          <w:sz w:val="22"/>
          <w:szCs w:val="22"/>
        </w:rPr>
        <w:t xml:space="preserve"> = 8 corner points, 2*3 = 6 axial points, and one center point. An optimized design space was determined based on the results of the previous response surface experiment. Three replicates (wells) were tested per experimental condition and six replicates of the center point, and the entire experiment was repeated in two independent experiments (blocks). Experimental conditions and data are provided in Additional file 6. </w:t>
      </w:r>
      <w:r w:rsidRPr="007623AA">
        <w:rPr>
          <w:rFonts w:ascii="Arial" w:hAnsi="Arial" w:cs="Arial"/>
          <w:b/>
          <w:sz w:val="22"/>
          <w:szCs w:val="22"/>
        </w:rPr>
        <w:t>a</w:t>
      </w:r>
      <w:r w:rsidRPr="007623AA">
        <w:rPr>
          <w:rFonts w:ascii="Arial" w:hAnsi="Arial" w:cs="Arial"/>
          <w:sz w:val="22"/>
          <w:szCs w:val="22"/>
        </w:rPr>
        <w:t>,</w:t>
      </w:r>
      <w:r w:rsidRPr="007623AA">
        <w:rPr>
          <w:rFonts w:ascii="Arial" w:hAnsi="Arial" w:cs="Arial"/>
          <w:b/>
          <w:sz w:val="22"/>
          <w:szCs w:val="22"/>
        </w:rPr>
        <w:t>b</w:t>
      </w:r>
      <w:r w:rsidRPr="007623AA">
        <w:rPr>
          <w:rFonts w:ascii="Arial" w:hAnsi="Arial" w:cs="Arial"/>
          <w:sz w:val="22"/>
          <w:szCs w:val="22"/>
        </w:rPr>
        <w:t xml:space="preserve">, Pareto charts showing the standardized effect for the main (A, B, C), quadratic (AA, BB, CC), and interaction effects (AB, BC, AC) on the AUC and the fold-change of ThT intensity, respectively. The critical effect size </w:t>
      </w:r>
      <w:r w:rsidRPr="007623AA">
        <w:rPr>
          <w:rFonts w:ascii="Arial" w:hAnsi="Arial" w:cs="Arial"/>
          <w:sz w:val="22"/>
          <w:szCs w:val="22"/>
        </w:rPr>
        <w:lastRenderedPageBreak/>
        <w:t xml:space="preserve">for statistical significance (α = 0.05) is also shown at an effect size of 2.447 (red line). Aβ and ThT had large main and quadratic effects on the AUC of ThT intensity, while the effect of apoE was smaller. Aβ had the largest main and quadratic effects on the fold-change in ThT intensity, while the effects of apoE and ThT were smaller. </w:t>
      </w:r>
      <w:r w:rsidRPr="007623AA">
        <w:rPr>
          <w:rFonts w:ascii="Arial" w:hAnsi="Arial" w:cs="Arial"/>
          <w:b/>
          <w:sz w:val="22"/>
          <w:szCs w:val="22"/>
        </w:rPr>
        <w:t>c</w:t>
      </w:r>
      <w:r w:rsidRPr="007623AA">
        <w:rPr>
          <w:rFonts w:ascii="Arial" w:hAnsi="Arial" w:cs="Arial"/>
          <w:sz w:val="22"/>
          <w:szCs w:val="22"/>
        </w:rPr>
        <w:t>,</w:t>
      </w:r>
      <w:r w:rsidRPr="007623AA">
        <w:rPr>
          <w:rFonts w:ascii="Arial" w:hAnsi="Arial" w:cs="Arial"/>
          <w:b/>
          <w:sz w:val="22"/>
          <w:szCs w:val="22"/>
        </w:rPr>
        <w:t>d</w:t>
      </w:r>
      <w:r w:rsidRPr="007623AA">
        <w:rPr>
          <w:rFonts w:ascii="Arial" w:hAnsi="Arial" w:cs="Arial"/>
          <w:sz w:val="22"/>
          <w:szCs w:val="22"/>
        </w:rPr>
        <w:t xml:space="preserve">, Main effects plots showing the combination of main and quadratic effects of each reactant on the AUC and the fold-change of ThT intensity, respectively. Intermediate concentrations of Aβ, apoE4, and ThT maximized both the AUC and the fold-change of ThT intensity. </w:t>
      </w:r>
      <w:r w:rsidRPr="007623AA">
        <w:rPr>
          <w:rFonts w:ascii="Arial" w:hAnsi="Arial" w:cs="Arial"/>
          <w:b/>
          <w:sz w:val="22"/>
          <w:szCs w:val="22"/>
        </w:rPr>
        <w:t>e</w:t>
      </w:r>
      <w:r w:rsidRPr="007623AA">
        <w:rPr>
          <w:rFonts w:ascii="Arial" w:hAnsi="Arial" w:cs="Arial"/>
          <w:sz w:val="22"/>
          <w:szCs w:val="22"/>
        </w:rPr>
        <w:t>,</w:t>
      </w:r>
      <w:r w:rsidRPr="007623AA">
        <w:rPr>
          <w:rFonts w:ascii="Arial" w:hAnsi="Arial" w:cs="Arial"/>
          <w:b/>
          <w:sz w:val="22"/>
          <w:szCs w:val="22"/>
        </w:rPr>
        <w:t>f</w:t>
      </w:r>
      <w:r w:rsidRPr="007623AA">
        <w:rPr>
          <w:rFonts w:ascii="Arial" w:hAnsi="Arial" w:cs="Arial"/>
          <w:sz w:val="22"/>
          <w:szCs w:val="22"/>
        </w:rPr>
        <w:t xml:space="preserve">, Interaction plots showing the interaction effect of each reactant pair on the AUC and the fold-change of ThT intensity, respectively. An interaction between Aβ and ThT concentrations (AC) was observed to have a moderate effect on both the AUC and the fold-change of ThT intensity, which is evidenced by the response curves for different reactant concentrations crossing one another. This moderate effect caused both responses to peak at lower Aβ concentrations when the ThT concentration was 20 μM compared to 10.5 μM. However, the interaction effect did not change the conclusions about the dominant main and quadratic effects of Aβ and ThT seen in the main effects plot. </w:t>
      </w:r>
    </w:p>
    <w:p w:rsidR="00FD620C" w:rsidRPr="007623AA" w:rsidRDefault="00FD620C" w:rsidP="00FD620C">
      <w:pPr>
        <w:rPr>
          <w:rFonts w:ascii="Arial" w:hAnsi="Arial" w:cs="Arial"/>
          <w:sz w:val="22"/>
          <w:szCs w:val="22"/>
        </w:rPr>
      </w:pPr>
      <w:r w:rsidRPr="007623AA">
        <w:rPr>
          <w:rFonts w:ascii="Arial" w:hAnsi="Arial" w:cs="Arial"/>
          <w:sz w:val="22"/>
          <w:szCs w:val="22"/>
        </w:rPr>
        <w:br w:type="page"/>
      </w:r>
    </w:p>
    <w:p w:rsidR="00FD620C" w:rsidRPr="007623AA" w:rsidRDefault="00FD620C" w:rsidP="00FD620C">
      <w:pPr>
        <w:rPr>
          <w:rFonts w:ascii="Arial" w:hAnsi="Arial" w:cs="Arial"/>
          <w:b/>
          <w:sz w:val="22"/>
          <w:szCs w:val="22"/>
        </w:rPr>
      </w:pPr>
      <w:r w:rsidRPr="007623AA">
        <w:rPr>
          <w:rFonts w:ascii="Arial" w:hAnsi="Arial" w:cs="Arial"/>
          <w:b/>
          <w:noProof/>
          <w:sz w:val="22"/>
          <w:szCs w:val="22"/>
        </w:rPr>
        <w:lastRenderedPageBreak/>
        <w:drawing>
          <wp:inline distT="0" distB="0" distL="0" distR="0" wp14:anchorId="0CC7B124" wp14:editId="63E36746">
            <wp:extent cx="4140200" cy="3662485"/>
            <wp:effectExtent l="0" t="0" r="0" b="0"/>
            <wp:docPr id="11" name="Picture 11" descr="C:\Users\jonoah\Documents\Potter Lab\Manuscripts\ApoE drug screen\Nat Med figures\SuppFig_DMS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onoah\Documents\Potter Lab\Manuscripts\ApoE drug screen\Nat Med figures\SuppFig_DMS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47034" cy="3668531"/>
                    </a:xfrm>
                    <a:prstGeom prst="rect">
                      <a:avLst/>
                    </a:prstGeom>
                    <a:noFill/>
                    <a:ln>
                      <a:noFill/>
                    </a:ln>
                  </pic:spPr>
                </pic:pic>
              </a:graphicData>
            </a:graphic>
          </wp:inline>
        </w:drawing>
      </w:r>
    </w:p>
    <w:p w:rsidR="00FD620C" w:rsidRPr="007623AA" w:rsidRDefault="00FD620C" w:rsidP="00FD620C">
      <w:pPr>
        <w:spacing w:line="360" w:lineRule="auto"/>
        <w:rPr>
          <w:rFonts w:ascii="Arial" w:hAnsi="Arial" w:cs="Arial"/>
          <w:b/>
          <w:sz w:val="22"/>
          <w:szCs w:val="22"/>
        </w:rPr>
      </w:pPr>
    </w:p>
    <w:p w:rsidR="00FD620C" w:rsidRPr="007623AA" w:rsidRDefault="00FD620C" w:rsidP="00FD620C">
      <w:pPr>
        <w:spacing w:line="360" w:lineRule="auto"/>
        <w:rPr>
          <w:rFonts w:ascii="Arial" w:hAnsi="Arial" w:cs="Arial"/>
          <w:sz w:val="22"/>
          <w:szCs w:val="22"/>
        </w:rPr>
      </w:pPr>
      <w:r w:rsidRPr="007623AA">
        <w:rPr>
          <w:rFonts w:ascii="Arial" w:hAnsi="Arial" w:cs="Arial"/>
          <w:b/>
          <w:sz w:val="22"/>
          <w:szCs w:val="22"/>
        </w:rPr>
        <w:t>Additional file 5. Effect of DMSO in the optimized apoE4-Aβ fibrillization assay.</w:t>
      </w:r>
      <w:r w:rsidRPr="007623AA">
        <w:rPr>
          <w:rFonts w:ascii="Arial" w:hAnsi="Arial" w:cs="Arial"/>
          <w:sz w:val="22"/>
          <w:szCs w:val="22"/>
        </w:rPr>
        <w:t xml:space="preserve"> The effects of DMSO at 0, 1, 5, and 10% (v/v) on apoE4-catalyzed Aβ42 fibrillization were evaluated. The data represent the mean ± SD of n = 8 wells per group.</w:t>
      </w:r>
    </w:p>
    <w:p w:rsidR="00FD620C" w:rsidRPr="007623AA" w:rsidRDefault="00FD620C" w:rsidP="00FD620C">
      <w:pPr>
        <w:rPr>
          <w:rFonts w:ascii="Arial" w:hAnsi="Arial" w:cs="Arial"/>
          <w:sz w:val="22"/>
          <w:szCs w:val="22"/>
        </w:rPr>
      </w:pPr>
      <w:r w:rsidRPr="007623AA">
        <w:rPr>
          <w:rFonts w:ascii="Arial" w:hAnsi="Arial" w:cs="Arial"/>
          <w:sz w:val="22"/>
          <w:szCs w:val="22"/>
        </w:rPr>
        <w:br w:type="page"/>
      </w:r>
    </w:p>
    <w:p w:rsidR="00FD620C" w:rsidRPr="007623AA" w:rsidRDefault="00FD620C" w:rsidP="00FD620C">
      <w:pPr>
        <w:spacing w:after="120" w:line="360" w:lineRule="auto"/>
        <w:rPr>
          <w:rFonts w:ascii="Arial" w:hAnsi="Arial" w:cs="Arial"/>
          <w:sz w:val="22"/>
          <w:szCs w:val="22"/>
        </w:rPr>
      </w:pPr>
      <w:r w:rsidRPr="007623AA">
        <w:rPr>
          <w:rFonts w:ascii="Arial" w:hAnsi="Arial" w:cs="Arial"/>
          <w:b/>
          <w:bCs/>
          <w:sz w:val="22"/>
          <w:szCs w:val="22"/>
        </w:rPr>
        <w:lastRenderedPageBreak/>
        <w:t>Additional file 6.</w:t>
      </w:r>
      <w:r w:rsidRPr="007623AA">
        <w:rPr>
          <w:rFonts w:ascii="Arial" w:hAnsi="Arial" w:cs="Arial"/>
          <w:sz w:val="22"/>
          <w:szCs w:val="22"/>
        </w:rPr>
        <w:t xml:space="preserve"> </w:t>
      </w:r>
      <w:r w:rsidRPr="00480C26">
        <w:rPr>
          <w:rFonts w:ascii="Arial" w:hAnsi="Arial" w:cs="Arial"/>
          <w:b/>
          <w:sz w:val="22"/>
          <w:szCs w:val="22"/>
        </w:rPr>
        <w:t>Design of experiments (DOE) assay optimization data</w:t>
      </w:r>
      <w:r w:rsidRPr="007623AA">
        <w:rPr>
          <w:rFonts w:ascii="Arial" w:hAnsi="Arial" w:cs="Arial"/>
          <w:sz w:val="22"/>
          <w:szCs w:val="22"/>
        </w:rPr>
        <w:t xml:space="preserve">. Experimental conditions and raw data for (A) Half-fraction factorial experiment, (B) Response surface experiment #1, and (C) Response surface experiment #2. The RunOrder column indicates randomized order in which the different experimental conditions were prepared in the wells of a plate. The CenterPt column indicates whether the experimental condition is a center point (0) or not (1). The PtType column indicates whether the experimental condition is a corner or axial point (-1 or 1), or a center point (0). The Blocks column indicates whether the experimental condition was included in a single plate run on one day (1), or was included in a second plate repeating the entire experiment on a different day (2). The AUC ThT intensity column indicates the integrated area under the curve of ThT fluorescence intensity measured by the plate reader in arbitrary units (a.u.) over the entire experiment duration. The Fold-change ThT intensity column indicates the fold-change in ThT fluorescence intensity from the beginning to the end of the experiment. </w:t>
      </w:r>
    </w:p>
    <w:p w:rsidR="00FD620C" w:rsidRPr="007623AA" w:rsidRDefault="00FD620C" w:rsidP="00FD620C">
      <w:pPr>
        <w:rPr>
          <w:rFonts w:ascii="Arial" w:hAnsi="Arial" w:cs="Arial"/>
          <w:sz w:val="22"/>
          <w:szCs w:val="22"/>
        </w:rPr>
      </w:pPr>
      <w:r w:rsidRPr="007623AA">
        <w:rPr>
          <w:rFonts w:ascii="Arial" w:hAnsi="Arial" w:cs="Arial"/>
          <w:sz w:val="22"/>
          <w:szCs w:val="22"/>
        </w:rPr>
        <w:br w:type="page"/>
      </w:r>
    </w:p>
    <w:p w:rsidR="00FD620C" w:rsidRPr="007623AA" w:rsidRDefault="00FD620C" w:rsidP="00FD620C">
      <w:pPr>
        <w:spacing w:after="120" w:line="360" w:lineRule="auto"/>
        <w:rPr>
          <w:rFonts w:ascii="Arial" w:hAnsi="Arial" w:cs="Arial"/>
          <w:sz w:val="22"/>
          <w:szCs w:val="22"/>
        </w:rPr>
      </w:pPr>
      <w:r w:rsidRPr="007623AA">
        <w:rPr>
          <w:rFonts w:ascii="Arial" w:hAnsi="Arial" w:cs="Arial"/>
          <w:noProof/>
          <w:sz w:val="22"/>
          <w:szCs w:val="22"/>
        </w:rPr>
        <w:lastRenderedPageBreak/>
        <w:drawing>
          <wp:inline distT="0" distB="0" distL="0" distR="0" wp14:anchorId="25FDE749" wp14:editId="189EA2DB">
            <wp:extent cx="5943600" cy="3328748"/>
            <wp:effectExtent l="0" t="0" r="0" b="5080"/>
            <wp:docPr id="105" name="Picture 105" descr="C:\Users\jonoah\Documents\Potter Lab\Manuscripts\ApoE drug screen\Figures\SI\FigS4_exploratory_scre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jonoah\Documents\Potter Lab\Manuscripts\ApoE drug screen\Figures\SI\FigS4_exploratory_scree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3328748"/>
                    </a:xfrm>
                    <a:prstGeom prst="rect">
                      <a:avLst/>
                    </a:prstGeom>
                    <a:noFill/>
                    <a:ln>
                      <a:noFill/>
                    </a:ln>
                  </pic:spPr>
                </pic:pic>
              </a:graphicData>
            </a:graphic>
          </wp:inline>
        </w:drawing>
      </w:r>
    </w:p>
    <w:p w:rsidR="00FD620C" w:rsidRPr="007623AA" w:rsidRDefault="00FD620C" w:rsidP="00FD620C">
      <w:pPr>
        <w:spacing w:after="120" w:line="360" w:lineRule="auto"/>
        <w:rPr>
          <w:rFonts w:ascii="Arial" w:hAnsi="Arial" w:cs="Arial"/>
          <w:sz w:val="22"/>
          <w:szCs w:val="22"/>
        </w:rPr>
      </w:pPr>
      <w:r w:rsidRPr="007623AA">
        <w:rPr>
          <w:rFonts w:ascii="Arial" w:hAnsi="Arial" w:cs="Arial"/>
          <w:b/>
          <w:bCs/>
          <w:sz w:val="22"/>
          <w:szCs w:val="22"/>
        </w:rPr>
        <w:t>Additional file 7. Exploratory drug screen.</w:t>
      </w:r>
      <w:r w:rsidRPr="007623AA">
        <w:rPr>
          <w:rFonts w:ascii="Arial" w:hAnsi="Arial" w:cs="Arial"/>
          <w:sz w:val="22"/>
          <w:szCs w:val="22"/>
        </w:rPr>
        <w:t xml:space="preserve"> </w:t>
      </w:r>
      <w:r w:rsidRPr="007623AA">
        <w:rPr>
          <w:rFonts w:ascii="Arial" w:hAnsi="Arial" w:cs="Arial"/>
          <w:b/>
          <w:sz w:val="22"/>
          <w:szCs w:val="22"/>
        </w:rPr>
        <w:t>a</w:t>
      </w:r>
      <w:r w:rsidRPr="007623AA">
        <w:rPr>
          <w:rFonts w:ascii="Arial" w:hAnsi="Arial" w:cs="Arial"/>
          <w:sz w:val="22"/>
          <w:szCs w:val="22"/>
        </w:rPr>
        <w:t>, The apoE4/Aβ42 fibrillization assay was performed in an endpoint fashion in the exploratory screen. To set up the fibrillization assay, Aβ42 (2 μM) and apoE4 (20 nM) were combined in water in a 96-well plate and incubated for 15 min. ThT and glycine were added and incubated for 10 min, and then fluorescence was measured at λ</w:t>
      </w:r>
      <w:r w:rsidRPr="007623AA">
        <w:rPr>
          <w:rFonts w:ascii="Arial" w:hAnsi="Arial" w:cs="Arial"/>
          <w:sz w:val="22"/>
          <w:szCs w:val="22"/>
          <w:vertAlign w:val="subscript"/>
        </w:rPr>
        <w:t>ex</w:t>
      </w:r>
      <w:r w:rsidRPr="007623AA">
        <w:rPr>
          <w:rFonts w:ascii="Arial" w:hAnsi="Arial" w:cs="Arial"/>
          <w:sz w:val="22"/>
          <w:szCs w:val="22"/>
        </w:rPr>
        <w:t xml:space="preserve"> = 440 nm, λ</w:t>
      </w:r>
      <w:r w:rsidRPr="007623AA">
        <w:rPr>
          <w:rFonts w:ascii="Arial" w:hAnsi="Arial" w:cs="Arial"/>
          <w:sz w:val="22"/>
          <w:szCs w:val="22"/>
          <w:vertAlign w:val="subscript"/>
        </w:rPr>
        <w:t>em</w:t>
      </w:r>
      <w:r w:rsidRPr="007623AA">
        <w:rPr>
          <w:rFonts w:ascii="Arial" w:hAnsi="Arial" w:cs="Arial"/>
          <w:sz w:val="22"/>
          <w:szCs w:val="22"/>
        </w:rPr>
        <w:t xml:space="preserve"> = 490 nm. (A) Under these conditions, Aβ42+apoE4 resulted in significantly greater ThT fluorescence than Aβ42, apoE4, or ThT alone. The data represent the mean ± SD of n = 3 wells per group. Statistical significance is indicated as **</w:t>
      </w:r>
      <w:r w:rsidRPr="007623AA">
        <w:rPr>
          <w:rFonts w:ascii="Arial" w:hAnsi="Arial" w:cs="Arial"/>
          <w:i/>
          <w:sz w:val="22"/>
          <w:szCs w:val="22"/>
        </w:rPr>
        <w:t>P</w:t>
      </w:r>
      <w:r w:rsidRPr="007623AA">
        <w:rPr>
          <w:rFonts w:ascii="Arial" w:hAnsi="Arial" w:cs="Arial"/>
          <w:sz w:val="22"/>
          <w:szCs w:val="22"/>
        </w:rPr>
        <w:t xml:space="preserve"> &lt; 0.01, ***</w:t>
      </w:r>
      <w:r w:rsidRPr="007623AA">
        <w:rPr>
          <w:rFonts w:ascii="Arial" w:hAnsi="Arial" w:cs="Arial"/>
          <w:i/>
          <w:sz w:val="22"/>
          <w:szCs w:val="22"/>
        </w:rPr>
        <w:t>P</w:t>
      </w:r>
      <w:r w:rsidRPr="007623AA">
        <w:rPr>
          <w:rFonts w:ascii="Arial" w:hAnsi="Arial" w:cs="Arial"/>
          <w:sz w:val="22"/>
          <w:szCs w:val="22"/>
        </w:rPr>
        <w:t xml:space="preserve"> &lt; 0.001 by one-way ANOVA. </w:t>
      </w:r>
      <w:r w:rsidRPr="007623AA">
        <w:rPr>
          <w:rFonts w:ascii="Arial" w:hAnsi="Arial" w:cs="Arial"/>
          <w:b/>
          <w:sz w:val="22"/>
          <w:szCs w:val="22"/>
        </w:rPr>
        <w:t>b</w:t>
      </w:r>
      <w:r w:rsidRPr="007623AA">
        <w:rPr>
          <w:rFonts w:ascii="Arial" w:hAnsi="Arial" w:cs="Arial"/>
          <w:sz w:val="22"/>
          <w:szCs w:val="22"/>
        </w:rPr>
        <w:t>, In the exploratory screen, compounds (2 μM), or DMSO as the control, were initially incubated with Aβ42 and apoE4, and the ThT intensity for each compound was normalized to the control group on the same plate. A total of 595 compounds from the NCC library were evaluated in the exploratory screen, with 134 being identified as hit compounds (red dots) and 461 being identified as non-hit compounds (blue dots). Each data point represents a single compound tested in n = 3 wells and averaged, and the black lines indicate the mean ± SD for each group.</w:t>
      </w:r>
      <w:r w:rsidRPr="007623AA">
        <w:rPr>
          <w:rFonts w:ascii="Arial" w:hAnsi="Arial" w:cs="Arial"/>
          <w:sz w:val="22"/>
          <w:szCs w:val="22"/>
        </w:rPr>
        <w:br w:type="page"/>
      </w:r>
    </w:p>
    <w:p w:rsidR="00FD620C" w:rsidRPr="007623AA" w:rsidRDefault="00FD620C" w:rsidP="00FD620C">
      <w:pPr>
        <w:spacing w:after="120" w:line="360" w:lineRule="auto"/>
        <w:rPr>
          <w:rFonts w:ascii="Arial" w:hAnsi="Arial" w:cs="Arial"/>
          <w:sz w:val="22"/>
          <w:szCs w:val="22"/>
        </w:rPr>
      </w:pPr>
      <w:r w:rsidRPr="007623AA">
        <w:rPr>
          <w:rFonts w:ascii="Arial" w:hAnsi="Arial" w:cs="Arial"/>
          <w:b/>
          <w:bCs/>
          <w:sz w:val="22"/>
          <w:szCs w:val="22"/>
        </w:rPr>
        <w:lastRenderedPageBreak/>
        <w:t>Additional file 8.</w:t>
      </w:r>
      <w:r w:rsidRPr="007623AA">
        <w:rPr>
          <w:rFonts w:ascii="Arial" w:hAnsi="Arial" w:cs="Arial"/>
          <w:sz w:val="22"/>
          <w:szCs w:val="22"/>
        </w:rPr>
        <w:t xml:space="preserve"> </w:t>
      </w:r>
      <w:r w:rsidRPr="00480C26">
        <w:rPr>
          <w:rFonts w:ascii="Arial" w:hAnsi="Arial" w:cs="Arial"/>
          <w:b/>
          <w:sz w:val="22"/>
          <w:szCs w:val="22"/>
        </w:rPr>
        <w:t>Exploratory drug screen results</w:t>
      </w:r>
      <w:r w:rsidRPr="007623AA">
        <w:rPr>
          <w:rFonts w:ascii="Arial" w:hAnsi="Arial" w:cs="Arial"/>
          <w:sz w:val="22"/>
          <w:szCs w:val="22"/>
        </w:rPr>
        <w:t xml:space="preserve">. (A) Detailed information about the 134 hit compounds identified in the exploratory screen. (B) </w:t>
      </w:r>
      <w:r>
        <w:rPr>
          <w:rFonts w:ascii="Arial" w:hAnsi="Arial" w:cs="Arial"/>
          <w:sz w:val="22"/>
          <w:szCs w:val="22"/>
        </w:rPr>
        <w:t>BBB</w:t>
      </w:r>
      <w:r w:rsidRPr="007623AA">
        <w:rPr>
          <w:rFonts w:ascii="Arial" w:hAnsi="Arial" w:cs="Arial"/>
          <w:sz w:val="22"/>
          <w:szCs w:val="22"/>
        </w:rPr>
        <w:t xml:space="preserve"> permeability for the 134 hit compounds identified in the exploratory screen, as determined by a literature search. Positive BBB qualities were found for 87 compounds (labeled in green), negative BBB qualities were found for 41 compounds (labeled in red), and no information was found for 6 compounds (labeled in yellow). </w:t>
      </w:r>
    </w:p>
    <w:p w:rsidR="00FD620C" w:rsidRPr="007623AA" w:rsidRDefault="00FD620C" w:rsidP="00FD620C">
      <w:pPr>
        <w:spacing w:after="120" w:line="360" w:lineRule="auto"/>
        <w:rPr>
          <w:rFonts w:ascii="Arial" w:hAnsi="Arial" w:cs="Arial"/>
          <w:sz w:val="22"/>
          <w:szCs w:val="22"/>
        </w:rPr>
      </w:pPr>
    </w:p>
    <w:p w:rsidR="00FD620C" w:rsidRPr="007623AA" w:rsidRDefault="00FD620C" w:rsidP="00FD620C">
      <w:pPr>
        <w:spacing w:after="120" w:line="360" w:lineRule="auto"/>
        <w:rPr>
          <w:rFonts w:ascii="Arial" w:hAnsi="Arial" w:cs="Arial"/>
          <w:sz w:val="22"/>
          <w:szCs w:val="22"/>
        </w:rPr>
      </w:pPr>
      <w:r w:rsidRPr="007623AA">
        <w:rPr>
          <w:rFonts w:ascii="Arial" w:hAnsi="Arial" w:cs="Arial"/>
          <w:noProof/>
          <w:sz w:val="22"/>
          <w:szCs w:val="22"/>
        </w:rPr>
        <w:drawing>
          <wp:inline distT="0" distB="0" distL="0" distR="0" wp14:anchorId="18DA5C0A" wp14:editId="0C09B31E">
            <wp:extent cx="4726940" cy="6625590"/>
            <wp:effectExtent l="0" t="0" r="0" b="3810"/>
            <wp:docPr id="100" name="Picture 100" descr="C:\Users\jonoah\Documents\Potter Lab\Manuscripts\ApoE drug screen\Figures\SI\FigS5_ELISA_v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jonoah\Documents\Potter Lab\Manuscripts\ApoE drug screen\Figures\SI\FigS5_ELISA_v3.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726940" cy="6625590"/>
                    </a:xfrm>
                    <a:prstGeom prst="rect">
                      <a:avLst/>
                    </a:prstGeom>
                    <a:noFill/>
                    <a:ln>
                      <a:noFill/>
                    </a:ln>
                  </pic:spPr>
                </pic:pic>
              </a:graphicData>
            </a:graphic>
          </wp:inline>
        </w:drawing>
      </w:r>
    </w:p>
    <w:p w:rsidR="00FD620C" w:rsidRPr="007623AA" w:rsidRDefault="00FD620C" w:rsidP="00FD620C">
      <w:pPr>
        <w:spacing w:after="120" w:line="360" w:lineRule="auto"/>
        <w:rPr>
          <w:rFonts w:ascii="Arial" w:hAnsi="Arial" w:cs="Arial"/>
          <w:sz w:val="22"/>
          <w:szCs w:val="22"/>
        </w:rPr>
      </w:pPr>
      <w:r w:rsidRPr="007623AA">
        <w:rPr>
          <w:rFonts w:ascii="Arial" w:hAnsi="Arial" w:cs="Arial"/>
          <w:b/>
          <w:bCs/>
          <w:sz w:val="22"/>
          <w:szCs w:val="22"/>
        </w:rPr>
        <w:lastRenderedPageBreak/>
        <w:t>Additional file 9. Aβ levels in conditioned medium of 5xFAD mouse neurons.</w:t>
      </w:r>
      <w:r w:rsidRPr="007623AA">
        <w:rPr>
          <w:rFonts w:ascii="Arial" w:hAnsi="Arial" w:cs="Arial"/>
          <w:sz w:val="22"/>
          <w:szCs w:val="22"/>
        </w:rPr>
        <w:t xml:space="preserve"> Aβ42 concentrations were measured in the conditioned medium of 5xFAD mouse neurons at 9 dpe to each hit compound by enzyme-linked immunosorbent assay (ELISA). The data represent the mean ± SD of n = 6 wells for the DMSO control and n = 3 wells per concentration for each compound. Statistical significance is indicated as *</w:t>
      </w:r>
      <w:r w:rsidRPr="007623AA">
        <w:rPr>
          <w:rFonts w:ascii="Arial" w:hAnsi="Arial" w:cs="Arial"/>
          <w:i/>
          <w:sz w:val="22"/>
          <w:szCs w:val="22"/>
        </w:rPr>
        <w:t xml:space="preserve">P </w:t>
      </w:r>
      <w:r w:rsidRPr="007623AA">
        <w:rPr>
          <w:rFonts w:ascii="Arial" w:hAnsi="Arial" w:cs="Arial"/>
          <w:sz w:val="22"/>
          <w:szCs w:val="22"/>
        </w:rPr>
        <w:t>&lt; 0.05, **</w:t>
      </w:r>
      <w:r w:rsidRPr="007623AA">
        <w:rPr>
          <w:rFonts w:ascii="Arial" w:hAnsi="Arial" w:cs="Arial"/>
          <w:i/>
          <w:sz w:val="22"/>
          <w:szCs w:val="22"/>
        </w:rPr>
        <w:t xml:space="preserve">P </w:t>
      </w:r>
      <w:r w:rsidRPr="007623AA">
        <w:rPr>
          <w:rFonts w:ascii="Arial" w:hAnsi="Arial" w:cs="Arial"/>
          <w:sz w:val="22"/>
          <w:szCs w:val="22"/>
        </w:rPr>
        <w:t>&lt; 0.01, and ***</w:t>
      </w:r>
      <w:r w:rsidRPr="007623AA">
        <w:rPr>
          <w:rFonts w:ascii="Arial" w:hAnsi="Arial" w:cs="Arial"/>
          <w:i/>
          <w:sz w:val="22"/>
          <w:szCs w:val="22"/>
        </w:rPr>
        <w:t xml:space="preserve">P </w:t>
      </w:r>
      <w:r w:rsidRPr="007623AA">
        <w:rPr>
          <w:rFonts w:ascii="Arial" w:hAnsi="Arial" w:cs="Arial"/>
          <w:sz w:val="22"/>
          <w:szCs w:val="22"/>
        </w:rPr>
        <w:t>&lt; 0.001 compared to the DMSO control by one-way ANOVA.</w:t>
      </w:r>
      <w:r w:rsidRPr="007623AA">
        <w:rPr>
          <w:rFonts w:ascii="Arial" w:hAnsi="Arial" w:cs="Arial"/>
          <w:sz w:val="22"/>
          <w:szCs w:val="22"/>
        </w:rPr>
        <w:br w:type="page"/>
      </w:r>
    </w:p>
    <w:p w:rsidR="00FD620C" w:rsidRPr="007623AA" w:rsidRDefault="00FD620C" w:rsidP="00FD620C">
      <w:pPr>
        <w:spacing w:after="120" w:line="360" w:lineRule="auto"/>
        <w:rPr>
          <w:rFonts w:ascii="Arial" w:hAnsi="Arial" w:cs="Arial"/>
          <w:sz w:val="22"/>
          <w:szCs w:val="22"/>
        </w:rPr>
      </w:pPr>
      <w:r w:rsidRPr="007623AA">
        <w:rPr>
          <w:rFonts w:ascii="Arial" w:hAnsi="Arial" w:cs="Arial"/>
          <w:snapToGrid w:val="0"/>
          <w:w w:val="0"/>
          <w:sz w:val="22"/>
          <w:szCs w:val="22"/>
          <w:u w:color="000000"/>
          <w:bdr w:val="none" w:sz="0" w:space="0" w:color="000000"/>
          <w:shd w:val="clear" w:color="000000" w:fill="000000"/>
          <w:lang w:val="x-none" w:eastAsia="x-none" w:bidi="x-none"/>
        </w:rPr>
        <w:lastRenderedPageBreak/>
        <w:t xml:space="preserve"> </w:t>
      </w:r>
      <w:r w:rsidRPr="007623AA">
        <w:rPr>
          <w:rFonts w:ascii="Arial" w:hAnsi="Arial" w:cs="Arial"/>
          <w:noProof/>
          <w:snapToGrid w:val="0"/>
          <w:w w:val="0"/>
          <w:sz w:val="22"/>
          <w:szCs w:val="22"/>
          <w:u w:color="000000"/>
          <w:bdr w:val="none" w:sz="0" w:space="0" w:color="000000"/>
          <w:shd w:val="clear" w:color="000000" w:fill="000000"/>
        </w:rPr>
        <w:drawing>
          <wp:inline distT="0" distB="0" distL="0" distR="0" wp14:anchorId="6B294450" wp14:editId="292E96AB">
            <wp:extent cx="5943600" cy="1944331"/>
            <wp:effectExtent l="0" t="0" r="0" b="0"/>
            <wp:docPr id="4" name="Picture 4" descr="C:\Users\jonoah\Documents\Potter Lab\Manuscripts\ApoE drug screen\Figures\SI\FigS6_pTau_featu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onoah\Documents\Potter Lab\Manuscripts\ApoE drug screen\Figures\SI\FigS6_pTau_features.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1944331"/>
                    </a:xfrm>
                    <a:prstGeom prst="rect">
                      <a:avLst/>
                    </a:prstGeom>
                    <a:noFill/>
                    <a:ln>
                      <a:noFill/>
                    </a:ln>
                  </pic:spPr>
                </pic:pic>
              </a:graphicData>
            </a:graphic>
          </wp:inline>
        </w:drawing>
      </w:r>
    </w:p>
    <w:p w:rsidR="00FD620C" w:rsidRPr="007623AA" w:rsidRDefault="00FD620C" w:rsidP="00FD620C">
      <w:pPr>
        <w:spacing w:after="120" w:line="360" w:lineRule="auto"/>
        <w:rPr>
          <w:rFonts w:ascii="Arial" w:hAnsi="Arial" w:cs="Arial"/>
          <w:sz w:val="22"/>
          <w:szCs w:val="22"/>
        </w:rPr>
      </w:pPr>
      <w:r w:rsidRPr="007623AA">
        <w:rPr>
          <w:rFonts w:ascii="Arial" w:hAnsi="Arial" w:cs="Arial"/>
          <w:b/>
          <w:bCs/>
          <w:sz w:val="22"/>
          <w:szCs w:val="22"/>
        </w:rPr>
        <w:t>Additional file 10. pTau neuropathological features observed in TgF344-AD primary rat neurons.</w:t>
      </w:r>
      <w:r w:rsidRPr="007623AA">
        <w:rPr>
          <w:rFonts w:ascii="Arial" w:hAnsi="Arial" w:cs="Arial"/>
          <w:sz w:val="22"/>
          <w:szCs w:val="22"/>
        </w:rPr>
        <w:t xml:space="preserve"> </w:t>
      </w:r>
      <w:r w:rsidRPr="007623AA">
        <w:rPr>
          <w:rFonts w:ascii="Arial" w:hAnsi="Arial" w:cs="Arial"/>
          <w:b/>
          <w:sz w:val="22"/>
          <w:szCs w:val="22"/>
        </w:rPr>
        <w:t>a</w:t>
      </w:r>
      <w:r w:rsidRPr="007623AA">
        <w:rPr>
          <w:rFonts w:ascii="Calibri" w:hAnsi="Calibri" w:cs="Calibri"/>
          <w:sz w:val="22"/>
          <w:szCs w:val="22"/>
        </w:rPr>
        <w:t>−</w:t>
      </w:r>
      <w:r w:rsidRPr="007623AA">
        <w:rPr>
          <w:rFonts w:ascii="Arial" w:hAnsi="Arial" w:cs="Arial"/>
          <w:b/>
          <w:sz w:val="22"/>
          <w:szCs w:val="22"/>
        </w:rPr>
        <w:t>c</w:t>
      </w:r>
      <w:r w:rsidRPr="007623AA">
        <w:rPr>
          <w:rFonts w:ascii="Arial" w:hAnsi="Arial" w:cs="Arial"/>
          <w:sz w:val="22"/>
          <w:szCs w:val="22"/>
        </w:rPr>
        <w:t>, Representative ICC images of neurons at 14 dpe to apoE4 and Aβ42, treated with DMSO only as a control, and labeled for Aβ (red), total tau (green), pTau [S202/T205] (white), and cell nuclei (blue). Characteristic pTau neuropathological features were observed including (</w:t>
      </w:r>
      <w:r w:rsidRPr="007623AA">
        <w:rPr>
          <w:rFonts w:ascii="Arial" w:hAnsi="Arial" w:cs="Arial"/>
          <w:b/>
          <w:sz w:val="22"/>
          <w:szCs w:val="22"/>
        </w:rPr>
        <w:t>a</w:t>
      </w:r>
      <w:r w:rsidRPr="007623AA">
        <w:rPr>
          <w:rFonts w:ascii="Arial" w:hAnsi="Arial" w:cs="Arial"/>
          <w:sz w:val="22"/>
          <w:szCs w:val="22"/>
        </w:rPr>
        <w:t>) intracellular and extracellular puncta, (</w:t>
      </w:r>
      <w:r w:rsidRPr="007623AA">
        <w:rPr>
          <w:rFonts w:ascii="Arial" w:hAnsi="Arial" w:cs="Arial"/>
          <w:b/>
          <w:sz w:val="22"/>
          <w:szCs w:val="22"/>
        </w:rPr>
        <w:t>b</w:t>
      </w:r>
      <w:r w:rsidRPr="007623AA">
        <w:rPr>
          <w:rFonts w:ascii="Arial" w:hAnsi="Arial" w:cs="Arial"/>
          <w:sz w:val="22"/>
          <w:szCs w:val="22"/>
        </w:rPr>
        <w:t>) axonal blebbing, and (</w:t>
      </w:r>
      <w:r w:rsidRPr="007623AA">
        <w:rPr>
          <w:rFonts w:ascii="Arial" w:hAnsi="Arial" w:cs="Arial"/>
          <w:b/>
          <w:sz w:val="22"/>
          <w:szCs w:val="22"/>
        </w:rPr>
        <w:t>c</w:t>
      </w:r>
      <w:r w:rsidRPr="007623AA">
        <w:rPr>
          <w:rFonts w:ascii="Arial" w:hAnsi="Arial" w:cs="Arial"/>
          <w:sz w:val="22"/>
          <w:szCs w:val="22"/>
        </w:rPr>
        <w:t>) neuropil thread-like structures. Arrowheads indicate respective pTau neuropathological features. Scale bars = 50 μm.</w:t>
      </w:r>
      <w:r w:rsidRPr="007623AA">
        <w:rPr>
          <w:rFonts w:ascii="Arial" w:hAnsi="Arial" w:cs="Arial"/>
          <w:sz w:val="22"/>
          <w:szCs w:val="22"/>
        </w:rPr>
        <w:br w:type="page"/>
      </w:r>
    </w:p>
    <w:tbl>
      <w:tblPr>
        <w:tblW w:w="9175" w:type="dxa"/>
        <w:tblInd w:w="10" w:type="dxa"/>
        <w:tblBorders>
          <w:top w:val="single" w:sz="4" w:space="0" w:color="auto"/>
          <w:left w:val="single" w:sz="4" w:space="0" w:color="auto"/>
          <w:bottom w:val="single" w:sz="4" w:space="0" w:color="auto"/>
          <w:right w:val="single" w:sz="4" w:space="0" w:color="auto"/>
        </w:tblBorders>
        <w:tblLayout w:type="fixed"/>
        <w:tblCellMar>
          <w:left w:w="10" w:type="dxa"/>
          <w:right w:w="10" w:type="dxa"/>
        </w:tblCellMar>
        <w:tblLook w:val="04A0" w:firstRow="1" w:lastRow="0" w:firstColumn="1" w:lastColumn="0" w:noHBand="0" w:noVBand="1"/>
      </w:tblPr>
      <w:tblGrid>
        <w:gridCol w:w="1255"/>
        <w:gridCol w:w="1350"/>
        <w:gridCol w:w="1620"/>
        <w:gridCol w:w="900"/>
        <w:gridCol w:w="270"/>
        <w:gridCol w:w="1260"/>
        <w:gridCol w:w="1710"/>
        <w:gridCol w:w="810"/>
      </w:tblGrid>
      <w:tr w:rsidR="00FD620C" w:rsidRPr="007623AA" w:rsidTr="00A47EC2">
        <w:trPr>
          <w:trHeight w:val="284"/>
        </w:trPr>
        <w:tc>
          <w:tcPr>
            <w:tcW w:w="1255" w:type="dxa"/>
            <w:shd w:val="clear" w:color="auto" w:fill="auto"/>
            <w:vAlign w:val="bottom"/>
            <w:hideMark/>
          </w:tcPr>
          <w:p w:rsidR="00FD620C" w:rsidRPr="007623AA" w:rsidRDefault="00FD620C" w:rsidP="00A47EC2">
            <w:pPr>
              <w:spacing w:after="120" w:line="360" w:lineRule="auto"/>
              <w:rPr>
                <w:rFonts w:ascii="Arial" w:eastAsia="Times New Roman" w:hAnsi="Arial" w:cs="Arial"/>
                <w:sz w:val="20"/>
                <w:szCs w:val="22"/>
              </w:rPr>
            </w:pPr>
          </w:p>
        </w:tc>
        <w:tc>
          <w:tcPr>
            <w:tcW w:w="3870" w:type="dxa"/>
            <w:gridSpan w:val="3"/>
            <w:tcBorders>
              <w:top w:val="single" w:sz="4" w:space="0" w:color="auto"/>
              <w:bottom w:val="single" w:sz="4" w:space="0" w:color="auto"/>
            </w:tcBorders>
            <w:shd w:val="clear" w:color="auto" w:fill="auto"/>
            <w:vAlign w:val="bottom"/>
            <w:hideMark/>
          </w:tcPr>
          <w:p w:rsidR="00FD620C" w:rsidRPr="007623AA" w:rsidRDefault="00FD620C" w:rsidP="00A47EC2">
            <w:pPr>
              <w:spacing w:after="120" w:line="360" w:lineRule="auto"/>
              <w:jc w:val="center"/>
              <w:rPr>
                <w:rFonts w:ascii="Arial" w:eastAsia="Times New Roman" w:hAnsi="Arial" w:cs="Arial"/>
                <w:b/>
                <w:bCs/>
                <w:sz w:val="20"/>
                <w:szCs w:val="22"/>
              </w:rPr>
            </w:pPr>
            <w:r>
              <w:rPr>
                <w:rFonts w:ascii="Arial" w:eastAsia="Times New Roman" w:hAnsi="Arial" w:cs="Arial"/>
                <w:b/>
                <w:bCs/>
                <w:sz w:val="20"/>
                <w:szCs w:val="22"/>
              </w:rPr>
              <w:t>Imipramine vs. other anti</w:t>
            </w:r>
            <w:r w:rsidRPr="007623AA">
              <w:rPr>
                <w:rFonts w:ascii="Arial" w:eastAsia="Times New Roman" w:hAnsi="Arial" w:cs="Arial"/>
                <w:b/>
                <w:bCs/>
                <w:sz w:val="20"/>
                <w:szCs w:val="22"/>
              </w:rPr>
              <w:t xml:space="preserve">depressants </w:t>
            </w:r>
          </w:p>
        </w:tc>
        <w:tc>
          <w:tcPr>
            <w:tcW w:w="270" w:type="dxa"/>
            <w:shd w:val="clear" w:color="auto" w:fill="auto"/>
            <w:vAlign w:val="bottom"/>
            <w:hideMark/>
          </w:tcPr>
          <w:p w:rsidR="00FD620C" w:rsidRPr="007623AA" w:rsidRDefault="00FD620C" w:rsidP="00A47EC2">
            <w:pPr>
              <w:spacing w:after="120" w:line="360" w:lineRule="auto"/>
              <w:jc w:val="center"/>
              <w:rPr>
                <w:rFonts w:ascii="Arial" w:eastAsia="Times New Roman" w:hAnsi="Arial" w:cs="Arial"/>
                <w:b/>
                <w:bCs/>
                <w:sz w:val="20"/>
                <w:szCs w:val="22"/>
              </w:rPr>
            </w:pPr>
          </w:p>
        </w:tc>
        <w:tc>
          <w:tcPr>
            <w:tcW w:w="3780" w:type="dxa"/>
            <w:gridSpan w:val="3"/>
            <w:tcBorders>
              <w:top w:val="single" w:sz="4" w:space="0" w:color="auto"/>
              <w:bottom w:val="single" w:sz="4" w:space="0" w:color="auto"/>
            </w:tcBorders>
            <w:shd w:val="clear" w:color="auto" w:fill="auto"/>
            <w:vAlign w:val="bottom"/>
            <w:hideMark/>
          </w:tcPr>
          <w:p w:rsidR="00FD620C" w:rsidRPr="007623AA" w:rsidRDefault="00FD620C" w:rsidP="00A47EC2">
            <w:pPr>
              <w:spacing w:after="120" w:line="360" w:lineRule="auto"/>
              <w:jc w:val="center"/>
              <w:rPr>
                <w:rFonts w:ascii="Arial" w:eastAsia="Times New Roman" w:hAnsi="Arial" w:cs="Arial"/>
                <w:b/>
                <w:bCs/>
                <w:sz w:val="20"/>
                <w:szCs w:val="22"/>
              </w:rPr>
            </w:pPr>
            <w:r>
              <w:rPr>
                <w:rFonts w:ascii="Arial" w:eastAsia="Times New Roman" w:hAnsi="Arial" w:cs="Arial"/>
                <w:b/>
                <w:bCs/>
                <w:sz w:val="20"/>
                <w:szCs w:val="22"/>
              </w:rPr>
              <w:t>Olanzapine vs. other anti</w:t>
            </w:r>
            <w:r w:rsidRPr="007623AA">
              <w:rPr>
                <w:rFonts w:ascii="Arial" w:eastAsia="Times New Roman" w:hAnsi="Arial" w:cs="Arial"/>
                <w:b/>
                <w:bCs/>
                <w:sz w:val="20"/>
                <w:szCs w:val="22"/>
              </w:rPr>
              <w:t>psychotics</w:t>
            </w:r>
          </w:p>
        </w:tc>
      </w:tr>
      <w:tr w:rsidR="00FD620C" w:rsidRPr="007623AA" w:rsidTr="00A47EC2">
        <w:trPr>
          <w:trHeight w:val="569"/>
        </w:trPr>
        <w:tc>
          <w:tcPr>
            <w:tcW w:w="1255" w:type="dxa"/>
            <w:tcBorders>
              <w:bottom w:val="single" w:sz="4" w:space="0" w:color="auto"/>
            </w:tcBorders>
            <w:shd w:val="clear" w:color="auto" w:fill="auto"/>
            <w:vAlign w:val="bottom"/>
            <w:hideMark/>
          </w:tcPr>
          <w:p w:rsidR="00FD620C" w:rsidRPr="007623AA" w:rsidRDefault="00FD620C" w:rsidP="00A47EC2">
            <w:pPr>
              <w:spacing w:after="120" w:line="360" w:lineRule="auto"/>
              <w:jc w:val="center"/>
              <w:rPr>
                <w:rFonts w:ascii="Arial" w:eastAsia="Times New Roman" w:hAnsi="Arial" w:cs="Arial"/>
                <w:b/>
                <w:bCs/>
                <w:sz w:val="20"/>
                <w:szCs w:val="22"/>
              </w:rPr>
            </w:pPr>
          </w:p>
        </w:tc>
        <w:tc>
          <w:tcPr>
            <w:tcW w:w="1350" w:type="dxa"/>
            <w:tcBorders>
              <w:top w:val="single" w:sz="4" w:space="0" w:color="auto"/>
              <w:bottom w:val="single" w:sz="4" w:space="0" w:color="auto"/>
            </w:tcBorders>
            <w:shd w:val="clear" w:color="auto" w:fill="auto"/>
            <w:vAlign w:val="bottom"/>
            <w:hideMark/>
          </w:tcPr>
          <w:p w:rsidR="00FD620C" w:rsidRPr="007623AA" w:rsidRDefault="00FD620C" w:rsidP="00A47EC2">
            <w:pPr>
              <w:spacing w:after="120" w:line="360" w:lineRule="auto"/>
              <w:jc w:val="right"/>
              <w:rPr>
                <w:rFonts w:ascii="Arial" w:eastAsia="Times New Roman" w:hAnsi="Arial" w:cs="Arial"/>
                <w:b/>
                <w:bCs/>
                <w:sz w:val="20"/>
                <w:szCs w:val="22"/>
              </w:rPr>
            </w:pPr>
            <w:r w:rsidRPr="007623AA">
              <w:rPr>
                <w:rFonts w:ascii="Arial" w:eastAsia="Times New Roman" w:hAnsi="Arial" w:cs="Arial"/>
                <w:b/>
                <w:bCs/>
                <w:i/>
                <w:iCs/>
                <w:sz w:val="20"/>
                <w:szCs w:val="22"/>
              </w:rPr>
              <w:t>N</w:t>
            </w:r>
            <w:r w:rsidRPr="007623AA">
              <w:rPr>
                <w:rFonts w:ascii="Arial" w:eastAsia="Times New Roman" w:hAnsi="Arial" w:cs="Arial"/>
                <w:b/>
                <w:bCs/>
                <w:sz w:val="20"/>
                <w:szCs w:val="22"/>
              </w:rPr>
              <w:t xml:space="preserve"> subjects imipramine; other anti-depressants</w:t>
            </w:r>
          </w:p>
        </w:tc>
        <w:tc>
          <w:tcPr>
            <w:tcW w:w="1620" w:type="dxa"/>
            <w:tcBorders>
              <w:top w:val="single" w:sz="4" w:space="0" w:color="auto"/>
              <w:bottom w:val="single" w:sz="4" w:space="0" w:color="auto"/>
            </w:tcBorders>
            <w:shd w:val="clear" w:color="auto" w:fill="auto"/>
            <w:vAlign w:val="bottom"/>
            <w:hideMark/>
          </w:tcPr>
          <w:p w:rsidR="00FD620C" w:rsidRPr="007623AA" w:rsidRDefault="00FD620C" w:rsidP="00A47EC2">
            <w:pPr>
              <w:spacing w:after="120" w:line="360" w:lineRule="auto"/>
              <w:jc w:val="right"/>
              <w:rPr>
                <w:rFonts w:ascii="Arial" w:eastAsia="Times New Roman" w:hAnsi="Arial" w:cs="Arial"/>
                <w:b/>
                <w:bCs/>
                <w:sz w:val="20"/>
                <w:szCs w:val="22"/>
              </w:rPr>
            </w:pPr>
            <w:r w:rsidRPr="007623AA">
              <w:rPr>
                <w:rFonts w:ascii="Arial" w:eastAsia="Times New Roman" w:hAnsi="Arial" w:cs="Arial"/>
                <w:b/>
                <w:bCs/>
                <w:sz w:val="20"/>
                <w:szCs w:val="22"/>
              </w:rPr>
              <w:t xml:space="preserve">Estimate </w:t>
            </w:r>
          </w:p>
          <w:p w:rsidR="00FD620C" w:rsidRPr="007623AA" w:rsidRDefault="00FD620C" w:rsidP="00A47EC2">
            <w:pPr>
              <w:spacing w:after="120" w:line="360" w:lineRule="auto"/>
              <w:jc w:val="right"/>
              <w:rPr>
                <w:rFonts w:ascii="Arial" w:eastAsia="Times New Roman" w:hAnsi="Arial" w:cs="Arial"/>
                <w:b/>
                <w:bCs/>
                <w:sz w:val="20"/>
                <w:szCs w:val="22"/>
              </w:rPr>
            </w:pPr>
            <w:r w:rsidRPr="007623AA">
              <w:rPr>
                <w:rFonts w:ascii="Arial" w:eastAsia="Times New Roman" w:hAnsi="Arial" w:cs="Arial"/>
                <w:b/>
                <w:bCs/>
                <w:sz w:val="20"/>
                <w:szCs w:val="22"/>
              </w:rPr>
              <w:t>(95% C.I.)</w:t>
            </w:r>
          </w:p>
        </w:tc>
        <w:tc>
          <w:tcPr>
            <w:tcW w:w="900" w:type="dxa"/>
            <w:tcBorders>
              <w:top w:val="single" w:sz="4" w:space="0" w:color="auto"/>
              <w:bottom w:val="single" w:sz="4" w:space="0" w:color="auto"/>
            </w:tcBorders>
            <w:shd w:val="clear" w:color="auto" w:fill="auto"/>
            <w:vAlign w:val="bottom"/>
            <w:hideMark/>
          </w:tcPr>
          <w:p w:rsidR="00FD620C" w:rsidRPr="007623AA" w:rsidRDefault="00FD620C" w:rsidP="00A47EC2">
            <w:pPr>
              <w:spacing w:after="120" w:line="360" w:lineRule="auto"/>
              <w:jc w:val="right"/>
              <w:rPr>
                <w:rFonts w:ascii="Arial" w:eastAsia="Times New Roman" w:hAnsi="Arial" w:cs="Arial"/>
                <w:b/>
                <w:bCs/>
                <w:sz w:val="20"/>
                <w:szCs w:val="22"/>
              </w:rPr>
            </w:pPr>
            <w:r w:rsidRPr="007623AA">
              <w:rPr>
                <w:rFonts w:ascii="Arial" w:eastAsia="Times New Roman" w:hAnsi="Arial" w:cs="Arial"/>
                <w:b/>
                <w:bCs/>
                <w:i/>
                <w:iCs/>
                <w:sz w:val="20"/>
                <w:szCs w:val="22"/>
              </w:rPr>
              <w:t>P</w:t>
            </w:r>
            <w:r w:rsidRPr="007623AA">
              <w:rPr>
                <w:rFonts w:ascii="Arial" w:eastAsia="Times New Roman" w:hAnsi="Arial" w:cs="Arial"/>
                <w:b/>
                <w:bCs/>
                <w:sz w:val="20"/>
                <w:szCs w:val="22"/>
              </w:rPr>
              <w:t>-val</w:t>
            </w:r>
          </w:p>
        </w:tc>
        <w:tc>
          <w:tcPr>
            <w:tcW w:w="270" w:type="dxa"/>
            <w:tcBorders>
              <w:bottom w:val="single" w:sz="4" w:space="0" w:color="auto"/>
            </w:tcBorders>
            <w:shd w:val="clear" w:color="auto" w:fill="auto"/>
            <w:vAlign w:val="bottom"/>
            <w:hideMark/>
          </w:tcPr>
          <w:p w:rsidR="00FD620C" w:rsidRPr="007623AA" w:rsidRDefault="00FD620C" w:rsidP="00A47EC2">
            <w:pPr>
              <w:spacing w:after="120" w:line="360" w:lineRule="auto"/>
              <w:jc w:val="right"/>
              <w:rPr>
                <w:rFonts w:ascii="Arial" w:eastAsia="Times New Roman" w:hAnsi="Arial" w:cs="Arial"/>
                <w:b/>
                <w:bCs/>
                <w:sz w:val="20"/>
                <w:szCs w:val="22"/>
              </w:rPr>
            </w:pPr>
          </w:p>
        </w:tc>
        <w:tc>
          <w:tcPr>
            <w:tcW w:w="1260" w:type="dxa"/>
            <w:tcBorders>
              <w:top w:val="single" w:sz="4" w:space="0" w:color="auto"/>
              <w:bottom w:val="single" w:sz="4" w:space="0" w:color="auto"/>
            </w:tcBorders>
            <w:shd w:val="clear" w:color="auto" w:fill="auto"/>
            <w:vAlign w:val="bottom"/>
            <w:hideMark/>
          </w:tcPr>
          <w:p w:rsidR="00FD620C" w:rsidRPr="007623AA" w:rsidRDefault="00FD620C" w:rsidP="00A47EC2">
            <w:pPr>
              <w:spacing w:after="120" w:line="360" w:lineRule="auto"/>
              <w:jc w:val="right"/>
              <w:rPr>
                <w:rFonts w:ascii="Arial" w:eastAsia="Times New Roman" w:hAnsi="Arial" w:cs="Arial"/>
                <w:b/>
                <w:bCs/>
                <w:sz w:val="20"/>
                <w:szCs w:val="22"/>
              </w:rPr>
            </w:pPr>
            <w:r w:rsidRPr="007623AA">
              <w:rPr>
                <w:rFonts w:ascii="Arial" w:eastAsia="Times New Roman" w:hAnsi="Arial" w:cs="Arial"/>
                <w:b/>
                <w:bCs/>
                <w:i/>
                <w:iCs/>
                <w:sz w:val="20"/>
                <w:szCs w:val="22"/>
              </w:rPr>
              <w:t>N</w:t>
            </w:r>
            <w:r w:rsidRPr="007623AA">
              <w:rPr>
                <w:rFonts w:ascii="Arial" w:eastAsia="Times New Roman" w:hAnsi="Arial" w:cs="Arial"/>
                <w:b/>
                <w:bCs/>
                <w:sz w:val="20"/>
                <w:szCs w:val="22"/>
              </w:rPr>
              <w:t xml:space="preserve"> subjects olanzapine; other anti-psychotics</w:t>
            </w:r>
          </w:p>
        </w:tc>
        <w:tc>
          <w:tcPr>
            <w:tcW w:w="1710" w:type="dxa"/>
            <w:tcBorders>
              <w:top w:val="single" w:sz="4" w:space="0" w:color="auto"/>
              <w:bottom w:val="single" w:sz="4" w:space="0" w:color="auto"/>
            </w:tcBorders>
            <w:shd w:val="clear" w:color="auto" w:fill="auto"/>
            <w:vAlign w:val="bottom"/>
            <w:hideMark/>
          </w:tcPr>
          <w:p w:rsidR="00FD620C" w:rsidRPr="007623AA" w:rsidRDefault="00FD620C" w:rsidP="00A47EC2">
            <w:pPr>
              <w:spacing w:after="120" w:line="360" w:lineRule="auto"/>
              <w:jc w:val="right"/>
              <w:rPr>
                <w:rFonts w:ascii="Arial" w:eastAsia="Times New Roman" w:hAnsi="Arial" w:cs="Arial"/>
                <w:b/>
                <w:bCs/>
                <w:sz w:val="20"/>
                <w:szCs w:val="22"/>
              </w:rPr>
            </w:pPr>
            <w:r w:rsidRPr="007623AA">
              <w:rPr>
                <w:rFonts w:ascii="Arial" w:eastAsia="Times New Roman" w:hAnsi="Arial" w:cs="Arial"/>
                <w:b/>
                <w:bCs/>
                <w:sz w:val="20"/>
                <w:szCs w:val="22"/>
              </w:rPr>
              <w:t xml:space="preserve">Estimate </w:t>
            </w:r>
          </w:p>
          <w:p w:rsidR="00FD620C" w:rsidRPr="007623AA" w:rsidRDefault="00FD620C" w:rsidP="00A47EC2">
            <w:pPr>
              <w:spacing w:after="120" w:line="360" w:lineRule="auto"/>
              <w:jc w:val="right"/>
              <w:rPr>
                <w:rFonts w:ascii="Arial" w:eastAsia="Times New Roman" w:hAnsi="Arial" w:cs="Arial"/>
                <w:b/>
                <w:bCs/>
                <w:sz w:val="20"/>
                <w:szCs w:val="22"/>
              </w:rPr>
            </w:pPr>
            <w:r w:rsidRPr="007623AA">
              <w:rPr>
                <w:rFonts w:ascii="Arial" w:eastAsia="Times New Roman" w:hAnsi="Arial" w:cs="Arial"/>
                <w:b/>
                <w:bCs/>
                <w:sz w:val="20"/>
                <w:szCs w:val="22"/>
              </w:rPr>
              <w:t>(95% C.I.)</w:t>
            </w:r>
          </w:p>
        </w:tc>
        <w:tc>
          <w:tcPr>
            <w:tcW w:w="810" w:type="dxa"/>
            <w:tcBorders>
              <w:top w:val="single" w:sz="4" w:space="0" w:color="auto"/>
              <w:bottom w:val="single" w:sz="4" w:space="0" w:color="auto"/>
            </w:tcBorders>
            <w:shd w:val="clear" w:color="auto" w:fill="auto"/>
            <w:vAlign w:val="bottom"/>
            <w:hideMark/>
          </w:tcPr>
          <w:p w:rsidR="00FD620C" w:rsidRPr="007623AA" w:rsidRDefault="00FD620C" w:rsidP="00A47EC2">
            <w:pPr>
              <w:spacing w:after="120" w:line="360" w:lineRule="auto"/>
              <w:jc w:val="right"/>
              <w:rPr>
                <w:rFonts w:ascii="Arial" w:eastAsia="Times New Roman" w:hAnsi="Arial" w:cs="Arial"/>
                <w:b/>
                <w:bCs/>
                <w:sz w:val="20"/>
                <w:szCs w:val="22"/>
              </w:rPr>
            </w:pPr>
            <w:r w:rsidRPr="007623AA">
              <w:rPr>
                <w:rFonts w:ascii="Arial" w:eastAsia="Times New Roman" w:hAnsi="Arial" w:cs="Arial"/>
                <w:b/>
                <w:bCs/>
                <w:i/>
                <w:iCs/>
                <w:sz w:val="20"/>
                <w:szCs w:val="22"/>
              </w:rPr>
              <w:t>P</w:t>
            </w:r>
            <w:r w:rsidRPr="007623AA">
              <w:rPr>
                <w:rFonts w:ascii="Arial" w:eastAsia="Times New Roman" w:hAnsi="Arial" w:cs="Arial"/>
                <w:b/>
                <w:bCs/>
                <w:sz w:val="20"/>
                <w:szCs w:val="22"/>
              </w:rPr>
              <w:t>-val</w:t>
            </w:r>
          </w:p>
        </w:tc>
      </w:tr>
      <w:tr w:rsidR="00FD620C" w:rsidRPr="007623AA" w:rsidTr="00A47EC2">
        <w:trPr>
          <w:trHeight w:val="341"/>
        </w:trPr>
        <w:tc>
          <w:tcPr>
            <w:tcW w:w="9175" w:type="dxa"/>
            <w:gridSpan w:val="8"/>
            <w:tcBorders>
              <w:top w:val="single" w:sz="4" w:space="0" w:color="auto"/>
              <w:bottom w:val="single" w:sz="4" w:space="0" w:color="auto"/>
            </w:tcBorders>
            <w:shd w:val="clear" w:color="auto" w:fill="auto"/>
            <w:vAlign w:val="center"/>
            <w:hideMark/>
          </w:tcPr>
          <w:p w:rsidR="00FD620C" w:rsidRPr="007623AA" w:rsidRDefault="00FD620C" w:rsidP="00A47EC2">
            <w:pPr>
              <w:spacing w:after="120" w:line="360" w:lineRule="auto"/>
              <w:rPr>
                <w:rFonts w:ascii="Arial" w:eastAsia="Times New Roman" w:hAnsi="Arial" w:cs="Arial"/>
                <w:sz w:val="20"/>
                <w:szCs w:val="22"/>
              </w:rPr>
            </w:pPr>
            <w:r w:rsidRPr="007623AA">
              <w:rPr>
                <w:rFonts w:ascii="Arial" w:eastAsia="Times New Roman" w:hAnsi="Arial" w:cs="Arial"/>
                <w:b/>
                <w:bCs/>
                <w:sz w:val="20"/>
                <w:szCs w:val="22"/>
              </w:rPr>
              <w:t>Cognitive exam, ΔMMSE score/year</w:t>
            </w:r>
          </w:p>
        </w:tc>
      </w:tr>
      <w:tr w:rsidR="00FD620C" w:rsidRPr="007623AA" w:rsidTr="00A47EC2">
        <w:trPr>
          <w:trHeight w:val="284"/>
        </w:trPr>
        <w:tc>
          <w:tcPr>
            <w:tcW w:w="1255" w:type="dxa"/>
            <w:tcBorders>
              <w:top w:val="single" w:sz="4" w:space="0" w:color="auto"/>
            </w:tcBorders>
            <w:shd w:val="clear" w:color="auto" w:fill="E7E6E6" w:themeFill="background2"/>
            <w:vAlign w:val="bottom"/>
            <w:hideMark/>
          </w:tcPr>
          <w:p w:rsidR="00FD620C" w:rsidRPr="007623AA" w:rsidRDefault="00FD620C" w:rsidP="00A47EC2">
            <w:pPr>
              <w:spacing w:after="120" w:line="360" w:lineRule="auto"/>
              <w:rPr>
                <w:rFonts w:ascii="Arial" w:eastAsia="Times New Roman" w:hAnsi="Arial" w:cs="Arial"/>
                <w:sz w:val="20"/>
                <w:szCs w:val="22"/>
              </w:rPr>
            </w:pPr>
            <w:r w:rsidRPr="007623AA">
              <w:rPr>
                <w:rFonts w:ascii="Arial" w:eastAsia="Times New Roman" w:hAnsi="Arial" w:cs="Arial"/>
                <w:sz w:val="20"/>
                <w:szCs w:val="22"/>
              </w:rPr>
              <w:t>All subjects</w:t>
            </w:r>
          </w:p>
        </w:tc>
        <w:tc>
          <w:tcPr>
            <w:tcW w:w="1350" w:type="dxa"/>
            <w:tcBorders>
              <w:top w:val="single" w:sz="4" w:space="0" w:color="auto"/>
            </w:tcBorders>
            <w:shd w:val="clear" w:color="auto" w:fill="E7E6E6" w:themeFill="background2"/>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40; 6,299</w:t>
            </w:r>
          </w:p>
        </w:tc>
        <w:tc>
          <w:tcPr>
            <w:tcW w:w="1620" w:type="dxa"/>
            <w:tcBorders>
              <w:top w:val="single" w:sz="4" w:space="0" w:color="auto"/>
            </w:tcBorders>
            <w:shd w:val="clear" w:color="auto" w:fill="E7E6E6" w:themeFill="background2"/>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0.3295</w:t>
            </w:r>
          </w:p>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 xml:space="preserve"> (-0.0792, 0.7381)</w:t>
            </w:r>
          </w:p>
        </w:tc>
        <w:tc>
          <w:tcPr>
            <w:tcW w:w="900" w:type="dxa"/>
            <w:tcBorders>
              <w:top w:val="single" w:sz="4" w:space="0" w:color="auto"/>
            </w:tcBorders>
            <w:shd w:val="clear" w:color="auto" w:fill="E7E6E6" w:themeFill="background2"/>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0.1140</w:t>
            </w:r>
          </w:p>
        </w:tc>
        <w:tc>
          <w:tcPr>
            <w:tcW w:w="270" w:type="dxa"/>
            <w:tcBorders>
              <w:top w:val="single" w:sz="4" w:space="0" w:color="auto"/>
            </w:tcBorders>
            <w:shd w:val="clear" w:color="auto" w:fill="E7E6E6" w:themeFill="background2"/>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p>
        </w:tc>
        <w:tc>
          <w:tcPr>
            <w:tcW w:w="1260" w:type="dxa"/>
            <w:tcBorders>
              <w:top w:val="single" w:sz="4" w:space="0" w:color="auto"/>
            </w:tcBorders>
            <w:shd w:val="clear" w:color="auto" w:fill="E7E6E6" w:themeFill="background2"/>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94; 793</w:t>
            </w:r>
          </w:p>
        </w:tc>
        <w:tc>
          <w:tcPr>
            <w:tcW w:w="1710" w:type="dxa"/>
            <w:tcBorders>
              <w:top w:val="single" w:sz="4" w:space="0" w:color="auto"/>
            </w:tcBorders>
            <w:shd w:val="clear" w:color="auto" w:fill="E7E6E6" w:themeFill="background2"/>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0.4316</w:t>
            </w:r>
          </w:p>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 xml:space="preserve"> (-0.0146, 0.8778)</w:t>
            </w:r>
          </w:p>
        </w:tc>
        <w:tc>
          <w:tcPr>
            <w:tcW w:w="810" w:type="dxa"/>
            <w:tcBorders>
              <w:top w:val="single" w:sz="4" w:space="0" w:color="auto"/>
            </w:tcBorders>
            <w:shd w:val="clear" w:color="auto" w:fill="E7E6E6" w:themeFill="background2"/>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0.0580</w:t>
            </w:r>
          </w:p>
        </w:tc>
      </w:tr>
      <w:tr w:rsidR="00FD620C" w:rsidRPr="007623AA" w:rsidTr="00A47EC2">
        <w:trPr>
          <w:trHeight w:val="284"/>
        </w:trPr>
        <w:tc>
          <w:tcPr>
            <w:tcW w:w="1255" w:type="dxa"/>
            <w:tcBorders>
              <w:bottom w:val="nil"/>
            </w:tcBorders>
            <w:shd w:val="clear" w:color="auto" w:fill="auto"/>
            <w:vAlign w:val="bottom"/>
            <w:hideMark/>
          </w:tcPr>
          <w:p w:rsidR="00FD620C" w:rsidRPr="007623AA" w:rsidRDefault="00FD620C" w:rsidP="00A47EC2">
            <w:pPr>
              <w:spacing w:after="120" w:line="360" w:lineRule="auto"/>
              <w:rPr>
                <w:rFonts w:ascii="Arial" w:eastAsia="Times New Roman" w:hAnsi="Arial" w:cs="Arial"/>
                <w:iCs/>
                <w:sz w:val="20"/>
                <w:szCs w:val="22"/>
              </w:rPr>
            </w:pPr>
            <w:r w:rsidRPr="007623AA">
              <w:rPr>
                <w:rFonts w:ascii="Arial" w:eastAsia="Times New Roman" w:hAnsi="Arial" w:cs="Arial"/>
                <w:i/>
                <w:iCs/>
                <w:sz w:val="20"/>
                <w:szCs w:val="22"/>
              </w:rPr>
              <w:t>APOE4</w:t>
            </w:r>
            <w:r w:rsidRPr="007623AA">
              <w:rPr>
                <w:rFonts w:ascii="Arial" w:eastAsia="Times New Roman" w:hAnsi="Arial" w:cs="Arial"/>
                <w:iCs/>
                <w:sz w:val="20"/>
                <w:szCs w:val="22"/>
              </w:rPr>
              <w:t xml:space="preserve"> </w:t>
            </w:r>
            <w:r w:rsidRPr="007623AA">
              <w:rPr>
                <w:rFonts w:ascii="Arial" w:eastAsia="Times New Roman" w:hAnsi="Arial" w:cs="Arial"/>
                <w:sz w:val="20"/>
                <w:szCs w:val="22"/>
              </w:rPr>
              <w:t>carriers</w:t>
            </w:r>
          </w:p>
        </w:tc>
        <w:tc>
          <w:tcPr>
            <w:tcW w:w="1350" w:type="dxa"/>
            <w:tcBorders>
              <w:bottom w:val="nil"/>
            </w:tcBorders>
            <w:shd w:val="clear" w:color="auto" w:fill="auto"/>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9; 2,733</w:t>
            </w:r>
          </w:p>
        </w:tc>
        <w:tc>
          <w:tcPr>
            <w:tcW w:w="1620" w:type="dxa"/>
            <w:tcBorders>
              <w:bottom w:val="nil"/>
            </w:tcBorders>
            <w:shd w:val="clear" w:color="auto" w:fill="auto"/>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 xml:space="preserve">0.0559 </w:t>
            </w:r>
          </w:p>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(-0.4456, 0.5575)</w:t>
            </w:r>
          </w:p>
        </w:tc>
        <w:tc>
          <w:tcPr>
            <w:tcW w:w="900" w:type="dxa"/>
            <w:tcBorders>
              <w:bottom w:val="nil"/>
            </w:tcBorders>
            <w:shd w:val="clear" w:color="auto" w:fill="auto"/>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0.8270</w:t>
            </w:r>
          </w:p>
        </w:tc>
        <w:tc>
          <w:tcPr>
            <w:tcW w:w="270" w:type="dxa"/>
            <w:tcBorders>
              <w:bottom w:val="nil"/>
            </w:tcBorders>
            <w:shd w:val="clear" w:color="auto" w:fill="auto"/>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p>
        </w:tc>
        <w:tc>
          <w:tcPr>
            <w:tcW w:w="1260" w:type="dxa"/>
            <w:tcBorders>
              <w:bottom w:val="nil"/>
            </w:tcBorders>
            <w:shd w:val="clear" w:color="auto" w:fill="auto"/>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51; 352</w:t>
            </w:r>
          </w:p>
        </w:tc>
        <w:tc>
          <w:tcPr>
            <w:tcW w:w="1710" w:type="dxa"/>
            <w:tcBorders>
              <w:bottom w:val="nil"/>
            </w:tcBorders>
            <w:shd w:val="clear" w:color="auto" w:fill="auto"/>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 xml:space="preserve">0.6004 </w:t>
            </w:r>
          </w:p>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(-0.0683, 1.2692)</w:t>
            </w:r>
          </w:p>
        </w:tc>
        <w:tc>
          <w:tcPr>
            <w:tcW w:w="810" w:type="dxa"/>
            <w:tcBorders>
              <w:bottom w:val="nil"/>
            </w:tcBorders>
            <w:shd w:val="clear" w:color="auto" w:fill="auto"/>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0.0784</w:t>
            </w:r>
          </w:p>
        </w:tc>
      </w:tr>
      <w:tr w:rsidR="00FD620C" w:rsidRPr="007623AA" w:rsidTr="00A47EC2">
        <w:trPr>
          <w:trHeight w:val="284"/>
        </w:trPr>
        <w:tc>
          <w:tcPr>
            <w:tcW w:w="1255" w:type="dxa"/>
            <w:tcBorders>
              <w:top w:val="nil"/>
              <w:bottom w:val="single" w:sz="4" w:space="0" w:color="auto"/>
            </w:tcBorders>
            <w:shd w:val="clear" w:color="auto" w:fill="E7E6E6" w:themeFill="background2"/>
            <w:vAlign w:val="bottom"/>
            <w:hideMark/>
          </w:tcPr>
          <w:p w:rsidR="00FD620C" w:rsidRPr="007623AA" w:rsidRDefault="00FD620C" w:rsidP="00A47EC2">
            <w:pPr>
              <w:spacing w:after="120" w:line="360" w:lineRule="auto"/>
              <w:rPr>
                <w:rFonts w:ascii="Arial" w:eastAsia="Times New Roman" w:hAnsi="Arial" w:cs="Arial"/>
                <w:sz w:val="20"/>
                <w:szCs w:val="22"/>
              </w:rPr>
            </w:pPr>
            <w:r w:rsidRPr="007623AA">
              <w:rPr>
                <w:rFonts w:ascii="Arial" w:eastAsia="Times New Roman" w:hAnsi="Arial" w:cs="Arial"/>
                <w:i/>
                <w:iCs/>
                <w:sz w:val="20"/>
                <w:szCs w:val="22"/>
              </w:rPr>
              <w:t>APOE4</w:t>
            </w:r>
            <w:r w:rsidRPr="007623AA">
              <w:rPr>
                <w:rFonts w:ascii="Arial" w:eastAsia="Times New Roman" w:hAnsi="Arial" w:cs="Arial"/>
                <w:sz w:val="20"/>
                <w:szCs w:val="22"/>
              </w:rPr>
              <w:t xml:space="preserve"> non-carriers</w:t>
            </w:r>
          </w:p>
        </w:tc>
        <w:tc>
          <w:tcPr>
            <w:tcW w:w="1350" w:type="dxa"/>
            <w:tcBorders>
              <w:top w:val="nil"/>
              <w:bottom w:val="single" w:sz="4" w:space="0" w:color="auto"/>
            </w:tcBorders>
            <w:shd w:val="clear" w:color="auto" w:fill="E7E6E6" w:themeFill="background2"/>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31; 3,467</w:t>
            </w:r>
          </w:p>
        </w:tc>
        <w:tc>
          <w:tcPr>
            <w:tcW w:w="1620" w:type="dxa"/>
            <w:tcBorders>
              <w:top w:val="nil"/>
              <w:bottom w:val="single" w:sz="4" w:space="0" w:color="auto"/>
            </w:tcBorders>
            <w:shd w:val="clear" w:color="auto" w:fill="E7E6E6" w:themeFill="background2"/>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 xml:space="preserve">0.5602 </w:t>
            </w:r>
          </w:p>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(-0.3377, 1.4582)</w:t>
            </w:r>
          </w:p>
        </w:tc>
        <w:tc>
          <w:tcPr>
            <w:tcW w:w="900" w:type="dxa"/>
            <w:tcBorders>
              <w:top w:val="nil"/>
              <w:bottom w:val="single" w:sz="4" w:space="0" w:color="auto"/>
            </w:tcBorders>
            <w:shd w:val="clear" w:color="auto" w:fill="E7E6E6" w:themeFill="background2"/>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0.2214</w:t>
            </w:r>
          </w:p>
        </w:tc>
        <w:tc>
          <w:tcPr>
            <w:tcW w:w="270" w:type="dxa"/>
            <w:tcBorders>
              <w:top w:val="nil"/>
              <w:bottom w:val="single" w:sz="4" w:space="0" w:color="auto"/>
            </w:tcBorders>
            <w:shd w:val="clear" w:color="auto" w:fill="E7E6E6" w:themeFill="background2"/>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p>
        </w:tc>
        <w:tc>
          <w:tcPr>
            <w:tcW w:w="1260" w:type="dxa"/>
            <w:tcBorders>
              <w:top w:val="nil"/>
              <w:bottom w:val="single" w:sz="4" w:space="0" w:color="auto"/>
            </w:tcBorders>
            <w:shd w:val="clear" w:color="auto" w:fill="E7E6E6" w:themeFill="background2"/>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43; 441</w:t>
            </w:r>
          </w:p>
        </w:tc>
        <w:tc>
          <w:tcPr>
            <w:tcW w:w="1710" w:type="dxa"/>
            <w:tcBorders>
              <w:top w:val="nil"/>
              <w:bottom w:val="single" w:sz="4" w:space="0" w:color="auto"/>
            </w:tcBorders>
            <w:shd w:val="clear" w:color="auto" w:fill="E7E6E6" w:themeFill="background2"/>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 xml:space="preserve">0.3417 </w:t>
            </w:r>
          </w:p>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(-0.3306, 1.0139)</w:t>
            </w:r>
          </w:p>
        </w:tc>
        <w:tc>
          <w:tcPr>
            <w:tcW w:w="810" w:type="dxa"/>
            <w:tcBorders>
              <w:top w:val="nil"/>
              <w:bottom w:val="single" w:sz="4" w:space="0" w:color="auto"/>
            </w:tcBorders>
            <w:shd w:val="clear" w:color="auto" w:fill="E7E6E6" w:themeFill="background2"/>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0.3191</w:t>
            </w:r>
          </w:p>
        </w:tc>
      </w:tr>
    </w:tbl>
    <w:p w:rsidR="00FD620C" w:rsidRPr="007623AA" w:rsidRDefault="00FD620C" w:rsidP="00FD620C">
      <w:pPr>
        <w:spacing w:after="120" w:line="360" w:lineRule="auto"/>
        <w:rPr>
          <w:rFonts w:ascii="Arial" w:hAnsi="Arial" w:cs="Arial"/>
          <w:b/>
          <w:sz w:val="22"/>
          <w:szCs w:val="22"/>
        </w:rPr>
      </w:pPr>
    </w:p>
    <w:p w:rsidR="00FD620C" w:rsidRPr="007623AA" w:rsidRDefault="00FD620C" w:rsidP="00FD620C">
      <w:pPr>
        <w:spacing w:after="120" w:line="360" w:lineRule="auto"/>
        <w:rPr>
          <w:rFonts w:ascii="Arial" w:hAnsi="Arial" w:cs="Arial"/>
          <w:b/>
          <w:sz w:val="22"/>
          <w:szCs w:val="22"/>
        </w:rPr>
      </w:pPr>
      <w:r w:rsidRPr="007623AA">
        <w:rPr>
          <w:rFonts w:ascii="Arial" w:hAnsi="Arial" w:cs="Arial"/>
          <w:b/>
          <w:sz w:val="22"/>
          <w:szCs w:val="22"/>
        </w:rPr>
        <w:t>Additional file 11. Retrospective analysis of NACC dataset for cognition including baseline MMSE covariates.</w:t>
      </w:r>
      <w:r w:rsidRPr="007623AA">
        <w:rPr>
          <w:rFonts w:ascii="Arial" w:hAnsi="Arial" w:cs="Arial"/>
          <w:sz w:val="22"/>
          <w:szCs w:val="22"/>
        </w:rPr>
        <w:t xml:space="preserve"> The cumulative exposure of imipramine </w:t>
      </w:r>
      <w:r>
        <w:rPr>
          <w:rFonts w:ascii="Arial" w:hAnsi="Arial" w:cs="Arial"/>
          <w:sz w:val="22"/>
          <w:szCs w:val="22"/>
        </w:rPr>
        <w:t>and other anti</w:t>
      </w:r>
      <w:r w:rsidRPr="007623AA">
        <w:rPr>
          <w:rFonts w:ascii="Arial" w:hAnsi="Arial" w:cs="Arial"/>
          <w:sz w:val="22"/>
          <w:szCs w:val="22"/>
        </w:rPr>
        <w:t>depressants were compared and the on/off stat</w:t>
      </w:r>
      <w:r>
        <w:rPr>
          <w:rFonts w:ascii="Arial" w:hAnsi="Arial" w:cs="Arial"/>
          <w:sz w:val="22"/>
          <w:szCs w:val="22"/>
        </w:rPr>
        <w:t>us of olanzapine and other anti</w:t>
      </w:r>
      <w:r w:rsidRPr="007623AA">
        <w:rPr>
          <w:rFonts w:ascii="Arial" w:hAnsi="Arial" w:cs="Arial"/>
          <w:sz w:val="22"/>
          <w:szCs w:val="22"/>
        </w:rPr>
        <w:t>psychotics were compared, using regression modeling for statistical comparisons of cognitive exam and including the baseline MMSE score as a covariate.</w:t>
      </w:r>
      <w:r w:rsidRPr="007623AA">
        <w:rPr>
          <w:rFonts w:ascii="Arial" w:hAnsi="Arial" w:cs="Arial"/>
          <w:b/>
          <w:sz w:val="22"/>
          <w:szCs w:val="22"/>
        </w:rPr>
        <w:br w:type="page"/>
      </w:r>
    </w:p>
    <w:tbl>
      <w:tblPr>
        <w:tblW w:w="9435" w:type="dxa"/>
        <w:tblInd w:w="10" w:type="dxa"/>
        <w:tblBorders>
          <w:top w:val="single" w:sz="4" w:space="0" w:color="auto"/>
          <w:left w:val="single" w:sz="4" w:space="0" w:color="auto"/>
          <w:bottom w:val="single" w:sz="4" w:space="0" w:color="auto"/>
          <w:right w:val="single" w:sz="4" w:space="0" w:color="auto"/>
        </w:tblBorders>
        <w:tblLayout w:type="fixed"/>
        <w:tblCellMar>
          <w:left w:w="10" w:type="dxa"/>
          <w:right w:w="10" w:type="dxa"/>
        </w:tblCellMar>
        <w:tblLook w:val="04A0" w:firstRow="1" w:lastRow="0" w:firstColumn="1" w:lastColumn="0" w:noHBand="0" w:noVBand="1"/>
      </w:tblPr>
      <w:tblGrid>
        <w:gridCol w:w="1335"/>
        <w:gridCol w:w="864"/>
        <w:gridCol w:w="864"/>
        <w:gridCol w:w="576"/>
        <w:gridCol w:w="576"/>
        <w:gridCol w:w="864"/>
        <w:gridCol w:w="396"/>
        <w:gridCol w:w="90"/>
        <w:gridCol w:w="180"/>
        <w:gridCol w:w="684"/>
        <w:gridCol w:w="864"/>
        <w:gridCol w:w="576"/>
        <w:gridCol w:w="576"/>
        <w:gridCol w:w="864"/>
        <w:gridCol w:w="126"/>
      </w:tblGrid>
      <w:tr w:rsidR="00FD620C" w:rsidRPr="007623AA" w:rsidTr="00A47EC2">
        <w:trPr>
          <w:trHeight w:val="284"/>
        </w:trPr>
        <w:tc>
          <w:tcPr>
            <w:tcW w:w="1335" w:type="dxa"/>
            <w:shd w:val="clear" w:color="auto" w:fill="auto"/>
            <w:vAlign w:val="bottom"/>
            <w:hideMark/>
          </w:tcPr>
          <w:p w:rsidR="00FD620C" w:rsidRPr="007623AA" w:rsidRDefault="00FD620C" w:rsidP="00A47EC2">
            <w:pPr>
              <w:spacing w:after="120" w:line="360" w:lineRule="auto"/>
              <w:rPr>
                <w:rFonts w:ascii="Arial" w:eastAsia="Times New Roman" w:hAnsi="Arial" w:cs="Arial"/>
                <w:sz w:val="20"/>
                <w:szCs w:val="22"/>
              </w:rPr>
            </w:pPr>
          </w:p>
        </w:tc>
        <w:tc>
          <w:tcPr>
            <w:tcW w:w="4140" w:type="dxa"/>
            <w:gridSpan w:val="6"/>
            <w:tcBorders>
              <w:top w:val="single" w:sz="4" w:space="0" w:color="auto"/>
              <w:bottom w:val="single" w:sz="4" w:space="0" w:color="auto"/>
            </w:tcBorders>
            <w:shd w:val="clear" w:color="auto" w:fill="auto"/>
            <w:vAlign w:val="bottom"/>
            <w:hideMark/>
          </w:tcPr>
          <w:p w:rsidR="00FD620C" w:rsidRPr="007623AA" w:rsidRDefault="00FD620C" w:rsidP="00A47EC2">
            <w:pPr>
              <w:spacing w:after="120" w:line="360" w:lineRule="auto"/>
              <w:jc w:val="center"/>
              <w:rPr>
                <w:rFonts w:ascii="Arial" w:eastAsia="Times New Roman" w:hAnsi="Arial" w:cs="Arial"/>
                <w:b/>
                <w:bCs/>
                <w:sz w:val="20"/>
                <w:szCs w:val="22"/>
              </w:rPr>
            </w:pPr>
            <w:r w:rsidRPr="007623AA">
              <w:rPr>
                <w:rFonts w:ascii="Arial" w:eastAsia="Times New Roman" w:hAnsi="Arial" w:cs="Arial"/>
                <w:b/>
                <w:bCs/>
                <w:sz w:val="20"/>
                <w:szCs w:val="22"/>
              </w:rPr>
              <w:t xml:space="preserve">Imipramine vs. placebo </w:t>
            </w:r>
          </w:p>
        </w:tc>
        <w:tc>
          <w:tcPr>
            <w:tcW w:w="270" w:type="dxa"/>
            <w:gridSpan w:val="2"/>
            <w:shd w:val="clear" w:color="auto" w:fill="auto"/>
            <w:vAlign w:val="bottom"/>
            <w:hideMark/>
          </w:tcPr>
          <w:p w:rsidR="00FD620C" w:rsidRPr="007623AA" w:rsidRDefault="00FD620C" w:rsidP="00A47EC2">
            <w:pPr>
              <w:spacing w:after="120" w:line="360" w:lineRule="auto"/>
              <w:jc w:val="center"/>
              <w:rPr>
                <w:rFonts w:ascii="Arial" w:eastAsia="Times New Roman" w:hAnsi="Arial" w:cs="Arial"/>
                <w:b/>
                <w:bCs/>
                <w:sz w:val="20"/>
                <w:szCs w:val="22"/>
              </w:rPr>
            </w:pPr>
          </w:p>
        </w:tc>
        <w:tc>
          <w:tcPr>
            <w:tcW w:w="3690" w:type="dxa"/>
            <w:gridSpan w:val="6"/>
            <w:tcBorders>
              <w:top w:val="single" w:sz="4" w:space="0" w:color="auto"/>
              <w:bottom w:val="single" w:sz="4" w:space="0" w:color="auto"/>
            </w:tcBorders>
            <w:shd w:val="clear" w:color="auto" w:fill="auto"/>
            <w:vAlign w:val="bottom"/>
            <w:hideMark/>
          </w:tcPr>
          <w:p w:rsidR="00FD620C" w:rsidRPr="007623AA" w:rsidRDefault="00FD620C" w:rsidP="00A47EC2">
            <w:pPr>
              <w:spacing w:after="120" w:line="360" w:lineRule="auto"/>
              <w:jc w:val="center"/>
              <w:rPr>
                <w:rFonts w:ascii="Arial" w:eastAsia="Times New Roman" w:hAnsi="Arial" w:cs="Arial"/>
                <w:b/>
                <w:bCs/>
                <w:sz w:val="20"/>
                <w:szCs w:val="22"/>
              </w:rPr>
            </w:pPr>
            <w:r w:rsidRPr="007623AA">
              <w:rPr>
                <w:rFonts w:ascii="Arial" w:eastAsia="Times New Roman" w:hAnsi="Arial" w:cs="Arial"/>
                <w:b/>
                <w:bCs/>
                <w:sz w:val="20"/>
                <w:szCs w:val="22"/>
              </w:rPr>
              <w:t>Olanzapine vs. placebo</w:t>
            </w:r>
          </w:p>
        </w:tc>
      </w:tr>
      <w:tr w:rsidR="00FD620C" w:rsidRPr="007623AA" w:rsidTr="00A47EC2">
        <w:trPr>
          <w:trHeight w:val="569"/>
        </w:trPr>
        <w:tc>
          <w:tcPr>
            <w:tcW w:w="1335" w:type="dxa"/>
            <w:tcBorders>
              <w:bottom w:val="single" w:sz="4" w:space="0" w:color="auto"/>
            </w:tcBorders>
            <w:shd w:val="clear" w:color="auto" w:fill="auto"/>
            <w:vAlign w:val="bottom"/>
            <w:hideMark/>
          </w:tcPr>
          <w:p w:rsidR="00FD620C" w:rsidRPr="007623AA" w:rsidRDefault="00FD620C" w:rsidP="00A47EC2">
            <w:pPr>
              <w:spacing w:after="120" w:line="360" w:lineRule="auto"/>
              <w:jc w:val="center"/>
              <w:rPr>
                <w:rFonts w:ascii="Arial" w:eastAsia="Times New Roman" w:hAnsi="Arial" w:cs="Arial"/>
                <w:b/>
                <w:bCs/>
                <w:sz w:val="20"/>
                <w:szCs w:val="22"/>
              </w:rPr>
            </w:pPr>
          </w:p>
        </w:tc>
        <w:tc>
          <w:tcPr>
            <w:tcW w:w="864" w:type="dxa"/>
            <w:tcBorders>
              <w:top w:val="single" w:sz="4" w:space="0" w:color="auto"/>
              <w:bottom w:val="single" w:sz="4" w:space="0" w:color="auto"/>
            </w:tcBorders>
            <w:shd w:val="clear" w:color="auto" w:fill="auto"/>
            <w:vAlign w:val="bottom"/>
            <w:hideMark/>
          </w:tcPr>
          <w:p w:rsidR="00FD620C" w:rsidRPr="007623AA" w:rsidRDefault="00FD620C" w:rsidP="00A47EC2">
            <w:pPr>
              <w:spacing w:after="120" w:line="360" w:lineRule="auto"/>
              <w:jc w:val="right"/>
              <w:rPr>
                <w:rFonts w:ascii="Arial" w:eastAsia="Times New Roman" w:hAnsi="Arial" w:cs="Arial"/>
                <w:b/>
                <w:bCs/>
                <w:sz w:val="20"/>
                <w:szCs w:val="22"/>
              </w:rPr>
            </w:pPr>
            <w:r w:rsidRPr="007623AA">
              <w:rPr>
                <w:rFonts w:ascii="Arial" w:eastAsia="Times New Roman" w:hAnsi="Arial" w:cs="Arial"/>
                <w:b/>
                <w:bCs/>
                <w:sz w:val="20"/>
                <w:szCs w:val="22"/>
              </w:rPr>
              <w:t>Effect size</w:t>
            </w:r>
          </w:p>
        </w:tc>
        <w:tc>
          <w:tcPr>
            <w:tcW w:w="864" w:type="dxa"/>
            <w:tcBorders>
              <w:top w:val="single" w:sz="4" w:space="0" w:color="auto"/>
              <w:bottom w:val="single" w:sz="4" w:space="0" w:color="auto"/>
            </w:tcBorders>
            <w:shd w:val="clear" w:color="auto" w:fill="auto"/>
            <w:vAlign w:val="bottom"/>
            <w:hideMark/>
          </w:tcPr>
          <w:p w:rsidR="00FD620C" w:rsidRPr="007623AA" w:rsidRDefault="00FD620C" w:rsidP="00A47EC2">
            <w:pPr>
              <w:spacing w:after="120" w:line="360" w:lineRule="auto"/>
              <w:jc w:val="right"/>
              <w:rPr>
                <w:rFonts w:ascii="Arial" w:eastAsia="Times New Roman" w:hAnsi="Arial" w:cs="Arial"/>
                <w:b/>
                <w:bCs/>
                <w:sz w:val="20"/>
                <w:szCs w:val="22"/>
              </w:rPr>
            </w:pPr>
            <w:r w:rsidRPr="007623AA">
              <w:rPr>
                <w:rFonts w:ascii="Arial" w:eastAsia="Times New Roman" w:hAnsi="Arial" w:cs="Arial"/>
                <w:b/>
                <w:bCs/>
                <w:sz w:val="20"/>
                <w:szCs w:val="22"/>
              </w:rPr>
              <w:t>Std dev</w:t>
            </w:r>
          </w:p>
        </w:tc>
        <w:tc>
          <w:tcPr>
            <w:tcW w:w="576" w:type="dxa"/>
            <w:tcBorders>
              <w:top w:val="single" w:sz="4" w:space="0" w:color="auto"/>
              <w:bottom w:val="single" w:sz="4" w:space="0" w:color="auto"/>
            </w:tcBorders>
            <w:shd w:val="clear" w:color="auto" w:fill="auto"/>
            <w:vAlign w:val="bottom"/>
          </w:tcPr>
          <w:p w:rsidR="00FD620C" w:rsidRPr="007623AA" w:rsidRDefault="00FD620C" w:rsidP="00A47EC2">
            <w:pPr>
              <w:spacing w:after="120" w:line="360" w:lineRule="auto"/>
              <w:jc w:val="right"/>
              <w:rPr>
                <w:rFonts w:ascii="Arial" w:eastAsia="Times New Roman" w:hAnsi="Arial" w:cs="Arial"/>
                <w:b/>
                <w:bCs/>
                <w:sz w:val="20"/>
                <w:szCs w:val="22"/>
              </w:rPr>
            </w:pPr>
            <w:r w:rsidRPr="007623AA">
              <w:rPr>
                <w:rFonts w:ascii="Arial" w:eastAsia="Times New Roman" w:hAnsi="Arial" w:cs="Arial"/>
                <w:b/>
                <w:bCs/>
                <w:iCs/>
                <w:sz w:val="20"/>
                <w:szCs w:val="22"/>
              </w:rPr>
              <w:t>α</w:t>
            </w:r>
          </w:p>
        </w:tc>
        <w:tc>
          <w:tcPr>
            <w:tcW w:w="576" w:type="dxa"/>
            <w:tcBorders>
              <w:bottom w:val="single" w:sz="4" w:space="0" w:color="auto"/>
            </w:tcBorders>
            <w:vAlign w:val="bottom"/>
          </w:tcPr>
          <w:p w:rsidR="00FD620C" w:rsidRPr="007623AA" w:rsidRDefault="00FD620C" w:rsidP="00A47EC2">
            <w:pPr>
              <w:spacing w:after="120" w:line="360" w:lineRule="auto"/>
              <w:jc w:val="right"/>
              <w:rPr>
                <w:rFonts w:ascii="Arial" w:eastAsia="Times New Roman" w:hAnsi="Arial" w:cs="Arial"/>
                <w:b/>
                <w:bCs/>
                <w:sz w:val="20"/>
                <w:szCs w:val="22"/>
              </w:rPr>
            </w:pPr>
            <w:r w:rsidRPr="007623AA">
              <w:rPr>
                <w:rFonts w:ascii="Arial" w:eastAsia="Times New Roman" w:hAnsi="Arial" w:cs="Arial"/>
                <w:b/>
                <w:bCs/>
                <w:sz w:val="20"/>
                <w:szCs w:val="22"/>
              </w:rPr>
              <w:t>β</w:t>
            </w:r>
          </w:p>
        </w:tc>
        <w:tc>
          <w:tcPr>
            <w:tcW w:w="864" w:type="dxa"/>
            <w:tcBorders>
              <w:bottom w:val="single" w:sz="4" w:space="0" w:color="auto"/>
            </w:tcBorders>
            <w:shd w:val="clear" w:color="auto" w:fill="auto"/>
            <w:vAlign w:val="bottom"/>
          </w:tcPr>
          <w:p w:rsidR="00FD620C" w:rsidRPr="007623AA" w:rsidRDefault="00FD620C" w:rsidP="00A47EC2">
            <w:pPr>
              <w:spacing w:after="120" w:line="360" w:lineRule="auto"/>
              <w:jc w:val="right"/>
              <w:rPr>
                <w:rFonts w:ascii="Arial" w:eastAsia="Times New Roman" w:hAnsi="Arial" w:cs="Arial"/>
                <w:b/>
                <w:bCs/>
                <w:sz w:val="20"/>
                <w:szCs w:val="22"/>
              </w:rPr>
            </w:pPr>
            <w:r w:rsidRPr="007623AA">
              <w:rPr>
                <w:rFonts w:ascii="Arial" w:eastAsia="Times New Roman" w:hAnsi="Arial" w:cs="Arial"/>
                <w:b/>
                <w:bCs/>
                <w:sz w:val="20"/>
                <w:szCs w:val="22"/>
              </w:rPr>
              <w:t>Sample size</w:t>
            </w:r>
          </w:p>
        </w:tc>
        <w:tc>
          <w:tcPr>
            <w:tcW w:w="486" w:type="dxa"/>
            <w:gridSpan w:val="2"/>
            <w:tcBorders>
              <w:bottom w:val="single" w:sz="4" w:space="0" w:color="auto"/>
            </w:tcBorders>
            <w:vAlign w:val="bottom"/>
          </w:tcPr>
          <w:p w:rsidR="00FD620C" w:rsidRPr="007623AA" w:rsidRDefault="00FD620C" w:rsidP="00A47EC2">
            <w:pPr>
              <w:spacing w:after="120" w:line="360" w:lineRule="auto"/>
              <w:jc w:val="right"/>
              <w:rPr>
                <w:rFonts w:ascii="Arial" w:eastAsia="Times New Roman" w:hAnsi="Arial" w:cs="Arial"/>
                <w:bCs/>
                <w:iCs/>
                <w:sz w:val="20"/>
                <w:szCs w:val="22"/>
              </w:rPr>
            </w:pPr>
          </w:p>
        </w:tc>
        <w:tc>
          <w:tcPr>
            <w:tcW w:w="864" w:type="dxa"/>
            <w:gridSpan w:val="2"/>
            <w:tcBorders>
              <w:top w:val="single" w:sz="4" w:space="0" w:color="auto"/>
              <w:bottom w:val="single" w:sz="4" w:space="0" w:color="auto"/>
            </w:tcBorders>
            <w:shd w:val="clear" w:color="auto" w:fill="auto"/>
            <w:vAlign w:val="bottom"/>
            <w:hideMark/>
          </w:tcPr>
          <w:p w:rsidR="00FD620C" w:rsidRPr="007623AA" w:rsidRDefault="00FD620C" w:rsidP="00A47EC2">
            <w:pPr>
              <w:spacing w:after="120" w:line="360" w:lineRule="auto"/>
              <w:jc w:val="right"/>
              <w:rPr>
                <w:rFonts w:ascii="Arial" w:eastAsia="Times New Roman" w:hAnsi="Arial" w:cs="Arial"/>
                <w:b/>
                <w:bCs/>
                <w:sz w:val="20"/>
                <w:szCs w:val="22"/>
              </w:rPr>
            </w:pPr>
            <w:r w:rsidRPr="007623AA">
              <w:rPr>
                <w:rFonts w:ascii="Arial" w:eastAsia="Times New Roman" w:hAnsi="Arial" w:cs="Arial"/>
                <w:b/>
                <w:bCs/>
                <w:iCs/>
                <w:sz w:val="20"/>
                <w:szCs w:val="22"/>
              </w:rPr>
              <w:t>Effect size</w:t>
            </w:r>
          </w:p>
        </w:tc>
        <w:tc>
          <w:tcPr>
            <w:tcW w:w="864" w:type="dxa"/>
            <w:tcBorders>
              <w:top w:val="single" w:sz="4" w:space="0" w:color="auto"/>
              <w:bottom w:val="single" w:sz="4" w:space="0" w:color="auto"/>
            </w:tcBorders>
            <w:shd w:val="clear" w:color="auto" w:fill="auto"/>
            <w:vAlign w:val="bottom"/>
            <w:hideMark/>
          </w:tcPr>
          <w:p w:rsidR="00FD620C" w:rsidRPr="007623AA" w:rsidRDefault="00FD620C" w:rsidP="00A47EC2">
            <w:pPr>
              <w:spacing w:after="120" w:line="360" w:lineRule="auto"/>
              <w:jc w:val="right"/>
              <w:rPr>
                <w:rFonts w:ascii="Arial" w:eastAsia="Times New Roman" w:hAnsi="Arial" w:cs="Arial"/>
                <w:b/>
                <w:bCs/>
                <w:sz w:val="20"/>
                <w:szCs w:val="22"/>
              </w:rPr>
            </w:pPr>
            <w:r w:rsidRPr="007623AA">
              <w:rPr>
                <w:rFonts w:ascii="Arial" w:eastAsia="Times New Roman" w:hAnsi="Arial" w:cs="Arial"/>
                <w:b/>
                <w:bCs/>
                <w:sz w:val="20"/>
                <w:szCs w:val="22"/>
              </w:rPr>
              <w:t>Std dev</w:t>
            </w:r>
          </w:p>
        </w:tc>
        <w:tc>
          <w:tcPr>
            <w:tcW w:w="576" w:type="dxa"/>
            <w:tcBorders>
              <w:top w:val="single" w:sz="4" w:space="0" w:color="auto"/>
              <w:bottom w:val="single" w:sz="4" w:space="0" w:color="auto"/>
            </w:tcBorders>
            <w:shd w:val="clear" w:color="auto" w:fill="auto"/>
            <w:vAlign w:val="bottom"/>
            <w:hideMark/>
          </w:tcPr>
          <w:p w:rsidR="00FD620C" w:rsidRPr="007623AA" w:rsidRDefault="00FD620C" w:rsidP="00A47EC2">
            <w:pPr>
              <w:spacing w:after="120" w:line="360" w:lineRule="auto"/>
              <w:jc w:val="right"/>
              <w:rPr>
                <w:rFonts w:ascii="Arial" w:eastAsia="Times New Roman" w:hAnsi="Arial" w:cs="Arial"/>
                <w:b/>
                <w:bCs/>
                <w:sz w:val="20"/>
                <w:szCs w:val="22"/>
              </w:rPr>
            </w:pPr>
            <w:r w:rsidRPr="007623AA">
              <w:rPr>
                <w:rFonts w:ascii="Arial" w:eastAsia="Times New Roman" w:hAnsi="Arial" w:cs="Arial"/>
                <w:b/>
                <w:bCs/>
                <w:iCs/>
                <w:sz w:val="20"/>
                <w:szCs w:val="22"/>
              </w:rPr>
              <w:t>α</w:t>
            </w:r>
          </w:p>
        </w:tc>
        <w:tc>
          <w:tcPr>
            <w:tcW w:w="576" w:type="dxa"/>
            <w:tcBorders>
              <w:top w:val="single" w:sz="4" w:space="0" w:color="auto"/>
              <w:bottom w:val="single" w:sz="4" w:space="0" w:color="auto"/>
            </w:tcBorders>
            <w:vAlign w:val="bottom"/>
          </w:tcPr>
          <w:p w:rsidR="00FD620C" w:rsidRPr="007623AA" w:rsidRDefault="00FD620C" w:rsidP="00A47EC2">
            <w:pPr>
              <w:spacing w:after="120" w:line="360" w:lineRule="auto"/>
              <w:jc w:val="right"/>
              <w:rPr>
                <w:rFonts w:ascii="Arial" w:eastAsia="Times New Roman" w:hAnsi="Arial" w:cs="Arial"/>
                <w:b/>
                <w:bCs/>
                <w:iCs/>
                <w:sz w:val="20"/>
                <w:szCs w:val="22"/>
              </w:rPr>
            </w:pPr>
            <w:r w:rsidRPr="007623AA">
              <w:rPr>
                <w:rFonts w:ascii="Arial" w:eastAsia="Times New Roman" w:hAnsi="Arial" w:cs="Arial"/>
                <w:b/>
                <w:bCs/>
                <w:sz w:val="20"/>
                <w:szCs w:val="22"/>
              </w:rPr>
              <w:t>β</w:t>
            </w:r>
          </w:p>
        </w:tc>
        <w:tc>
          <w:tcPr>
            <w:tcW w:w="864" w:type="dxa"/>
            <w:tcBorders>
              <w:top w:val="single" w:sz="4" w:space="0" w:color="auto"/>
              <w:bottom w:val="single" w:sz="4" w:space="0" w:color="auto"/>
            </w:tcBorders>
            <w:vAlign w:val="bottom"/>
          </w:tcPr>
          <w:p w:rsidR="00FD620C" w:rsidRPr="007623AA" w:rsidRDefault="00FD620C" w:rsidP="00A47EC2">
            <w:pPr>
              <w:spacing w:after="120" w:line="360" w:lineRule="auto"/>
              <w:jc w:val="right"/>
              <w:rPr>
                <w:rFonts w:ascii="Arial" w:eastAsia="Times New Roman" w:hAnsi="Arial" w:cs="Arial"/>
                <w:b/>
                <w:bCs/>
                <w:iCs/>
                <w:sz w:val="20"/>
                <w:szCs w:val="22"/>
              </w:rPr>
            </w:pPr>
            <w:r w:rsidRPr="007623AA">
              <w:rPr>
                <w:rFonts w:ascii="Arial" w:eastAsia="Times New Roman" w:hAnsi="Arial" w:cs="Arial"/>
                <w:b/>
                <w:bCs/>
                <w:sz w:val="20"/>
                <w:szCs w:val="22"/>
              </w:rPr>
              <w:t>Sample size</w:t>
            </w:r>
          </w:p>
        </w:tc>
        <w:tc>
          <w:tcPr>
            <w:tcW w:w="126" w:type="dxa"/>
            <w:tcBorders>
              <w:top w:val="single" w:sz="4" w:space="0" w:color="auto"/>
              <w:bottom w:val="single" w:sz="4" w:space="0" w:color="auto"/>
            </w:tcBorders>
          </w:tcPr>
          <w:p w:rsidR="00FD620C" w:rsidRPr="007623AA" w:rsidRDefault="00FD620C" w:rsidP="00A47EC2">
            <w:pPr>
              <w:spacing w:after="120" w:line="360" w:lineRule="auto"/>
              <w:jc w:val="right"/>
              <w:rPr>
                <w:rFonts w:ascii="Arial" w:eastAsia="Times New Roman" w:hAnsi="Arial" w:cs="Arial"/>
                <w:b/>
                <w:bCs/>
                <w:sz w:val="20"/>
                <w:szCs w:val="22"/>
              </w:rPr>
            </w:pPr>
          </w:p>
        </w:tc>
      </w:tr>
      <w:tr w:rsidR="00FD620C" w:rsidRPr="007623AA" w:rsidTr="00A47EC2">
        <w:trPr>
          <w:trHeight w:val="284"/>
        </w:trPr>
        <w:tc>
          <w:tcPr>
            <w:tcW w:w="1335" w:type="dxa"/>
            <w:tcBorders>
              <w:top w:val="single" w:sz="4" w:space="0" w:color="auto"/>
              <w:bottom w:val="nil"/>
            </w:tcBorders>
            <w:shd w:val="clear" w:color="auto" w:fill="E7E6E6" w:themeFill="background2"/>
            <w:vAlign w:val="bottom"/>
            <w:hideMark/>
          </w:tcPr>
          <w:p w:rsidR="00FD620C" w:rsidRPr="007623AA" w:rsidRDefault="00FD620C" w:rsidP="00A47EC2">
            <w:pPr>
              <w:spacing w:after="120" w:line="360" w:lineRule="auto"/>
              <w:rPr>
                <w:rFonts w:ascii="Arial" w:eastAsia="Times New Roman" w:hAnsi="Arial" w:cs="Arial"/>
                <w:sz w:val="20"/>
                <w:szCs w:val="22"/>
              </w:rPr>
            </w:pPr>
            <w:r w:rsidRPr="007623AA">
              <w:rPr>
                <w:rFonts w:ascii="Arial" w:eastAsia="Times New Roman" w:hAnsi="Arial" w:cs="Arial"/>
                <w:sz w:val="20"/>
                <w:szCs w:val="22"/>
              </w:rPr>
              <w:t>All subjects</w:t>
            </w:r>
          </w:p>
        </w:tc>
        <w:tc>
          <w:tcPr>
            <w:tcW w:w="864" w:type="dxa"/>
            <w:tcBorders>
              <w:top w:val="single" w:sz="4" w:space="0" w:color="auto"/>
              <w:bottom w:val="nil"/>
            </w:tcBorders>
            <w:shd w:val="clear" w:color="auto" w:fill="E7E6E6" w:themeFill="background2"/>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0.4186</w:t>
            </w:r>
          </w:p>
        </w:tc>
        <w:tc>
          <w:tcPr>
            <w:tcW w:w="864" w:type="dxa"/>
            <w:tcBorders>
              <w:top w:val="single" w:sz="4" w:space="0" w:color="auto"/>
              <w:bottom w:val="nil"/>
            </w:tcBorders>
            <w:shd w:val="clear" w:color="auto" w:fill="E7E6E6" w:themeFill="background2"/>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2.0013</w:t>
            </w:r>
          </w:p>
        </w:tc>
        <w:tc>
          <w:tcPr>
            <w:tcW w:w="576" w:type="dxa"/>
            <w:tcBorders>
              <w:top w:val="single" w:sz="4" w:space="0" w:color="auto"/>
              <w:bottom w:val="nil"/>
            </w:tcBorders>
            <w:shd w:val="clear" w:color="auto" w:fill="E7E6E6" w:themeFill="background2"/>
            <w:noWrap/>
            <w:vAlign w:val="bottom"/>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0.05</w:t>
            </w:r>
          </w:p>
        </w:tc>
        <w:tc>
          <w:tcPr>
            <w:tcW w:w="576" w:type="dxa"/>
            <w:tcBorders>
              <w:top w:val="single" w:sz="4" w:space="0" w:color="auto"/>
              <w:bottom w:val="nil"/>
            </w:tcBorders>
            <w:shd w:val="clear" w:color="auto" w:fill="E7E6E6" w:themeFill="background2"/>
            <w:vAlign w:val="bottom"/>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0.2</w:t>
            </w:r>
          </w:p>
        </w:tc>
        <w:tc>
          <w:tcPr>
            <w:tcW w:w="864" w:type="dxa"/>
            <w:tcBorders>
              <w:top w:val="single" w:sz="4" w:space="0" w:color="auto"/>
              <w:bottom w:val="nil"/>
            </w:tcBorders>
            <w:shd w:val="clear" w:color="auto" w:fill="E7E6E6" w:themeFill="background2"/>
            <w:noWrap/>
            <w:vAlign w:val="bottom"/>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359</w:t>
            </w:r>
          </w:p>
        </w:tc>
        <w:tc>
          <w:tcPr>
            <w:tcW w:w="486" w:type="dxa"/>
            <w:gridSpan w:val="2"/>
            <w:tcBorders>
              <w:top w:val="single" w:sz="4" w:space="0" w:color="auto"/>
              <w:bottom w:val="nil"/>
            </w:tcBorders>
            <w:shd w:val="clear" w:color="auto" w:fill="E7E6E6" w:themeFill="background2"/>
            <w:vAlign w:val="bottom"/>
          </w:tcPr>
          <w:p w:rsidR="00FD620C" w:rsidRPr="007623AA" w:rsidRDefault="00FD620C" w:rsidP="00A47EC2">
            <w:pPr>
              <w:spacing w:after="120" w:line="360" w:lineRule="auto"/>
              <w:jc w:val="right"/>
              <w:rPr>
                <w:rFonts w:ascii="Arial" w:eastAsia="Times New Roman" w:hAnsi="Arial" w:cs="Arial"/>
                <w:sz w:val="20"/>
                <w:szCs w:val="22"/>
              </w:rPr>
            </w:pPr>
          </w:p>
        </w:tc>
        <w:tc>
          <w:tcPr>
            <w:tcW w:w="864" w:type="dxa"/>
            <w:gridSpan w:val="2"/>
            <w:tcBorders>
              <w:top w:val="single" w:sz="4" w:space="0" w:color="auto"/>
              <w:bottom w:val="nil"/>
            </w:tcBorders>
            <w:shd w:val="clear" w:color="auto" w:fill="E7E6E6" w:themeFill="background2"/>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0.4937</w:t>
            </w:r>
          </w:p>
        </w:tc>
        <w:tc>
          <w:tcPr>
            <w:tcW w:w="864" w:type="dxa"/>
            <w:tcBorders>
              <w:top w:val="single" w:sz="4" w:space="0" w:color="auto"/>
              <w:bottom w:val="nil"/>
            </w:tcBorders>
            <w:shd w:val="clear" w:color="auto" w:fill="E7E6E6" w:themeFill="background2"/>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2.4281</w:t>
            </w:r>
          </w:p>
        </w:tc>
        <w:tc>
          <w:tcPr>
            <w:tcW w:w="576" w:type="dxa"/>
            <w:tcBorders>
              <w:top w:val="single" w:sz="4" w:space="0" w:color="auto"/>
              <w:bottom w:val="nil"/>
            </w:tcBorders>
            <w:shd w:val="clear" w:color="auto" w:fill="E7E6E6" w:themeFill="background2"/>
            <w:noWrap/>
            <w:vAlign w:val="bottom"/>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0.05</w:t>
            </w:r>
          </w:p>
        </w:tc>
        <w:tc>
          <w:tcPr>
            <w:tcW w:w="576" w:type="dxa"/>
            <w:tcBorders>
              <w:top w:val="single" w:sz="4" w:space="0" w:color="auto"/>
              <w:bottom w:val="nil"/>
            </w:tcBorders>
            <w:shd w:val="clear" w:color="auto" w:fill="E7E6E6" w:themeFill="background2"/>
            <w:vAlign w:val="bottom"/>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0.2</w:t>
            </w:r>
          </w:p>
        </w:tc>
        <w:tc>
          <w:tcPr>
            <w:tcW w:w="864" w:type="dxa"/>
            <w:tcBorders>
              <w:top w:val="single" w:sz="4" w:space="0" w:color="auto"/>
              <w:bottom w:val="nil"/>
            </w:tcBorders>
            <w:shd w:val="clear" w:color="auto" w:fill="E7E6E6" w:themeFill="background2"/>
            <w:vAlign w:val="bottom"/>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380</w:t>
            </w:r>
          </w:p>
        </w:tc>
        <w:tc>
          <w:tcPr>
            <w:tcW w:w="126" w:type="dxa"/>
            <w:tcBorders>
              <w:top w:val="single" w:sz="4" w:space="0" w:color="auto"/>
              <w:bottom w:val="nil"/>
            </w:tcBorders>
            <w:shd w:val="clear" w:color="auto" w:fill="E7E6E6" w:themeFill="background2"/>
          </w:tcPr>
          <w:p w:rsidR="00FD620C" w:rsidRPr="007623AA" w:rsidRDefault="00FD620C" w:rsidP="00A47EC2">
            <w:pPr>
              <w:spacing w:after="120" w:line="360" w:lineRule="auto"/>
              <w:jc w:val="right"/>
              <w:rPr>
                <w:rFonts w:ascii="Arial" w:eastAsia="Times New Roman" w:hAnsi="Arial" w:cs="Arial"/>
                <w:sz w:val="20"/>
                <w:szCs w:val="22"/>
              </w:rPr>
            </w:pPr>
          </w:p>
        </w:tc>
      </w:tr>
      <w:tr w:rsidR="00FD620C" w:rsidRPr="007623AA" w:rsidTr="00A47EC2">
        <w:trPr>
          <w:trHeight w:val="284"/>
        </w:trPr>
        <w:tc>
          <w:tcPr>
            <w:tcW w:w="1335" w:type="dxa"/>
            <w:tcBorders>
              <w:top w:val="nil"/>
              <w:bottom w:val="single" w:sz="4" w:space="0" w:color="auto"/>
            </w:tcBorders>
            <w:shd w:val="clear" w:color="auto" w:fill="auto"/>
            <w:vAlign w:val="bottom"/>
            <w:hideMark/>
          </w:tcPr>
          <w:p w:rsidR="00FD620C" w:rsidRPr="007623AA" w:rsidRDefault="00FD620C" w:rsidP="00A47EC2">
            <w:pPr>
              <w:spacing w:after="120" w:line="360" w:lineRule="auto"/>
              <w:rPr>
                <w:rFonts w:ascii="Arial" w:eastAsia="Times New Roman" w:hAnsi="Arial" w:cs="Arial"/>
                <w:iCs/>
                <w:sz w:val="20"/>
                <w:szCs w:val="22"/>
              </w:rPr>
            </w:pPr>
            <w:r w:rsidRPr="007623AA">
              <w:rPr>
                <w:rFonts w:ascii="Arial" w:eastAsia="Times New Roman" w:hAnsi="Arial" w:cs="Arial"/>
                <w:i/>
                <w:iCs/>
                <w:sz w:val="20"/>
                <w:szCs w:val="22"/>
              </w:rPr>
              <w:t>APOE4</w:t>
            </w:r>
            <w:r w:rsidRPr="007623AA">
              <w:rPr>
                <w:rFonts w:ascii="Arial" w:eastAsia="Times New Roman" w:hAnsi="Arial" w:cs="Arial"/>
                <w:iCs/>
                <w:sz w:val="20"/>
                <w:szCs w:val="22"/>
              </w:rPr>
              <w:t xml:space="preserve"> </w:t>
            </w:r>
            <w:r w:rsidRPr="007623AA">
              <w:rPr>
                <w:rFonts w:ascii="Arial" w:eastAsia="Times New Roman" w:hAnsi="Arial" w:cs="Arial"/>
                <w:sz w:val="20"/>
                <w:szCs w:val="22"/>
              </w:rPr>
              <w:t>carriers</w:t>
            </w:r>
          </w:p>
        </w:tc>
        <w:tc>
          <w:tcPr>
            <w:tcW w:w="864" w:type="dxa"/>
            <w:tcBorders>
              <w:top w:val="nil"/>
              <w:bottom w:val="single" w:sz="4" w:space="0" w:color="auto"/>
            </w:tcBorders>
            <w:shd w:val="clear" w:color="auto" w:fill="auto"/>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0.6017</w:t>
            </w:r>
          </w:p>
        </w:tc>
        <w:tc>
          <w:tcPr>
            <w:tcW w:w="864" w:type="dxa"/>
            <w:tcBorders>
              <w:top w:val="nil"/>
              <w:bottom w:val="single" w:sz="4" w:space="0" w:color="auto"/>
            </w:tcBorders>
            <w:shd w:val="clear" w:color="auto" w:fill="auto"/>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1.9584</w:t>
            </w:r>
          </w:p>
        </w:tc>
        <w:tc>
          <w:tcPr>
            <w:tcW w:w="576" w:type="dxa"/>
            <w:tcBorders>
              <w:top w:val="nil"/>
              <w:bottom w:val="single" w:sz="4" w:space="0" w:color="auto"/>
            </w:tcBorders>
            <w:shd w:val="clear" w:color="auto" w:fill="auto"/>
            <w:noWrap/>
            <w:vAlign w:val="bottom"/>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0.05</w:t>
            </w:r>
          </w:p>
        </w:tc>
        <w:tc>
          <w:tcPr>
            <w:tcW w:w="576" w:type="dxa"/>
            <w:tcBorders>
              <w:top w:val="nil"/>
              <w:bottom w:val="single" w:sz="4" w:space="0" w:color="auto"/>
            </w:tcBorders>
            <w:vAlign w:val="bottom"/>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0.2</w:t>
            </w:r>
          </w:p>
        </w:tc>
        <w:tc>
          <w:tcPr>
            <w:tcW w:w="864" w:type="dxa"/>
            <w:tcBorders>
              <w:top w:val="nil"/>
              <w:bottom w:val="single" w:sz="4" w:space="0" w:color="auto"/>
            </w:tcBorders>
            <w:shd w:val="clear" w:color="auto" w:fill="auto"/>
            <w:noWrap/>
            <w:vAlign w:val="bottom"/>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168</w:t>
            </w:r>
          </w:p>
        </w:tc>
        <w:tc>
          <w:tcPr>
            <w:tcW w:w="486" w:type="dxa"/>
            <w:gridSpan w:val="2"/>
            <w:tcBorders>
              <w:top w:val="nil"/>
              <w:bottom w:val="single" w:sz="4" w:space="0" w:color="auto"/>
            </w:tcBorders>
            <w:vAlign w:val="bottom"/>
          </w:tcPr>
          <w:p w:rsidR="00FD620C" w:rsidRPr="007623AA" w:rsidRDefault="00FD620C" w:rsidP="00A47EC2">
            <w:pPr>
              <w:spacing w:after="120" w:line="360" w:lineRule="auto"/>
              <w:jc w:val="right"/>
              <w:rPr>
                <w:rFonts w:ascii="Arial" w:eastAsia="Times New Roman" w:hAnsi="Arial" w:cs="Arial"/>
                <w:sz w:val="20"/>
                <w:szCs w:val="22"/>
              </w:rPr>
            </w:pPr>
          </w:p>
        </w:tc>
        <w:tc>
          <w:tcPr>
            <w:tcW w:w="864" w:type="dxa"/>
            <w:gridSpan w:val="2"/>
            <w:tcBorders>
              <w:top w:val="nil"/>
              <w:bottom w:val="single" w:sz="4" w:space="0" w:color="auto"/>
            </w:tcBorders>
            <w:shd w:val="clear" w:color="auto" w:fill="auto"/>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0.7781</w:t>
            </w:r>
          </w:p>
        </w:tc>
        <w:tc>
          <w:tcPr>
            <w:tcW w:w="864" w:type="dxa"/>
            <w:tcBorders>
              <w:top w:val="nil"/>
              <w:bottom w:val="single" w:sz="4" w:space="0" w:color="auto"/>
            </w:tcBorders>
            <w:shd w:val="clear" w:color="auto" w:fill="auto"/>
            <w:noWrap/>
            <w:vAlign w:val="bottom"/>
            <w:hideMark/>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2.3691</w:t>
            </w:r>
          </w:p>
        </w:tc>
        <w:tc>
          <w:tcPr>
            <w:tcW w:w="576" w:type="dxa"/>
            <w:tcBorders>
              <w:top w:val="nil"/>
              <w:bottom w:val="single" w:sz="4" w:space="0" w:color="auto"/>
            </w:tcBorders>
            <w:shd w:val="clear" w:color="auto" w:fill="auto"/>
            <w:noWrap/>
            <w:vAlign w:val="bottom"/>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0.05</w:t>
            </w:r>
          </w:p>
        </w:tc>
        <w:tc>
          <w:tcPr>
            <w:tcW w:w="576" w:type="dxa"/>
            <w:tcBorders>
              <w:top w:val="nil"/>
              <w:bottom w:val="single" w:sz="4" w:space="0" w:color="auto"/>
            </w:tcBorders>
            <w:vAlign w:val="bottom"/>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0.2</w:t>
            </w:r>
          </w:p>
        </w:tc>
        <w:tc>
          <w:tcPr>
            <w:tcW w:w="864" w:type="dxa"/>
            <w:tcBorders>
              <w:top w:val="nil"/>
              <w:bottom w:val="single" w:sz="4" w:space="0" w:color="auto"/>
            </w:tcBorders>
            <w:vAlign w:val="bottom"/>
          </w:tcPr>
          <w:p w:rsidR="00FD620C" w:rsidRPr="007623AA" w:rsidRDefault="00FD620C" w:rsidP="00A47EC2">
            <w:pPr>
              <w:spacing w:after="120" w:line="360" w:lineRule="auto"/>
              <w:jc w:val="right"/>
              <w:rPr>
                <w:rFonts w:ascii="Arial" w:eastAsia="Times New Roman" w:hAnsi="Arial" w:cs="Arial"/>
                <w:sz w:val="20"/>
                <w:szCs w:val="22"/>
              </w:rPr>
            </w:pPr>
            <w:r w:rsidRPr="007623AA">
              <w:rPr>
                <w:rFonts w:ascii="Arial" w:eastAsia="Times New Roman" w:hAnsi="Arial" w:cs="Arial"/>
                <w:sz w:val="20"/>
                <w:szCs w:val="22"/>
              </w:rPr>
              <w:t>147</w:t>
            </w:r>
          </w:p>
        </w:tc>
        <w:tc>
          <w:tcPr>
            <w:tcW w:w="126" w:type="dxa"/>
            <w:tcBorders>
              <w:top w:val="nil"/>
              <w:bottom w:val="single" w:sz="4" w:space="0" w:color="auto"/>
            </w:tcBorders>
          </w:tcPr>
          <w:p w:rsidR="00FD620C" w:rsidRPr="007623AA" w:rsidRDefault="00FD620C" w:rsidP="00A47EC2">
            <w:pPr>
              <w:spacing w:after="120" w:line="360" w:lineRule="auto"/>
              <w:jc w:val="right"/>
              <w:rPr>
                <w:rFonts w:ascii="Arial" w:eastAsia="Times New Roman" w:hAnsi="Arial" w:cs="Arial"/>
                <w:sz w:val="20"/>
                <w:szCs w:val="22"/>
              </w:rPr>
            </w:pPr>
          </w:p>
        </w:tc>
      </w:tr>
    </w:tbl>
    <w:p w:rsidR="00FD620C" w:rsidRPr="007623AA" w:rsidRDefault="00FD620C" w:rsidP="00FD620C">
      <w:pPr>
        <w:spacing w:after="120" w:line="360" w:lineRule="auto"/>
        <w:rPr>
          <w:rFonts w:ascii="Arial" w:hAnsi="Arial" w:cs="Arial"/>
          <w:b/>
          <w:sz w:val="22"/>
          <w:szCs w:val="22"/>
        </w:rPr>
      </w:pPr>
    </w:p>
    <w:p w:rsidR="00FD620C" w:rsidRPr="007623AA" w:rsidRDefault="00FD620C" w:rsidP="00FD620C">
      <w:pPr>
        <w:spacing w:after="120" w:line="360" w:lineRule="auto"/>
        <w:rPr>
          <w:rFonts w:ascii="Arial" w:hAnsi="Arial" w:cs="Arial"/>
          <w:sz w:val="22"/>
          <w:szCs w:val="22"/>
        </w:rPr>
      </w:pPr>
      <w:r w:rsidRPr="007623AA">
        <w:rPr>
          <w:rFonts w:ascii="Arial" w:hAnsi="Arial" w:cs="Arial"/>
          <w:b/>
          <w:sz w:val="22"/>
          <w:szCs w:val="22"/>
        </w:rPr>
        <w:t xml:space="preserve">Additional file 12. Power analyses for a hypothetical one year-long clinical trial of imipramine or olanzapine in AD subjects. </w:t>
      </w:r>
      <w:r w:rsidRPr="007623AA">
        <w:rPr>
          <w:rFonts w:ascii="Arial" w:hAnsi="Arial" w:cs="Arial"/>
          <w:sz w:val="22"/>
          <w:szCs w:val="22"/>
        </w:rPr>
        <w:t>Outputs from the Cox regression models of change in MMSE score over time, including the effect size and the standard deviation, were used in power analyses to estimate the sample sizes necessary to detect a similar difference between imipramine or olanzapine and control groups with an α (type 1 error level) of 0.05 and a β (type 2 error level) of 0.2. The sample sizes indicate the number of AD subjects that would be dosed with imipramine or olanzapine for one year with an equal number of control AD subjects receiving placebo.</w:t>
      </w:r>
    </w:p>
    <w:p w:rsidR="00FD620C" w:rsidRPr="007623AA" w:rsidRDefault="00FD620C" w:rsidP="00FD620C">
      <w:pPr>
        <w:rPr>
          <w:rFonts w:ascii="Arial" w:hAnsi="Arial" w:cs="Arial"/>
          <w:sz w:val="22"/>
          <w:szCs w:val="22"/>
        </w:rPr>
      </w:pPr>
      <w:r w:rsidRPr="007623AA">
        <w:rPr>
          <w:rFonts w:ascii="Arial" w:hAnsi="Arial" w:cs="Arial"/>
          <w:sz w:val="22"/>
          <w:szCs w:val="22"/>
        </w:rPr>
        <w:br w:type="page"/>
      </w:r>
    </w:p>
    <w:p w:rsidR="00FD620C" w:rsidRPr="007623AA" w:rsidRDefault="00FD620C" w:rsidP="00FD620C">
      <w:pPr>
        <w:spacing w:after="120" w:line="360" w:lineRule="auto"/>
        <w:rPr>
          <w:rFonts w:ascii="Arial" w:hAnsi="Arial" w:cs="Arial"/>
          <w:sz w:val="22"/>
          <w:szCs w:val="22"/>
        </w:rPr>
      </w:pPr>
      <w:r w:rsidRPr="007623AA">
        <w:rPr>
          <w:rFonts w:ascii="Arial" w:hAnsi="Arial" w:cs="Arial"/>
          <w:b/>
          <w:bCs/>
          <w:sz w:val="22"/>
          <w:szCs w:val="22"/>
        </w:rPr>
        <w:lastRenderedPageBreak/>
        <w:t>Additional file 13.</w:t>
      </w:r>
      <w:r w:rsidRPr="007623AA">
        <w:rPr>
          <w:rFonts w:ascii="Arial" w:hAnsi="Arial" w:cs="Arial"/>
          <w:sz w:val="22"/>
          <w:szCs w:val="22"/>
        </w:rPr>
        <w:t xml:space="preserve"> </w:t>
      </w:r>
      <w:r w:rsidRPr="00480C26">
        <w:rPr>
          <w:rFonts w:ascii="Arial" w:hAnsi="Arial" w:cs="Arial"/>
          <w:b/>
          <w:sz w:val="22"/>
          <w:szCs w:val="22"/>
        </w:rPr>
        <w:t>Summary statistics of NACC data analyses</w:t>
      </w:r>
      <w:r w:rsidRPr="007623AA">
        <w:rPr>
          <w:rFonts w:ascii="Arial" w:hAnsi="Arial" w:cs="Arial"/>
          <w:sz w:val="22"/>
          <w:szCs w:val="22"/>
        </w:rPr>
        <w:t>. (A, B) Subject information for MMSE models comparin</w:t>
      </w:r>
      <w:r>
        <w:rPr>
          <w:rFonts w:ascii="Arial" w:hAnsi="Arial" w:cs="Arial"/>
          <w:sz w:val="22"/>
          <w:szCs w:val="22"/>
        </w:rPr>
        <w:t>g (A) imipramine and other anti</w:t>
      </w:r>
      <w:r w:rsidRPr="007623AA">
        <w:rPr>
          <w:rFonts w:ascii="Arial" w:hAnsi="Arial" w:cs="Arial"/>
          <w:sz w:val="22"/>
          <w:szCs w:val="22"/>
        </w:rPr>
        <w:t>depressants o</w:t>
      </w:r>
      <w:r>
        <w:rPr>
          <w:rFonts w:ascii="Arial" w:hAnsi="Arial" w:cs="Arial"/>
          <w:sz w:val="22"/>
          <w:szCs w:val="22"/>
        </w:rPr>
        <w:t>r (B) olanzapine and other anti</w:t>
      </w:r>
      <w:r w:rsidRPr="007623AA">
        <w:rPr>
          <w:rFonts w:ascii="Arial" w:hAnsi="Arial" w:cs="Arial"/>
          <w:sz w:val="22"/>
          <w:szCs w:val="22"/>
        </w:rPr>
        <w:t>psychotics, including age, sex, baseline MMSE score, and drug exposure time. (C, D) Subject information for clinical diagnosis reversion models comparing (C) imipramine an</w:t>
      </w:r>
      <w:r>
        <w:rPr>
          <w:rFonts w:ascii="Arial" w:hAnsi="Arial" w:cs="Arial"/>
          <w:sz w:val="22"/>
          <w:szCs w:val="22"/>
        </w:rPr>
        <w:t>d other anti</w:t>
      </w:r>
      <w:r w:rsidRPr="007623AA">
        <w:rPr>
          <w:rFonts w:ascii="Arial" w:hAnsi="Arial" w:cs="Arial"/>
          <w:sz w:val="22"/>
          <w:szCs w:val="22"/>
        </w:rPr>
        <w:t>depressants o</w:t>
      </w:r>
      <w:r>
        <w:rPr>
          <w:rFonts w:ascii="Arial" w:hAnsi="Arial" w:cs="Arial"/>
          <w:sz w:val="22"/>
          <w:szCs w:val="22"/>
        </w:rPr>
        <w:t>r (D) olanzapine and other anti</w:t>
      </w:r>
      <w:r w:rsidRPr="007623AA">
        <w:rPr>
          <w:rFonts w:ascii="Arial" w:hAnsi="Arial" w:cs="Arial"/>
          <w:sz w:val="22"/>
          <w:szCs w:val="22"/>
        </w:rPr>
        <w:t>psychotics, including age, sex, baseline MMSE score, drug exposure time, number of subjects with reversions, and number of reversions per subject. (E, F) Subject information for clinical diagnosis conversion models comparin</w:t>
      </w:r>
      <w:r>
        <w:rPr>
          <w:rFonts w:ascii="Arial" w:hAnsi="Arial" w:cs="Arial"/>
          <w:sz w:val="22"/>
          <w:szCs w:val="22"/>
        </w:rPr>
        <w:t>g (E) imipramine and other anti</w:t>
      </w:r>
      <w:r w:rsidRPr="007623AA">
        <w:rPr>
          <w:rFonts w:ascii="Arial" w:hAnsi="Arial" w:cs="Arial"/>
          <w:sz w:val="22"/>
          <w:szCs w:val="22"/>
        </w:rPr>
        <w:t>depressants o</w:t>
      </w:r>
      <w:r>
        <w:rPr>
          <w:rFonts w:ascii="Arial" w:hAnsi="Arial" w:cs="Arial"/>
          <w:sz w:val="22"/>
          <w:szCs w:val="22"/>
        </w:rPr>
        <w:t>r (F) olanzapine and other anti</w:t>
      </w:r>
      <w:r w:rsidRPr="007623AA">
        <w:rPr>
          <w:rFonts w:ascii="Arial" w:hAnsi="Arial" w:cs="Arial"/>
          <w:sz w:val="22"/>
          <w:szCs w:val="22"/>
        </w:rPr>
        <w:t>psychotics, including age, sex, baseline MMSE score, drug exposure time, number of subjects with conversions, and number of conversions per subject. (G, H) Subject information for multiple medications models comparing (G) imipramine, doxepin, fluoxetine,</w:t>
      </w:r>
      <w:r>
        <w:rPr>
          <w:rFonts w:ascii="Arial" w:hAnsi="Arial" w:cs="Arial"/>
          <w:sz w:val="22"/>
          <w:szCs w:val="22"/>
        </w:rPr>
        <w:t xml:space="preserve"> citalopram, and all other anti</w:t>
      </w:r>
      <w:r w:rsidRPr="007623AA">
        <w:rPr>
          <w:rFonts w:ascii="Arial" w:hAnsi="Arial" w:cs="Arial"/>
          <w:sz w:val="22"/>
          <w:szCs w:val="22"/>
        </w:rPr>
        <w:t>depressants or (H) olanzapine, aripiprazole,</w:t>
      </w:r>
      <w:r>
        <w:rPr>
          <w:rFonts w:ascii="Arial" w:hAnsi="Arial" w:cs="Arial"/>
          <w:sz w:val="22"/>
          <w:szCs w:val="22"/>
        </w:rPr>
        <w:t xml:space="preserve"> quetiapine, and all other anti</w:t>
      </w:r>
      <w:r w:rsidRPr="007623AA">
        <w:rPr>
          <w:rFonts w:ascii="Arial" w:hAnsi="Arial" w:cs="Arial"/>
          <w:sz w:val="22"/>
          <w:szCs w:val="22"/>
        </w:rPr>
        <w:t>psychotics, including age, sex, baseline MMSE score, drug exposure time, number of subjects with reversions, and number of reversions per subject. (I) Complete test statistics and degrees of freedom for all statistical tests.</w:t>
      </w:r>
    </w:p>
    <w:p w:rsidR="00FD620C" w:rsidRPr="007623AA" w:rsidRDefault="00FD620C" w:rsidP="00FD620C">
      <w:pPr>
        <w:spacing w:after="120" w:line="360" w:lineRule="auto"/>
        <w:rPr>
          <w:rFonts w:ascii="Arial" w:hAnsi="Arial" w:cs="Arial"/>
          <w:sz w:val="22"/>
          <w:szCs w:val="22"/>
        </w:rPr>
      </w:pPr>
    </w:p>
    <w:p w:rsidR="00FD620C" w:rsidRPr="007623AA" w:rsidRDefault="00FD620C" w:rsidP="00FD620C">
      <w:pPr>
        <w:spacing w:after="120" w:line="360" w:lineRule="auto"/>
        <w:rPr>
          <w:rFonts w:ascii="Arial" w:hAnsi="Arial" w:cs="Arial"/>
          <w:b/>
          <w:sz w:val="22"/>
          <w:szCs w:val="22"/>
        </w:rPr>
      </w:pPr>
      <w:r w:rsidRPr="007623AA">
        <w:rPr>
          <w:rFonts w:ascii="Arial" w:hAnsi="Arial" w:cs="Arial"/>
          <w:b/>
          <w:bCs/>
          <w:sz w:val="22"/>
          <w:szCs w:val="22"/>
        </w:rPr>
        <w:t>Additional file 14.</w:t>
      </w:r>
      <w:r w:rsidRPr="007623AA">
        <w:rPr>
          <w:rFonts w:ascii="Arial" w:hAnsi="Arial" w:cs="Arial"/>
          <w:sz w:val="22"/>
          <w:szCs w:val="22"/>
        </w:rPr>
        <w:t xml:space="preserve"> </w:t>
      </w:r>
      <w:r w:rsidRPr="00480C26">
        <w:rPr>
          <w:rFonts w:ascii="Arial" w:hAnsi="Arial" w:cs="Arial"/>
          <w:b/>
          <w:sz w:val="22"/>
          <w:szCs w:val="22"/>
        </w:rPr>
        <w:t>Custom computer code generated for NACC data analysis</w:t>
      </w:r>
      <w:r w:rsidRPr="007623AA">
        <w:rPr>
          <w:rFonts w:ascii="Arial" w:hAnsi="Arial" w:cs="Arial"/>
          <w:sz w:val="22"/>
          <w:szCs w:val="22"/>
        </w:rPr>
        <w:t xml:space="preserve">. Computer code written in SAS and used to perform all statistical analyses of NACC data is provided in a text file. Computer code written in R and used to generate plots of NACC data is provided as an R file. </w:t>
      </w:r>
    </w:p>
    <w:p w:rsidR="00B57F37" w:rsidRDefault="00FD620C">
      <w:bookmarkStart w:id="0" w:name="_GoBack"/>
      <w:bookmarkEnd w:id="0"/>
    </w:p>
    <w:sectPr w:rsidR="00B57F37" w:rsidSect="0070506A">
      <w:footerReference w:type="even" r:id="rId12"/>
      <w:footerReference w:type="default" r:id="rId13"/>
      <w:pgSz w:w="12240" w:h="15840"/>
      <w:pgMar w:top="1440" w:right="1440" w:bottom="1440" w:left="1440" w:header="432"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05586494"/>
      <w:docPartObj>
        <w:docPartGallery w:val="Page Numbers (Bottom of Page)"/>
        <w:docPartUnique/>
      </w:docPartObj>
    </w:sdtPr>
    <w:sdtEndPr/>
    <w:sdtContent>
      <w:p w:rsidR="00A90E52" w:rsidRDefault="00FD620C" w:rsidP="00027B60">
        <w:pPr>
          <w:framePr w:wrap="none" w:vAnchor="text" w:hAnchor="margin" w:xAlign="right" w:y="1"/>
        </w:pPr>
        <w:r>
          <w:fldChar w:fldCharType="begin"/>
        </w:r>
        <w:r>
          <w:instrText xml:space="preserve"> PAGE </w:instrText>
        </w:r>
        <w:r>
          <w:fldChar w:fldCharType="end"/>
        </w:r>
      </w:p>
    </w:sdtContent>
  </w:sdt>
  <w:p w:rsidR="00A90E52" w:rsidRDefault="00FD620C" w:rsidP="00027B60">
    <w:pP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9434054"/>
      <w:docPartObj>
        <w:docPartGallery w:val="Page Numbers (Bottom of Page)"/>
        <w:docPartUnique/>
      </w:docPartObj>
    </w:sdtPr>
    <w:sdtEndPr/>
    <w:sdtContent>
      <w:p w:rsidR="00A90E52" w:rsidRDefault="00FD620C" w:rsidP="00027B60">
        <w:pPr>
          <w:framePr w:wrap="none" w:vAnchor="text" w:hAnchor="margin" w:xAlign="right" w:y="1"/>
        </w:pPr>
        <w:r>
          <w:fldChar w:fldCharType="begin"/>
        </w:r>
        <w:r>
          <w:instrText xml:space="preserve"> PAGE </w:instrText>
        </w:r>
        <w:r>
          <w:fldChar w:fldCharType="separate"/>
        </w:r>
        <w:r>
          <w:rPr>
            <w:noProof/>
          </w:rPr>
          <w:t>1</w:t>
        </w:r>
        <w:r>
          <w:fldChar w:fldCharType="end"/>
        </w:r>
      </w:p>
    </w:sdtContent>
  </w:sdt>
  <w:p w:rsidR="00A90E52" w:rsidRDefault="00FD620C" w:rsidP="00027B60">
    <w:pP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20C"/>
    <w:rsid w:val="00935206"/>
    <w:rsid w:val="00953E1B"/>
    <w:rsid w:val="00FD620C"/>
    <w:rsid w:val="00FF4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75FD07-4440-44D9-B826-565B3D55C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620C"/>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FD62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1948</Words>
  <Characters>11107</Characters>
  <Application>Microsoft Office Word</Application>
  <DocSecurity>0</DocSecurity>
  <Lines>92</Lines>
  <Paragraphs>26</Paragraphs>
  <ScaleCrop>false</ScaleCrop>
  <Company>Springer Nature IT</Company>
  <LinksUpToDate>false</LinksUpToDate>
  <CharactersWithSpaces>13029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Amrutkar</dc:creator>
  <cp:keywords/>
  <dc:description/>
  <cp:lastModifiedBy>Neha Amrutkar</cp:lastModifiedBy>
  <cp:revision>1</cp:revision>
  <dcterms:created xsi:type="dcterms:W3CDTF">2022-03-11T05:22:00Z</dcterms:created>
  <dcterms:modified xsi:type="dcterms:W3CDTF">2022-03-11T05:23:00Z</dcterms:modified>
</cp:coreProperties>
</file>