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BA865" w14:textId="77777777" w:rsidR="00D12311" w:rsidRPr="00D12311" w:rsidRDefault="00D12311" w:rsidP="00D12311">
      <w:pPr>
        <w:adjustRightInd w:val="0"/>
        <w:snapToGrid w:val="0"/>
        <w:spacing w:before="240" w:line="480" w:lineRule="auto"/>
        <w:jc w:val="left"/>
        <w:rPr>
          <w:rFonts w:ascii="Times New Roman" w:hAnsi="Times New Roman"/>
          <w:sz w:val="22"/>
        </w:rPr>
      </w:pPr>
      <w:r w:rsidRPr="00D12311">
        <w:rPr>
          <w:rFonts w:ascii="Times New Roman" w:hAnsi="Times New Roman"/>
          <w:b/>
          <w:color w:val="000000"/>
          <w:kern w:val="0"/>
          <w:sz w:val="22"/>
        </w:rPr>
        <w:t>Table 3</w:t>
      </w:r>
      <w:r w:rsidRPr="00D12311">
        <w:rPr>
          <w:rFonts w:ascii="Times New Roman" w:eastAsia="游ゴシック" w:hAnsi="Times New Roman"/>
          <w:color w:val="000000"/>
          <w:kern w:val="0"/>
          <w:sz w:val="22"/>
        </w:rPr>
        <w:t xml:space="preserve"> Summary of the multivariate analysis on the total result disclosure rate</w:t>
      </w:r>
    </w:p>
    <w:tbl>
      <w:tblPr>
        <w:tblW w:w="870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12"/>
        <w:gridCol w:w="930"/>
        <w:gridCol w:w="1043"/>
        <w:gridCol w:w="1519"/>
        <w:gridCol w:w="1398"/>
        <w:gridCol w:w="701"/>
        <w:gridCol w:w="1398"/>
        <w:gridCol w:w="701"/>
      </w:tblGrid>
      <w:tr w:rsidR="00D12311" w:rsidRPr="007D7D3A" w14:paraId="1377436D" w14:textId="77777777" w:rsidTr="00D96C0C">
        <w:trPr>
          <w:trHeight w:val="375"/>
        </w:trPr>
        <w:tc>
          <w:tcPr>
            <w:tcW w:w="101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3814F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Variables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882A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A</w:t>
            </w: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ctual complet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ed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 xml:space="preserve">　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trials</w:t>
            </w:r>
          </w:p>
        </w:tc>
        <w:tc>
          <w:tcPr>
            <w:tcW w:w="1043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D19B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Total disclosure</w:t>
            </w:r>
          </w:p>
        </w:tc>
        <w:tc>
          <w:tcPr>
            <w:tcW w:w="15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02EA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Clopper-Pearson</w:t>
            </w:r>
          </w:p>
        </w:tc>
        <w:tc>
          <w:tcPr>
            <w:tcW w:w="4198" w:type="dxa"/>
            <w:gridSpan w:val="4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7AF78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D12311" w:rsidRPr="007D7D3A" w14:paraId="62B7AB1C" w14:textId="77777777" w:rsidTr="00D96C0C">
        <w:trPr>
          <w:trHeight w:val="582"/>
        </w:trPr>
        <w:tc>
          <w:tcPr>
            <w:tcW w:w="101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625B5A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  <w:hideMark/>
          </w:tcPr>
          <w:p w14:paraId="155772BA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D8F3AE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93732" w14:textId="2DF0A500" w:rsidR="00D12311" w:rsidRPr="00D96C0C" w:rsidRDefault="004D5495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Proportion (</w:t>
            </w:r>
            <w:r w:rsidR="00D12311"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%)</w:t>
            </w:r>
            <w:r w:rsidR="00D12311"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br/>
              <w:t xml:space="preserve"> (95% CI)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A0774" w14:textId="77777777" w:rsidR="004D5495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Crude </w:t>
            </w:r>
            <w:r w:rsidR="004D5495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OR</w:t>
            </w:r>
          </w:p>
          <w:p w14:paraId="689762F6" w14:textId="2918F209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C637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41905E" w14:textId="57AD2169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Adjusted </w:t>
            </w:r>
            <w:r w:rsidR="004D5495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OR</w:t>
            </w: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C5DC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D12311" w:rsidRPr="007D7D3A" w14:paraId="023FE4D6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C3401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Total</w:t>
            </w:r>
          </w:p>
        </w:tc>
        <w:tc>
          <w:tcPr>
            <w:tcW w:w="9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3D43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1017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2C1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629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302F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61.8 (58.8–64.8)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9F6956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3CF578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45EBE3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1B4702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73F87646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9698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Disease: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468B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01F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0E7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B0E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B1E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E90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0598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51DD6D2A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4588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PD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2DA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B135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254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2A1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60.0 (55.2–64.7)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DDD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0.84 (0.53–1.34)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7C8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0.468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8DA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0.62 (0.37–1.03)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2EDE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0.067 </w:t>
            </w:r>
          </w:p>
        </w:tc>
      </w:tr>
      <w:tr w:rsidR="00D12311" w:rsidRPr="007D7D3A" w14:paraId="2B8F1DC9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D194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PD STR TBI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F52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CF1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5EEC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100.0 (29.2–100.0)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4C0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9.04E+8 (0–)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41E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F0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5.94E+9 (0–)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0865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1.000 </w:t>
            </w:r>
          </w:p>
        </w:tc>
      </w:tr>
      <w:tr w:rsidR="00D12311" w:rsidRPr="007D7D3A" w14:paraId="2BA00FC9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81DC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SCI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A69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3EE9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5A4E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47.9 (37.5–58.4)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D74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0.51 (0.29–0.92)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DF7BDA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0.026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76B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0.43 (0.23–0.80)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3BBBB87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0.008 </w:t>
            </w:r>
          </w:p>
        </w:tc>
      </w:tr>
      <w:tr w:rsidR="00D12311" w:rsidRPr="007D7D3A" w14:paraId="6A19639C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5D19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SCI STR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621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2C2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F7EF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100.0 (29.2–100.0)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259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9.04E+8 (0–)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E31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724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9.86E+9 (0–)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3D89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1.000 </w:t>
            </w:r>
          </w:p>
        </w:tc>
      </w:tr>
      <w:tr w:rsidR="00D12311" w:rsidRPr="007D7D3A" w14:paraId="1F548217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4597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STR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9D9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394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FE9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257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413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65.2 (60.3–69.9)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BA5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1.05 (0.65–1.69)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AA9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0.842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262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0.78 (0.47–1.31)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C375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0.345 </w:t>
            </w:r>
          </w:p>
        </w:tc>
      </w:tr>
      <w:tr w:rsidR="00D12311" w:rsidRPr="007D7D3A" w14:paraId="77B410A2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72A4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STR TBI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BF9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DEA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25A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100.0 (63.1–100.0)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683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9.04E+8 (0–)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B2B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DAD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2.20E+9 (0–)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4509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1.000 </w:t>
            </w:r>
          </w:p>
        </w:tc>
      </w:tr>
      <w:tr w:rsidR="00D12311" w:rsidRPr="007D7D3A" w14:paraId="0E314813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F1302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TBI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90CD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86A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31DD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64.1 (53.5–73.9)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BA56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354F6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3632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570A9D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0C2B2BD8" w14:textId="77777777" w:rsidTr="00D96C0C">
        <w:trPr>
          <w:trHeight w:val="255"/>
        </w:trPr>
        <w:tc>
          <w:tcPr>
            <w:tcW w:w="19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AAA4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Completion year: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0F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043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CF3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1AC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9ED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13D5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1FACC3B0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ACE5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CC9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CEC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BD56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39.5 (25.0–55.6)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45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0.67 (0.31–1.44)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601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0.308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678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0.40 (0.17–0.91)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694BE56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0.029 </w:t>
            </w:r>
          </w:p>
        </w:tc>
      </w:tr>
      <w:tr w:rsidR="00D12311" w:rsidRPr="007D7D3A" w14:paraId="77ADF8CD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08E9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A18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359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D223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42.9 (26.3–60.6)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BC6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0.77 (0.34–1.74)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300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0.530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8B7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0.48 (0.20–1.16)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D09C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0.102 </w:t>
            </w:r>
          </w:p>
        </w:tc>
      </w:tr>
      <w:tr w:rsidR="00D12311" w:rsidRPr="007D7D3A" w14:paraId="50C2838A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CFEC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8FE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BDAA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BED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33.3 (20.8–47.9)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2D8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0.51 (0.25–1.08)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4B5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0.078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246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0.45 (0.21–0.996)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7370FD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0.049 </w:t>
            </w:r>
          </w:p>
        </w:tc>
      </w:tr>
      <w:tr w:rsidR="00D12311" w:rsidRPr="007D7D3A" w14:paraId="3A7BABBF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1D2C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0B3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CC60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D99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71.7 (61.8–80.3)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962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2.61 (1.38–4.91)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25837C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0.003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5AD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2.40 (1.22–4.72)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348A58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0.011 </w:t>
            </w:r>
          </w:p>
        </w:tc>
      </w:tr>
      <w:tr w:rsidR="00D12311" w:rsidRPr="007D7D3A" w14:paraId="68922032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8ABD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520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701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B204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64.8 (52.5–75.8)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5D8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1.89 (0.97–3.69)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D96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0.062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3A5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1.62 (0.79–3.29)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9D16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0.185 </w:t>
            </w:r>
          </w:p>
        </w:tc>
      </w:tr>
      <w:tr w:rsidR="00D12311" w:rsidRPr="007D7D3A" w14:paraId="0F53EAA8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1394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E07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83A6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6263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74.3 (62.4–84.0)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C64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2.97 (1.47–6.01)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4C5778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0.003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492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3.00 (1.42–6.31)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18B2683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0.004 </w:t>
            </w:r>
          </w:p>
        </w:tc>
      </w:tr>
      <w:tr w:rsidR="00D12311" w:rsidRPr="007D7D3A" w14:paraId="69F3448F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F41E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E88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6934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BD7C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63.0 (50.9–74.0)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3C8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1.75 (0.91–3.39)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8A5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0.096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2B4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1.63 (0.81–3.28)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07CE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0.175 </w:t>
            </w:r>
          </w:p>
        </w:tc>
      </w:tr>
      <w:tr w:rsidR="00D12311" w:rsidRPr="007D7D3A" w14:paraId="0FFD4128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2214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23F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BE9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70E2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69.6 (58.2–79.5)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0A2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2.36 (1.21–4.57)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63DF43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0.011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4DE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2.42 (1.19–4.88)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428F56A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0.014 </w:t>
            </w:r>
          </w:p>
        </w:tc>
      </w:tr>
      <w:tr w:rsidR="00D12311" w:rsidRPr="007D7D3A" w14:paraId="7B85EE8B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5D3F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F8D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8A6A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EF42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64.3 (53.1–74.4)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EDB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1.85 (0.98–3.51)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368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0.060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2B0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1.76 (0.89–3.48)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9E43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0.105 </w:t>
            </w:r>
          </w:p>
        </w:tc>
      </w:tr>
      <w:tr w:rsidR="00D12311" w:rsidRPr="007D7D3A" w14:paraId="109B46A0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4A66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074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92B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B22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71.8 (60.5–81.4)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428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2.62 (1.33–5.13)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5075C7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0.005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061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2.41 (1.18–4.90)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45BD776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0.016 </w:t>
            </w:r>
          </w:p>
        </w:tc>
      </w:tr>
      <w:tr w:rsidR="00D12311" w:rsidRPr="007D7D3A" w14:paraId="61E26C02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1A2E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171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0ED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21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65.1 (54.1–75.1)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D1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1.92 (1.01–3.63)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CECA35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0.045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976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2.25 (1.13–4.45)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1515016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0.020 </w:t>
            </w:r>
          </w:p>
        </w:tc>
      </w:tr>
      <w:tr w:rsidR="00D12311" w:rsidRPr="007D7D3A" w14:paraId="473456D8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620B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074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187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3F2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64.8 (52.5–75.8)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FA3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1.89 (0.97–3.69)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B0A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0.062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D7B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2.04 (1.01–4.15)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48C4F69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0.048 </w:t>
            </w:r>
          </w:p>
        </w:tc>
      </w:tr>
      <w:tr w:rsidR="00D12311" w:rsidRPr="007D7D3A" w14:paraId="0BCC9FB5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7675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461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97A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E38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49.3 (37.4–61.3)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5CE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0E05F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464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41F9CB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14186708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9A33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804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FC6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EDD7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66.2 (54.0–77.0)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486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2.01 (1.03–3.94)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DCB37A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0.042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6C3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2.26 (1.10–4.64)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51FA8DA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0.026 </w:t>
            </w:r>
          </w:p>
        </w:tc>
      </w:tr>
      <w:tr w:rsidR="00D12311" w:rsidRPr="007D7D3A" w14:paraId="6A7264B9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555F5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F466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082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17EE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45.5 (28.1–63.6)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D7F3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0.86 (0.38–1.95)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6360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0.713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3643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1.03 (0.43–2.47)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94C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0.952 </w:t>
            </w:r>
          </w:p>
        </w:tc>
      </w:tr>
      <w:tr w:rsidR="00D12311" w:rsidRPr="007D7D3A" w14:paraId="01E17567" w14:textId="77777777" w:rsidTr="00D96C0C">
        <w:trPr>
          <w:trHeight w:val="255"/>
        </w:trPr>
        <w:tc>
          <w:tcPr>
            <w:tcW w:w="19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FA87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Recruiting status: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DE7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5CD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938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7F6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9EC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0809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238AC2A0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9668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Completed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F12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832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EF5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522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6AD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62.7 (59.4–66.0)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CDB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62DEF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ADF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6EF408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6EEC8E7B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93038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Terminated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A1C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E83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102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58E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59.0 (51.2–66.4)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645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0.85 (0.61–1.19)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910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0.351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A15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0.68 (0.47–0.99)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6D1F903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0.042 </w:t>
            </w:r>
          </w:p>
        </w:tc>
      </w:tr>
      <w:tr w:rsidR="00D12311" w:rsidRPr="007D7D3A" w14:paraId="752C6E3F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2F24F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Unknown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6A4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8451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F63A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33.3 (4.3–77.7)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4D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0.30 (0.05–1.63)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35B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0.162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0F0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0.37 (0.06–2.13)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6DC4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0.262 </w:t>
            </w:r>
          </w:p>
        </w:tc>
      </w:tr>
      <w:tr w:rsidR="00D12311" w:rsidRPr="007D7D3A" w14:paraId="0C33A721" w14:textId="77777777" w:rsidTr="00D96C0C">
        <w:trPr>
          <w:trHeight w:val="454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8E5AEA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Active, not recruiting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2942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918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ECF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50.0 (11.8–88.2)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A7C5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0.59 (0.12–2.96)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0140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0.525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E34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0.35 (0.05–2.34)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A978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0.279 </w:t>
            </w:r>
          </w:p>
        </w:tc>
      </w:tr>
      <w:tr w:rsidR="00D12311" w:rsidRPr="007D7D3A" w14:paraId="04C0245A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605A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Phase: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1B7C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462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30E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3B1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3F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947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81DE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54FF2918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46B8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II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D94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39FB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238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2975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55.3 (50.5–60.1)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452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0.44 (0.32–0.59)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F7B448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F5C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0.51 (0.37–0.72)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613F507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D7D3A" w14:paraId="2921852C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5037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III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274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364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55D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269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F58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73.9 (69.1–78.3)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E14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FE6B8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361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8344AA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3C940329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EB6EA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IV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BDEE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223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86E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122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F117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54.7 (47.9–61.4)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E7E4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0.43 (0.30–0.61)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082FB83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B265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0.42 (0.28–0.61)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0BBBBED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D7D3A" w14:paraId="410BE8EA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0E52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Sponsor: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0BC5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764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843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67B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242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023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56AB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100CC592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2B5C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BIG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0D7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268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513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2791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75.7 (70.2–80.8)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3C1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2.22 (1.59–3.09)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79C4F8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222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2.44 (1.64–3.63)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0DBFBEF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D7D3A" w14:paraId="12924046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3759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SMALL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2BD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E77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137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FA76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53.7 (47.4–60.0)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454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0.82 (0.61–1.12)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D3F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0.211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96E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0.79 (0.56–1.12)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DC10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0.180 </w:t>
            </w:r>
          </w:p>
        </w:tc>
      </w:tr>
      <w:tr w:rsidR="00D12311" w:rsidRPr="007D7D3A" w14:paraId="4ADB458F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8690B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AC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2738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494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0C8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289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CAD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58.5 (54.0–62.9)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D7E5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1C56A9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7BEB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17B1B8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57CE11A2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580A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Modality: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5059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429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A58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A7E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E2F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526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90AC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0103D326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624C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CC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CD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F9C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495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12FD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61.3 (57.8–64.6)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4DA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D4BD2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D90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C59EDC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D7D3A" w14:paraId="70AA7C57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02D8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BLG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C82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167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46A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115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7BA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68.9 (61.2–75.8)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3B2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1.40 (0.98–2.00)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918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0.065 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730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1.27 (0.84–1.92)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DD4D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0.259 </w:t>
            </w:r>
          </w:p>
        </w:tc>
      </w:tr>
      <w:tr w:rsidR="00D12311" w:rsidRPr="007D7D3A" w14:paraId="697A553F" w14:textId="77777777" w:rsidTr="00D96C0C">
        <w:trPr>
          <w:trHeight w:val="255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0FFB4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GCT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E7E0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79A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8F4D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45.2 (29.8–61.3)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537D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0.52 (0.28–0.98)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50EC103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0.041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7EBE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0.68 (0.34–1.34)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1941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0.260 </w:t>
            </w:r>
          </w:p>
        </w:tc>
      </w:tr>
    </w:tbl>
    <w:p w14:paraId="51A12023" w14:textId="77777777" w:rsidR="00AB1C37" w:rsidRDefault="00AB1C37" w:rsidP="00AD67F9">
      <w:pPr>
        <w:rPr>
          <w:rFonts w:hint="eastAsia"/>
        </w:rPr>
      </w:pPr>
    </w:p>
    <w:sectPr w:rsidR="00AB1C3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C4C3D" w14:textId="77777777" w:rsidR="004D5495" w:rsidRDefault="004D5495" w:rsidP="004D5495">
      <w:r>
        <w:separator/>
      </w:r>
    </w:p>
  </w:endnote>
  <w:endnote w:type="continuationSeparator" w:id="0">
    <w:p w14:paraId="53A0B819" w14:textId="77777777" w:rsidR="004D5495" w:rsidRDefault="004D5495" w:rsidP="004D5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AD381" w14:textId="77777777" w:rsidR="004D5495" w:rsidRDefault="004D5495" w:rsidP="004D5495">
      <w:r>
        <w:separator/>
      </w:r>
    </w:p>
  </w:footnote>
  <w:footnote w:type="continuationSeparator" w:id="0">
    <w:p w14:paraId="45F47B1A" w14:textId="77777777" w:rsidR="004D5495" w:rsidRDefault="004D5495" w:rsidP="004D5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E0A83"/>
    <w:multiLevelType w:val="hybridMultilevel"/>
    <w:tmpl w:val="265C2132"/>
    <w:lvl w:ilvl="0" w:tplc="90C8DFD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81785D"/>
    <w:multiLevelType w:val="hybridMultilevel"/>
    <w:tmpl w:val="72E06DAA"/>
    <w:lvl w:ilvl="0" w:tplc="BA7A5F4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CFE4070"/>
    <w:multiLevelType w:val="hybridMultilevel"/>
    <w:tmpl w:val="8C3C3DB6"/>
    <w:lvl w:ilvl="0" w:tplc="91E6A75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CD5895"/>
    <w:multiLevelType w:val="hybridMultilevel"/>
    <w:tmpl w:val="0CD23CF2"/>
    <w:lvl w:ilvl="0" w:tplc="3732F92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CD2154"/>
    <w:multiLevelType w:val="hybridMultilevel"/>
    <w:tmpl w:val="3356F058"/>
    <w:lvl w:ilvl="0" w:tplc="BAA00B4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7DB223A"/>
    <w:multiLevelType w:val="multilevel"/>
    <w:tmpl w:val="8546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DA411C"/>
    <w:multiLevelType w:val="hybridMultilevel"/>
    <w:tmpl w:val="92428AFE"/>
    <w:lvl w:ilvl="0" w:tplc="DD521C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98B40FC"/>
    <w:multiLevelType w:val="hybridMultilevel"/>
    <w:tmpl w:val="28A6F3FC"/>
    <w:lvl w:ilvl="0" w:tplc="CBAE819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66562479">
    <w:abstractNumId w:val="2"/>
  </w:num>
  <w:num w:numId="2" w16cid:durableId="1996258179">
    <w:abstractNumId w:val="7"/>
  </w:num>
  <w:num w:numId="3" w16cid:durableId="683477060">
    <w:abstractNumId w:val="1"/>
  </w:num>
  <w:num w:numId="4" w16cid:durableId="1180774621">
    <w:abstractNumId w:val="4"/>
  </w:num>
  <w:num w:numId="5" w16cid:durableId="1218976212">
    <w:abstractNumId w:val="3"/>
  </w:num>
  <w:num w:numId="6" w16cid:durableId="189269704">
    <w:abstractNumId w:val="6"/>
  </w:num>
  <w:num w:numId="7" w16cid:durableId="1711757775">
    <w:abstractNumId w:val="5"/>
  </w:num>
  <w:num w:numId="8" w16cid:durableId="49796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11"/>
    <w:rsid w:val="004D5495"/>
    <w:rsid w:val="00AB1C37"/>
    <w:rsid w:val="00AD67F9"/>
    <w:rsid w:val="00D1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ED99511"/>
  <w15:chartTrackingRefBased/>
  <w15:docId w15:val="{C7150DA0-6465-44D4-926F-BE531237C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311"/>
    <w:pPr>
      <w:widowControl w:val="0"/>
      <w:jc w:val="both"/>
    </w:pPr>
    <w:rPr>
      <w:rFonts w:ascii="游明朝" w:eastAsia="游明朝" w:hAnsi="游明朝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311"/>
    <w:pPr>
      <w:widowControl w:val="0"/>
      <w:jc w:val="both"/>
    </w:pPr>
    <w:rPr>
      <w:rFonts w:ascii="游明朝" w:eastAsia="游明朝" w:hAnsi="游明朝" w:cs="Times New Roman"/>
    </w:rPr>
  </w:style>
  <w:style w:type="paragraph" w:styleId="a4">
    <w:name w:val="header"/>
    <w:basedOn w:val="a"/>
    <w:link w:val="a5"/>
    <w:uiPriority w:val="99"/>
    <w:unhideWhenUsed/>
    <w:rsid w:val="00D123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12311"/>
    <w:rPr>
      <w:rFonts w:ascii="游明朝" w:eastAsia="游明朝" w:hAnsi="游明朝" w:cs="Times New Roman"/>
    </w:rPr>
  </w:style>
  <w:style w:type="paragraph" w:styleId="a6">
    <w:name w:val="footer"/>
    <w:basedOn w:val="a"/>
    <w:link w:val="a7"/>
    <w:uiPriority w:val="99"/>
    <w:unhideWhenUsed/>
    <w:rsid w:val="00D123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12311"/>
    <w:rPr>
      <w:rFonts w:ascii="游明朝" w:eastAsia="游明朝" w:hAnsi="游明朝" w:cs="Times New Roman"/>
    </w:rPr>
  </w:style>
  <w:style w:type="paragraph" w:styleId="a8">
    <w:name w:val="List Paragraph"/>
    <w:basedOn w:val="a"/>
    <w:uiPriority w:val="34"/>
    <w:qFormat/>
    <w:rsid w:val="00D12311"/>
    <w:pPr>
      <w:ind w:leftChars="400" w:left="840"/>
    </w:pPr>
  </w:style>
  <w:style w:type="character" w:styleId="a9">
    <w:name w:val="Emphasis"/>
    <w:uiPriority w:val="20"/>
    <w:qFormat/>
    <w:rsid w:val="00D12311"/>
    <w:rPr>
      <w:i/>
      <w:iCs/>
    </w:rPr>
  </w:style>
  <w:style w:type="character" w:styleId="aa">
    <w:name w:val="Hyperlink"/>
    <w:uiPriority w:val="99"/>
    <w:unhideWhenUsed/>
    <w:rsid w:val="00D12311"/>
    <w:rPr>
      <w:color w:val="0563C1"/>
      <w:u w:val="single"/>
    </w:rPr>
  </w:style>
  <w:style w:type="character" w:styleId="ab">
    <w:name w:val="annotation reference"/>
    <w:uiPriority w:val="99"/>
    <w:semiHidden/>
    <w:unhideWhenUsed/>
    <w:rsid w:val="00D1231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D12311"/>
    <w:pPr>
      <w:snapToGrid w:val="0"/>
    </w:pPr>
    <w:rPr>
      <w:rFonts w:ascii="Calibri" w:hAnsi="Calibri"/>
      <w:sz w:val="24"/>
      <w:szCs w:val="20"/>
    </w:rPr>
  </w:style>
  <w:style w:type="character" w:customStyle="1" w:styleId="ad">
    <w:name w:val="コメント文字列 (文字)"/>
    <w:basedOn w:val="a0"/>
    <w:link w:val="ac"/>
    <w:uiPriority w:val="99"/>
    <w:rsid w:val="00D12311"/>
    <w:rPr>
      <w:rFonts w:ascii="Calibri" w:eastAsia="游明朝" w:hAnsi="Calibri" w:cs="Times New Roman"/>
      <w:sz w:val="24"/>
      <w:szCs w:val="20"/>
    </w:rPr>
  </w:style>
  <w:style w:type="character" w:customStyle="1" w:styleId="ae">
    <w:name w:val="コメント内容 (文字)"/>
    <w:link w:val="af"/>
    <w:uiPriority w:val="99"/>
    <w:semiHidden/>
    <w:rsid w:val="00D12311"/>
    <w:rPr>
      <w:rFonts w:ascii="Calibri" w:hAnsi="Calibri"/>
      <w:b/>
      <w:bCs/>
      <w:sz w:val="24"/>
    </w:rPr>
  </w:style>
  <w:style w:type="paragraph" w:styleId="af">
    <w:name w:val="annotation subject"/>
    <w:basedOn w:val="ac"/>
    <w:next w:val="ac"/>
    <w:link w:val="ae"/>
    <w:uiPriority w:val="99"/>
    <w:semiHidden/>
    <w:unhideWhenUsed/>
    <w:rsid w:val="00D12311"/>
    <w:rPr>
      <w:rFonts w:eastAsiaTheme="minorEastAsia" w:cstheme="minorBidi"/>
      <w:b/>
      <w:bCs/>
      <w:szCs w:val="22"/>
    </w:rPr>
  </w:style>
  <w:style w:type="character" w:customStyle="1" w:styleId="1">
    <w:name w:val="コメント内容 (文字)1"/>
    <w:basedOn w:val="ad"/>
    <w:uiPriority w:val="99"/>
    <w:semiHidden/>
    <w:rsid w:val="00D12311"/>
    <w:rPr>
      <w:rFonts w:ascii="Calibri" w:eastAsia="游明朝" w:hAnsi="Calibri" w:cs="Times New Roman"/>
      <w:b/>
      <w:bCs/>
      <w:sz w:val="24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12311"/>
    <w:rPr>
      <w:rFonts w:ascii="Tahoma" w:hAnsi="Tahoma" w:cs="Tahoma"/>
      <w:sz w:val="16"/>
      <w:szCs w:val="16"/>
    </w:rPr>
  </w:style>
  <w:style w:type="character" w:customStyle="1" w:styleId="af1">
    <w:name w:val="吹き出し (文字)"/>
    <w:basedOn w:val="a0"/>
    <w:link w:val="af0"/>
    <w:uiPriority w:val="99"/>
    <w:semiHidden/>
    <w:rsid w:val="00D12311"/>
    <w:rPr>
      <w:rFonts w:ascii="Tahoma" w:eastAsia="游明朝" w:hAnsi="Tahoma" w:cs="Tahoma"/>
      <w:sz w:val="16"/>
      <w:szCs w:val="16"/>
    </w:rPr>
  </w:style>
  <w:style w:type="character" w:customStyle="1" w:styleId="10">
    <w:name w:val="未解決のメンション1"/>
    <w:uiPriority w:val="99"/>
    <w:semiHidden/>
    <w:unhideWhenUsed/>
    <w:rsid w:val="00D12311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12311"/>
    <w:rPr>
      <w:rFonts w:ascii="游明朝" w:eastAsia="游明朝" w:hAnsi="游明朝" w:cs="Times New Roman"/>
    </w:rPr>
  </w:style>
  <w:style w:type="paragraph" w:styleId="Web">
    <w:name w:val="Normal (Web)"/>
    <w:basedOn w:val="a"/>
    <w:uiPriority w:val="99"/>
    <w:semiHidden/>
    <w:unhideWhenUsed/>
    <w:rsid w:val="00D1231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uiPriority w:val="99"/>
    <w:semiHidden/>
    <w:unhideWhenUsed/>
    <w:rsid w:val="00D12311"/>
    <w:rPr>
      <w:color w:val="605E5C"/>
      <w:shd w:val="clear" w:color="auto" w:fill="E1DFDD"/>
    </w:rPr>
  </w:style>
  <w:style w:type="character" w:customStyle="1" w:styleId="3">
    <w:name w:val="未解決のメンション3"/>
    <w:uiPriority w:val="99"/>
    <w:semiHidden/>
    <w:unhideWhenUsed/>
    <w:rsid w:val="00D12311"/>
    <w:rPr>
      <w:color w:val="605E5C"/>
      <w:shd w:val="clear" w:color="auto" w:fill="E1DFDD"/>
    </w:rPr>
  </w:style>
  <w:style w:type="character" w:styleId="af3">
    <w:name w:val="FollowedHyperlink"/>
    <w:uiPriority w:val="99"/>
    <w:semiHidden/>
    <w:unhideWhenUsed/>
    <w:rsid w:val="00D12311"/>
    <w:rPr>
      <w:color w:val="800080"/>
      <w:u w:val="single"/>
    </w:rPr>
  </w:style>
  <w:style w:type="character" w:customStyle="1" w:styleId="4">
    <w:name w:val="未解決のメンション4"/>
    <w:uiPriority w:val="99"/>
    <w:semiHidden/>
    <w:unhideWhenUsed/>
    <w:rsid w:val="00D123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negorota@yahoo.co.jp</dc:creator>
  <cp:keywords/>
  <dc:description/>
  <cp:lastModifiedBy>negorota@yahoo.co.jp</cp:lastModifiedBy>
  <cp:revision>2</cp:revision>
  <dcterms:created xsi:type="dcterms:W3CDTF">2022-06-21T05:55:00Z</dcterms:created>
  <dcterms:modified xsi:type="dcterms:W3CDTF">2022-06-21T05:55:00Z</dcterms:modified>
</cp:coreProperties>
</file>