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D7016" w14:textId="45198DF8" w:rsidR="001B44D4" w:rsidRPr="00072BCB" w:rsidRDefault="001B44D4" w:rsidP="001B44D4">
      <w:pPr>
        <w:spacing w:line="360" w:lineRule="auto"/>
        <w:jc w:val="center"/>
        <w:rPr>
          <w:b/>
          <w:sz w:val="28"/>
          <w:szCs w:val="28"/>
        </w:rPr>
      </w:pPr>
      <w:r w:rsidRPr="00072BCB">
        <w:rPr>
          <w:b/>
          <w:sz w:val="28"/>
          <w:szCs w:val="28"/>
        </w:rPr>
        <w:t xml:space="preserve">Supporting Information </w:t>
      </w:r>
    </w:p>
    <w:p w14:paraId="71DCBB7B" w14:textId="77777777" w:rsidR="00A76FEC" w:rsidRPr="007C64A9" w:rsidRDefault="00A76FEC" w:rsidP="00A76FEC">
      <w:pPr>
        <w:spacing w:before="240" w:line="360" w:lineRule="auto"/>
        <w:jc w:val="center"/>
        <w:rPr>
          <w:rFonts w:cstheme="minorHAnsi"/>
          <w:b/>
          <w:sz w:val="24"/>
          <w:szCs w:val="24"/>
        </w:rPr>
      </w:pPr>
      <w:bookmarkStart w:id="0" w:name="_Hlk96007497"/>
      <w:r w:rsidRPr="007C64A9">
        <w:rPr>
          <w:rFonts w:cstheme="minorHAnsi"/>
          <w:b/>
          <w:sz w:val="24"/>
          <w:szCs w:val="24"/>
        </w:rPr>
        <w:t xml:space="preserve">Optimization of Extraction Parameters and Investigation Anti-Osteosarcoma Effects of Low Methoxy Pectin </w:t>
      </w:r>
    </w:p>
    <w:p w14:paraId="3C11581E" w14:textId="77777777" w:rsidR="00A76FEC" w:rsidRPr="00F03876" w:rsidRDefault="00A76FEC" w:rsidP="00A76FEC">
      <w:pPr>
        <w:spacing w:before="240" w:after="0" w:line="240" w:lineRule="auto"/>
        <w:jc w:val="center"/>
        <w:rPr>
          <w:rFonts w:cstheme="minorHAnsi"/>
          <w:sz w:val="18"/>
          <w:szCs w:val="18"/>
          <w:vertAlign w:val="superscript"/>
        </w:rPr>
      </w:pPr>
      <w:proofErr w:type="spellStart"/>
      <w:r w:rsidRPr="00F03876">
        <w:rPr>
          <w:rFonts w:cstheme="minorHAnsi"/>
          <w:sz w:val="18"/>
          <w:szCs w:val="18"/>
        </w:rPr>
        <w:t>Cemile</w:t>
      </w:r>
      <w:proofErr w:type="spellEnd"/>
      <w:r w:rsidRPr="00F03876">
        <w:rPr>
          <w:rFonts w:cstheme="minorHAnsi"/>
          <w:sz w:val="18"/>
          <w:szCs w:val="18"/>
        </w:rPr>
        <w:t xml:space="preserve"> Uslu</w:t>
      </w:r>
      <w:r w:rsidRPr="00F03876">
        <w:rPr>
          <w:rFonts w:cstheme="minorHAnsi"/>
          <w:sz w:val="18"/>
          <w:szCs w:val="18"/>
          <w:vertAlign w:val="superscript"/>
        </w:rPr>
        <w:t>2</w:t>
      </w:r>
      <w:r w:rsidRPr="00F03876">
        <w:rPr>
          <w:rFonts w:cstheme="minorHAnsi"/>
          <w:sz w:val="18"/>
          <w:szCs w:val="18"/>
        </w:rPr>
        <w:t>, Dilara Yeniterzi</w:t>
      </w:r>
      <w:r w:rsidRPr="00F03876">
        <w:rPr>
          <w:rFonts w:cstheme="minorHAnsi"/>
          <w:sz w:val="18"/>
          <w:szCs w:val="18"/>
          <w:vertAlign w:val="superscript"/>
        </w:rPr>
        <w:t>1</w:t>
      </w:r>
      <w:r w:rsidRPr="00F03876">
        <w:rPr>
          <w:rFonts w:cstheme="minorHAnsi"/>
          <w:sz w:val="18"/>
          <w:szCs w:val="18"/>
        </w:rPr>
        <w:t xml:space="preserve">, </w:t>
      </w:r>
      <w:proofErr w:type="spellStart"/>
      <w:r w:rsidRPr="00F03876">
        <w:rPr>
          <w:rFonts w:cstheme="minorHAnsi"/>
          <w:sz w:val="18"/>
          <w:szCs w:val="18"/>
        </w:rPr>
        <w:t>Sümeyye</w:t>
      </w:r>
      <w:proofErr w:type="spellEnd"/>
      <w:r w:rsidRPr="00F03876">
        <w:rPr>
          <w:rFonts w:cstheme="minorHAnsi"/>
          <w:sz w:val="18"/>
          <w:szCs w:val="18"/>
        </w:rPr>
        <w:t xml:space="preserve"> Narin</w:t>
      </w:r>
      <w:r w:rsidRPr="00F03876">
        <w:rPr>
          <w:rFonts w:cstheme="minorHAnsi"/>
          <w:sz w:val="18"/>
          <w:szCs w:val="18"/>
          <w:vertAlign w:val="superscript"/>
        </w:rPr>
        <w:t>4</w:t>
      </w:r>
      <w:r w:rsidRPr="00F03876">
        <w:rPr>
          <w:rFonts w:cstheme="minorHAnsi"/>
          <w:sz w:val="18"/>
          <w:szCs w:val="18"/>
        </w:rPr>
        <w:t>, Gülcihan Gülseren</w:t>
      </w:r>
      <w:r w:rsidRPr="00F03876">
        <w:rPr>
          <w:rFonts w:cstheme="minorHAnsi"/>
          <w:sz w:val="18"/>
          <w:szCs w:val="18"/>
          <w:vertAlign w:val="superscript"/>
        </w:rPr>
        <w:t>1,2,3*</w:t>
      </w:r>
    </w:p>
    <w:p w14:paraId="006E4940" w14:textId="77777777" w:rsidR="00A76FEC" w:rsidRPr="00F03876" w:rsidRDefault="00A76FEC" w:rsidP="00A76FEC">
      <w:pPr>
        <w:spacing w:before="240" w:after="0" w:line="240" w:lineRule="auto"/>
        <w:jc w:val="center"/>
        <w:rPr>
          <w:rFonts w:cstheme="minorHAnsi"/>
          <w:sz w:val="18"/>
          <w:szCs w:val="18"/>
        </w:rPr>
      </w:pPr>
      <w:r w:rsidRPr="00F03876">
        <w:rPr>
          <w:rFonts w:cstheme="minorHAnsi"/>
          <w:sz w:val="18"/>
          <w:szCs w:val="18"/>
          <w:vertAlign w:val="superscript"/>
        </w:rPr>
        <w:t>1</w:t>
      </w:r>
      <w:r w:rsidRPr="00F03876">
        <w:rPr>
          <w:rFonts w:cstheme="minorHAnsi"/>
          <w:sz w:val="18"/>
          <w:szCs w:val="18"/>
        </w:rPr>
        <w:t>Department of Biotechnology, Graduate School of Natural &amp; Applied Sciences, Konya Food and Agriculture University, 42080, Konya, Turkey</w:t>
      </w:r>
    </w:p>
    <w:p w14:paraId="21FCC144" w14:textId="77777777" w:rsidR="00A76FEC" w:rsidRPr="00F03876" w:rsidRDefault="00A76FEC" w:rsidP="00A76FEC">
      <w:pPr>
        <w:spacing w:before="240" w:after="0" w:line="240" w:lineRule="auto"/>
        <w:jc w:val="center"/>
        <w:rPr>
          <w:rFonts w:cstheme="minorHAnsi"/>
          <w:sz w:val="18"/>
          <w:szCs w:val="18"/>
        </w:rPr>
      </w:pPr>
      <w:r w:rsidRPr="00F03876">
        <w:rPr>
          <w:rFonts w:cstheme="minorHAnsi"/>
          <w:sz w:val="18"/>
          <w:szCs w:val="18"/>
          <w:vertAlign w:val="superscript"/>
        </w:rPr>
        <w:t>2</w:t>
      </w:r>
      <w:r w:rsidRPr="00F03876">
        <w:rPr>
          <w:rFonts w:cstheme="minorHAnsi"/>
          <w:sz w:val="18"/>
          <w:szCs w:val="18"/>
        </w:rPr>
        <w:t>Department of Molecular Biology and Genetics, Faculty of Agriculture and Natural Sciences,  Konya Food and Agriculture University, 42080, Konya, Turkey</w:t>
      </w:r>
    </w:p>
    <w:p w14:paraId="788F1D33" w14:textId="77777777" w:rsidR="00A76FEC" w:rsidRDefault="00A76FEC" w:rsidP="00A76FEC">
      <w:pPr>
        <w:spacing w:before="240" w:after="0" w:line="240" w:lineRule="auto"/>
        <w:jc w:val="center"/>
        <w:rPr>
          <w:rFonts w:cstheme="minorHAnsi"/>
          <w:sz w:val="18"/>
          <w:szCs w:val="18"/>
        </w:rPr>
      </w:pPr>
      <w:r w:rsidRPr="00F03876">
        <w:rPr>
          <w:rFonts w:cstheme="minorHAnsi"/>
          <w:sz w:val="18"/>
          <w:szCs w:val="18"/>
          <w:vertAlign w:val="superscript"/>
        </w:rPr>
        <w:t>3</w:t>
      </w:r>
      <w:r w:rsidRPr="00F03876">
        <w:rPr>
          <w:rFonts w:cstheme="minorHAnsi"/>
          <w:sz w:val="18"/>
          <w:szCs w:val="18"/>
        </w:rPr>
        <w:t>Research and Development Center for Diagnostic Kits (KIT-ARGEM), Konya Food and Agriculture University, Konya, Turkey</w:t>
      </w:r>
    </w:p>
    <w:p w14:paraId="25602E85" w14:textId="77777777" w:rsidR="00A76FEC" w:rsidRPr="00F03876" w:rsidRDefault="00A76FEC" w:rsidP="00A76FEC">
      <w:pPr>
        <w:spacing w:before="240" w:after="0" w:line="240" w:lineRule="auto"/>
        <w:jc w:val="center"/>
        <w:rPr>
          <w:rFonts w:cstheme="minorHAnsi"/>
          <w:sz w:val="18"/>
          <w:szCs w:val="18"/>
        </w:rPr>
      </w:pPr>
      <w:r w:rsidRPr="00F03876">
        <w:rPr>
          <w:rFonts w:cstheme="minorHAnsi"/>
          <w:sz w:val="18"/>
          <w:szCs w:val="18"/>
          <w:vertAlign w:val="superscript"/>
        </w:rPr>
        <w:t>4</w:t>
      </w:r>
      <w:r w:rsidRPr="00F03876">
        <w:rPr>
          <w:rFonts w:cstheme="minorHAnsi"/>
          <w:sz w:val="18"/>
          <w:szCs w:val="18"/>
        </w:rPr>
        <w:t>Department of Bioengineering, Faculty of Engineering and Architecture,  Konya Food and Agriculture University, 42080, Konya, Turkey</w:t>
      </w:r>
    </w:p>
    <w:p w14:paraId="75E55F48" w14:textId="77777777" w:rsidR="00A76FEC" w:rsidRPr="00F03876" w:rsidRDefault="00A76FEC" w:rsidP="00A76FEC">
      <w:pPr>
        <w:spacing w:before="240" w:line="360" w:lineRule="auto"/>
        <w:jc w:val="center"/>
        <w:rPr>
          <w:rFonts w:cstheme="minorHAnsi"/>
          <w:sz w:val="18"/>
        </w:rPr>
      </w:pPr>
      <w:r w:rsidRPr="00F03876">
        <w:rPr>
          <w:rFonts w:cstheme="minorHAnsi"/>
          <w:sz w:val="18"/>
          <w:vertAlign w:val="superscript"/>
        </w:rPr>
        <w:t>*</w:t>
      </w:r>
      <w:r w:rsidRPr="00F03876">
        <w:rPr>
          <w:rFonts w:cstheme="minorHAnsi"/>
          <w:sz w:val="18"/>
        </w:rPr>
        <w:t xml:space="preserve">Corresponding author: </w:t>
      </w:r>
      <w:hyperlink r:id="rId7" w:history="1">
        <w:r w:rsidRPr="00F03876">
          <w:rPr>
            <w:rStyle w:val="Kpr"/>
            <w:rFonts w:cstheme="minorHAnsi"/>
            <w:sz w:val="18"/>
          </w:rPr>
          <w:t>gulcihan.gulseren@gidatarim.edu.tr</w:t>
        </w:r>
      </w:hyperlink>
      <w:bookmarkEnd w:id="0"/>
    </w:p>
    <w:p w14:paraId="6B39797F" w14:textId="2E650319" w:rsidR="001B44D4" w:rsidRPr="00FC3145" w:rsidRDefault="001B44D4" w:rsidP="001B44D4">
      <w:pPr>
        <w:autoSpaceDE w:val="0"/>
        <w:autoSpaceDN w:val="0"/>
        <w:adjustRightInd w:val="0"/>
        <w:spacing w:after="0" w:line="360" w:lineRule="auto"/>
        <w:jc w:val="both"/>
        <w:rPr>
          <w:sz w:val="20"/>
          <w:szCs w:val="20"/>
        </w:rPr>
      </w:pPr>
    </w:p>
    <w:p w14:paraId="16F6E00B" w14:textId="77777777" w:rsidR="001B44D4" w:rsidRPr="002F077D" w:rsidRDefault="001B44D4" w:rsidP="001B44D4">
      <w:pPr>
        <w:autoSpaceDE w:val="0"/>
        <w:autoSpaceDN w:val="0"/>
        <w:adjustRightInd w:val="0"/>
        <w:spacing w:after="0" w:line="360" w:lineRule="auto"/>
        <w:rPr>
          <w:b/>
          <w:sz w:val="20"/>
          <w:szCs w:val="20"/>
        </w:rPr>
      </w:pPr>
    </w:p>
    <w:p w14:paraId="17FDD6D9" w14:textId="77777777" w:rsidR="001B44D4" w:rsidRPr="002F077D" w:rsidRDefault="001B44D4" w:rsidP="001B44D4">
      <w:pPr>
        <w:autoSpaceDE w:val="0"/>
        <w:autoSpaceDN w:val="0"/>
        <w:adjustRightInd w:val="0"/>
        <w:spacing w:after="0" w:line="360" w:lineRule="auto"/>
        <w:jc w:val="both"/>
        <w:rPr>
          <w:rFonts w:cstheme="minorHAnsi"/>
          <w:b/>
          <w:color w:val="000000" w:themeColor="text1"/>
        </w:rPr>
      </w:pPr>
      <w:r w:rsidRPr="002F077D">
        <w:rPr>
          <w:b/>
        </w:rPr>
        <w:t>Supplementary Figures</w:t>
      </w:r>
    </w:p>
    <w:p w14:paraId="0027F5F0" w14:textId="77777777" w:rsidR="001B44D4" w:rsidRPr="00206A49" w:rsidRDefault="001B44D4" w:rsidP="001B44D4">
      <w:pPr>
        <w:autoSpaceDE w:val="0"/>
        <w:autoSpaceDN w:val="0"/>
        <w:adjustRightInd w:val="0"/>
        <w:spacing w:after="0" w:line="360" w:lineRule="auto"/>
        <w:jc w:val="both"/>
        <w:rPr>
          <w:rFonts w:cstheme="minorHAnsi"/>
          <w:color w:val="000000" w:themeColor="text1"/>
        </w:rPr>
      </w:pPr>
      <w:r w:rsidRPr="00206A49">
        <w:rPr>
          <w:noProof/>
          <w:lang w:val="tr-TR" w:eastAsia="tr-TR"/>
        </w:rPr>
        <w:drawing>
          <wp:inline distT="0" distB="0" distL="0" distR="0" wp14:anchorId="25F6E1DD" wp14:editId="0B439057">
            <wp:extent cx="5760720" cy="1635658"/>
            <wp:effectExtent l="0" t="0" r="0" b="3175"/>
            <wp:docPr id="6" name="Resim 6" descr="şişe, tas, iç mekan, cam fanus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im 6" descr="şişe, tas, iç mekan, cam fanus içeren bir resim&#10;&#10;Açıklama otomatik olarak oluşturuldu"/>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1635658"/>
                    </a:xfrm>
                    <a:prstGeom prst="rect">
                      <a:avLst/>
                    </a:prstGeom>
                  </pic:spPr>
                </pic:pic>
              </a:graphicData>
            </a:graphic>
          </wp:inline>
        </w:drawing>
      </w:r>
    </w:p>
    <w:p w14:paraId="1812A705" w14:textId="575FF7A3" w:rsidR="001B44D4" w:rsidRPr="000B2C44" w:rsidRDefault="001B44D4" w:rsidP="00072BCB">
      <w:pPr>
        <w:spacing w:line="360" w:lineRule="auto"/>
        <w:jc w:val="both"/>
        <w:rPr>
          <w:sz w:val="18"/>
          <w:szCs w:val="18"/>
        </w:rPr>
      </w:pPr>
      <w:r w:rsidRPr="000B2C44">
        <w:rPr>
          <w:b/>
          <w:sz w:val="18"/>
          <w:szCs w:val="18"/>
        </w:rPr>
        <w:t>Fig</w:t>
      </w:r>
      <w:r w:rsidR="008A09C4">
        <w:rPr>
          <w:b/>
          <w:sz w:val="18"/>
          <w:szCs w:val="18"/>
        </w:rPr>
        <w:t>. S</w:t>
      </w:r>
      <w:r w:rsidRPr="000B2C44">
        <w:rPr>
          <w:b/>
          <w:sz w:val="18"/>
          <w:szCs w:val="18"/>
        </w:rPr>
        <w:t>1.</w:t>
      </w:r>
      <w:r w:rsidRPr="000B2C44">
        <w:rPr>
          <w:sz w:val="18"/>
          <w:szCs w:val="18"/>
        </w:rPr>
        <w:t xml:space="preserve"> Determination of esterification degree of the pectin with titration method. </w:t>
      </w:r>
      <w:r w:rsidRPr="00AA4F75">
        <w:rPr>
          <w:b/>
          <w:sz w:val="18"/>
          <w:szCs w:val="18"/>
        </w:rPr>
        <w:t xml:space="preserve">A) </w:t>
      </w:r>
      <w:r w:rsidRPr="000B2C44">
        <w:rPr>
          <w:sz w:val="18"/>
          <w:szCs w:val="18"/>
        </w:rPr>
        <w:t xml:space="preserve">Pectin is moistened with 65% ethanol and then dissolved in CO2 free water and phenolphthalein is added as pH indicator. </w:t>
      </w:r>
      <w:r w:rsidRPr="00AA4F75">
        <w:rPr>
          <w:b/>
          <w:sz w:val="18"/>
          <w:szCs w:val="18"/>
        </w:rPr>
        <w:t>B)</w:t>
      </w:r>
      <w:r>
        <w:rPr>
          <w:sz w:val="18"/>
          <w:szCs w:val="18"/>
        </w:rPr>
        <w:t xml:space="preserve"> </w:t>
      </w:r>
      <w:r w:rsidRPr="000B2C44">
        <w:rPr>
          <w:sz w:val="18"/>
          <w:szCs w:val="18"/>
        </w:rPr>
        <w:t xml:space="preserve">The mixture is titrated with 0.1 M NaOH until the faint pink color is retained. Added NaOH value is recorded. </w:t>
      </w:r>
      <w:r w:rsidRPr="00AA4F75">
        <w:rPr>
          <w:b/>
          <w:sz w:val="18"/>
          <w:szCs w:val="18"/>
        </w:rPr>
        <w:t>C)</w:t>
      </w:r>
      <w:r w:rsidRPr="000B2C44">
        <w:rPr>
          <w:sz w:val="18"/>
          <w:szCs w:val="18"/>
        </w:rPr>
        <w:t xml:space="preserve"> 10 ml of 0.1 M NaOH is </w:t>
      </w:r>
      <w:r w:rsidR="00072BCB" w:rsidRPr="000B2C44">
        <w:rPr>
          <w:sz w:val="18"/>
          <w:szCs w:val="18"/>
        </w:rPr>
        <w:t>added,</w:t>
      </w:r>
      <w:r w:rsidRPr="000B2C44">
        <w:rPr>
          <w:sz w:val="18"/>
          <w:szCs w:val="18"/>
        </w:rPr>
        <w:t xml:space="preserve"> and mixture is stirred for 30 minutes. </w:t>
      </w:r>
      <w:r w:rsidRPr="00AA4F75">
        <w:rPr>
          <w:b/>
          <w:sz w:val="18"/>
          <w:szCs w:val="18"/>
        </w:rPr>
        <w:t>D)</w:t>
      </w:r>
      <w:r w:rsidRPr="000B2C44">
        <w:rPr>
          <w:sz w:val="18"/>
          <w:szCs w:val="18"/>
        </w:rPr>
        <w:t xml:space="preserve"> 0.1 M HCl is added to mixture in order to neutralize it. </w:t>
      </w:r>
      <w:r w:rsidRPr="00AA4F75">
        <w:rPr>
          <w:b/>
          <w:sz w:val="18"/>
          <w:szCs w:val="18"/>
        </w:rPr>
        <w:t>E)</w:t>
      </w:r>
      <w:r w:rsidRPr="000B2C44">
        <w:rPr>
          <w:sz w:val="18"/>
          <w:szCs w:val="18"/>
        </w:rPr>
        <w:t xml:space="preserve"> Second titration is performed with 0.1M NaOH until faint pink color is observed. Volume of added NaOH is recorded for calculation. </w:t>
      </w:r>
    </w:p>
    <w:p w14:paraId="1E9E3274" w14:textId="77777777" w:rsidR="001B44D4" w:rsidRPr="00206A49" w:rsidRDefault="001B44D4" w:rsidP="001B44D4">
      <w:pPr>
        <w:autoSpaceDE w:val="0"/>
        <w:autoSpaceDN w:val="0"/>
        <w:adjustRightInd w:val="0"/>
        <w:spacing w:after="0" w:line="360" w:lineRule="auto"/>
        <w:jc w:val="both"/>
        <w:rPr>
          <w:rFonts w:cstheme="minorHAnsi"/>
          <w:color w:val="000000" w:themeColor="text1"/>
        </w:rPr>
      </w:pPr>
      <w:r w:rsidRPr="00206A49">
        <w:rPr>
          <w:noProof/>
          <w:lang w:val="tr-TR" w:eastAsia="tr-TR"/>
        </w:rPr>
        <w:lastRenderedPageBreak/>
        <w:drawing>
          <wp:inline distT="0" distB="0" distL="0" distR="0" wp14:anchorId="3A05094C" wp14:editId="6E4286D4">
            <wp:extent cx="5760720" cy="3132455"/>
            <wp:effectExtent l="0" t="0" r="0" b="0"/>
            <wp:docPr id="1" name="Resim 1"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132455"/>
                    </a:xfrm>
                    <a:prstGeom prst="rect">
                      <a:avLst/>
                    </a:prstGeom>
                    <a:noFill/>
                    <a:ln>
                      <a:noFill/>
                    </a:ln>
                  </pic:spPr>
                </pic:pic>
              </a:graphicData>
            </a:graphic>
          </wp:inline>
        </w:drawing>
      </w:r>
    </w:p>
    <w:p w14:paraId="3602407F" w14:textId="437D6193" w:rsidR="001B44D4" w:rsidRPr="008A0752" w:rsidRDefault="001B44D4" w:rsidP="001B44D4">
      <w:pPr>
        <w:spacing w:line="360" w:lineRule="auto"/>
        <w:rPr>
          <w:sz w:val="18"/>
          <w:szCs w:val="18"/>
        </w:rPr>
      </w:pPr>
      <w:r w:rsidRPr="008A0752">
        <w:rPr>
          <w:rFonts w:cstheme="minorHAnsi"/>
          <w:b/>
          <w:sz w:val="18"/>
          <w:szCs w:val="18"/>
        </w:rPr>
        <w:t>Fig</w:t>
      </w:r>
      <w:r w:rsidR="008A09C4">
        <w:rPr>
          <w:rFonts w:cstheme="minorHAnsi"/>
          <w:b/>
          <w:sz w:val="18"/>
          <w:szCs w:val="18"/>
        </w:rPr>
        <w:t>. S</w:t>
      </w:r>
      <w:r>
        <w:rPr>
          <w:rFonts w:cstheme="minorHAnsi"/>
          <w:b/>
          <w:sz w:val="18"/>
          <w:szCs w:val="18"/>
        </w:rPr>
        <w:t>2</w:t>
      </w:r>
      <w:r w:rsidRPr="008A0752">
        <w:rPr>
          <w:rFonts w:cstheme="minorHAnsi"/>
          <w:b/>
          <w:sz w:val="18"/>
          <w:szCs w:val="18"/>
        </w:rPr>
        <w:t>.</w:t>
      </w:r>
      <w:r w:rsidR="00AA4F75">
        <w:rPr>
          <w:rFonts w:cstheme="minorHAnsi"/>
          <w:b/>
          <w:sz w:val="18"/>
          <w:szCs w:val="18"/>
        </w:rPr>
        <w:t xml:space="preserve"> </w:t>
      </w:r>
      <w:r w:rsidRPr="008A0752">
        <w:rPr>
          <w:sz w:val="18"/>
          <w:szCs w:val="18"/>
        </w:rPr>
        <w:t xml:space="preserve"> </w:t>
      </w:r>
      <w:r w:rsidR="00AA4F75">
        <w:rPr>
          <w:sz w:val="18"/>
          <w:szCs w:val="18"/>
        </w:rPr>
        <w:t xml:space="preserve">Image that demonstrate pectin precipitated in absolute ethanol. pH of the filtrate affected the precipitated amount of pectin in absolute ethanol. There is an obvious difference between </w:t>
      </w:r>
      <w:r w:rsidR="00AA4F75" w:rsidRPr="00AA4F75">
        <w:rPr>
          <w:b/>
          <w:sz w:val="18"/>
          <w:szCs w:val="18"/>
        </w:rPr>
        <w:t>A)</w:t>
      </w:r>
      <w:r w:rsidRPr="008A0752">
        <w:rPr>
          <w:sz w:val="18"/>
          <w:szCs w:val="18"/>
        </w:rPr>
        <w:t xml:space="preserve"> when pH of the filter</w:t>
      </w:r>
      <w:r w:rsidR="00AA4F75">
        <w:rPr>
          <w:sz w:val="18"/>
          <w:szCs w:val="18"/>
        </w:rPr>
        <w:t xml:space="preserve">ed extract is increased to 3.5 </w:t>
      </w:r>
      <w:r w:rsidR="00AA4F75">
        <w:rPr>
          <w:b/>
          <w:sz w:val="18"/>
          <w:szCs w:val="18"/>
        </w:rPr>
        <w:t>B</w:t>
      </w:r>
      <w:r w:rsidRPr="00AA4F75">
        <w:rPr>
          <w:b/>
          <w:sz w:val="18"/>
          <w:szCs w:val="18"/>
        </w:rPr>
        <w:t xml:space="preserve">) </w:t>
      </w:r>
      <w:r w:rsidRPr="008A0752">
        <w:rPr>
          <w:sz w:val="18"/>
          <w:szCs w:val="18"/>
        </w:rPr>
        <w:t>and when pH</w:t>
      </w:r>
      <w:r w:rsidR="00AA4F75">
        <w:rPr>
          <w:sz w:val="18"/>
          <w:szCs w:val="18"/>
        </w:rPr>
        <w:t xml:space="preserve"> of the extract is kept constant. More pectin was precipitated as shown in </w:t>
      </w:r>
      <w:r w:rsidR="00AA4F75" w:rsidRPr="00AA4F75">
        <w:rPr>
          <w:b/>
          <w:sz w:val="18"/>
          <w:szCs w:val="18"/>
        </w:rPr>
        <w:t>A</w:t>
      </w:r>
      <w:r w:rsidR="00AA4F75">
        <w:rPr>
          <w:sz w:val="18"/>
          <w:szCs w:val="18"/>
        </w:rPr>
        <w:t xml:space="preserve"> after pH increase to 3.5 </w:t>
      </w:r>
      <w:r w:rsidR="00AA4F75" w:rsidRPr="00AA4F75">
        <w:rPr>
          <w:sz w:val="18"/>
          <w:szCs w:val="18"/>
        </w:rPr>
        <w:t>compared to</w:t>
      </w:r>
      <w:r w:rsidR="00AA4F75">
        <w:rPr>
          <w:b/>
          <w:sz w:val="18"/>
          <w:szCs w:val="18"/>
        </w:rPr>
        <w:t xml:space="preserve"> B.</w:t>
      </w:r>
    </w:p>
    <w:p w14:paraId="0F712893" w14:textId="77777777" w:rsidR="001B44D4" w:rsidRPr="00206A49" w:rsidRDefault="001B44D4" w:rsidP="001B44D4">
      <w:pPr>
        <w:autoSpaceDE w:val="0"/>
        <w:autoSpaceDN w:val="0"/>
        <w:adjustRightInd w:val="0"/>
        <w:spacing w:after="0" w:line="360" w:lineRule="auto"/>
        <w:jc w:val="both"/>
        <w:rPr>
          <w:rFonts w:cstheme="minorHAnsi"/>
          <w:color w:val="000000" w:themeColor="text1"/>
          <w:sz w:val="24"/>
          <w:szCs w:val="20"/>
        </w:rPr>
      </w:pPr>
    </w:p>
    <w:p w14:paraId="032E3A1E" w14:textId="77777777" w:rsidR="001B44D4" w:rsidRPr="00206A49" w:rsidRDefault="001B44D4" w:rsidP="001B44D4">
      <w:pPr>
        <w:autoSpaceDE w:val="0"/>
        <w:autoSpaceDN w:val="0"/>
        <w:adjustRightInd w:val="0"/>
        <w:spacing w:after="0" w:line="360" w:lineRule="auto"/>
        <w:jc w:val="both"/>
        <w:rPr>
          <w:rFonts w:cstheme="minorHAnsi"/>
          <w:color w:val="000000" w:themeColor="text1"/>
          <w:sz w:val="20"/>
          <w:szCs w:val="20"/>
        </w:rPr>
      </w:pPr>
      <w:r w:rsidRPr="00206A49">
        <w:rPr>
          <w:noProof/>
          <w:lang w:val="tr-TR" w:eastAsia="tr-TR"/>
        </w:rPr>
        <w:drawing>
          <wp:inline distT="0" distB="0" distL="0" distR="0" wp14:anchorId="093B6FDA" wp14:editId="483EA2FC">
            <wp:extent cx="5701030" cy="2632075"/>
            <wp:effectExtent l="0" t="0" r="0" b="0"/>
            <wp:docPr id="2" name="Resim 2"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1030" cy="2632075"/>
                    </a:xfrm>
                    <a:prstGeom prst="rect">
                      <a:avLst/>
                    </a:prstGeom>
                    <a:noFill/>
                    <a:ln>
                      <a:noFill/>
                    </a:ln>
                  </pic:spPr>
                </pic:pic>
              </a:graphicData>
            </a:graphic>
          </wp:inline>
        </w:drawing>
      </w:r>
    </w:p>
    <w:p w14:paraId="1F78328B" w14:textId="5C020B63" w:rsidR="001B44D4" w:rsidRDefault="004531CF" w:rsidP="001B44D4">
      <w:pPr>
        <w:spacing w:line="360" w:lineRule="auto"/>
        <w:rPr>
          <w:sz w:val="18"/>
          <w:szCs w:val="18"/>
        </w:rPr>
      </w:pPr>
      <w:r>
        <w:rPr>
          <w:b/>
          <w:sz w:val="18"/>
          <w:szCs w:val="18"/>
        </w:rPr>
        <w:t>Fig. S</w:t>
      </w:r>
      <w:r w:rsidR="001B44D4" w:rsidRPr="00C16547">
        <w:rPr>
          <w:b/>
          <w:sz w:val="18"/>
          <w:szCs w:val="18"/>
        </w:rPr>
        <w:t>3.</w:t>
      </w:r>
      <w:r w:rsidR="001B44D4" w:rsidRPr="00C16547">
        <w:rPr>
          <w:sz w:val="18"/>
          <w:szCs w:val="18"/>
        </w:rPr>
        <w:t xml:space="preserve"> Drying method is influencing the </w:t>
      </w:r>
      <w:r w:rsidR="00072BCB" w:rsidRPr="00C16547">
        <w:rPr>
          <w:sz w:val="18"/>
          <w:szCs w:val="18"/>
        </w:rPr>
        <w:t>appearance</w:t>
      </w:r>
      <w:r w:rsidR="001B44D4" w:rsidRPr="00C16547">
        <w:rPr>
          <w:sz w:val="18"/>
          <w:szCs w:val="18"/>
        </w:rPr>
        <w:t xml:space="preserve"> of the obtained pectin.</w:t>
      </w:r>
      <w:r w:rsidR="00AA4F75">
        <w:rPr>
          <w:sz w:val="18"/>
          <w:szCs w:val="18"/>
        </w:rPr>
        <w:t xml:space="preserve"> </w:t>
      </w:r>
      <w:r w:rsidR="00AA4F75" w:rsidRPr="00AA4F75">
        <w:rPr>
          <w:b/>
          <w:sz w:val="18"/>
          <w:szCs w:val="18"/>
        </w:rPr>
        <w:t>A)</w:t>
      </w:r>
      <w:r w:rsidR="00AA4F75">
        <w:rPr>
          <w:sz w:val="18"/>
          <w:szCs w:val="18"/>
        </w:rPr>
        <w:t xml:space="preserve"> Dark colored and quantitatively insignificant pectin was obtained after drying wet pectin on heater at 60 °C</w:t>
      </w:r>
      <w:r w:rsidR="001B44D4" w:rsidRPr="00C16547">
        <w:rPr>
          <w:sz w:val="18"/>
          <w:szCs w:val="18"/>
        </w:rPr>
        <w:t xml:space="preserve"> overnight</w:t>
      </w:r>
      <w:r w:rsidR="00AA4F75">
        <w:rPr>
          <w:sz w:val="18"/>
          <w:szCs w:val="18"/>
        </w:rPr>
        <w:t>.</w:t>
      </w:r>
      <w:r w:rsidR="001B44D4" w:rsidRPr="00C16547">
        <w:rPr>
          <w:sz w:val="18"/>
          <w:szCs w:val="18"/>
        </w:rPr>
        <w:t xml:space="preserve"> </w:t>
      </w:r>
      <w:r w:rsidR="00AA4F75">
        <w:rPr>
          <w:b/>
          <w:sz w:val="18"/>
          <w:szCs w:val="18"/>
        </w:rPr>
        <w:t>B</w:t>
      </w:r>
      <w:r w:rsidR="001B44D4" w:rsidRPr="00C16547">
        <w:rPr>
          <w:b/>
          <w:sz w:val="18"/>
          <w:szCs w:val="18"/>
        </w:rPr>
        <w:t xml:space="preserve">) </w:t>
      </w:r>
      <w:r w:rsidR="00AA4F75">
        <w:rPr>
          <w:b/>
          <w:sz w:val="18"/>
          <w:szCs w:val="18"/>
        </w:rPr>
        <w:t xml:space="preserve"> </w:t>
      </w:r>
      <w:r w:rsidR="00AA4F75" w:rsidRPr="00AA4F75">
        <w:rPr>
          <w:sz w:val="18"/>
          <w:szCs w:val="18"/>
        </w:rPr>
        <w:t>Qualified and white colored pectin was obtained</w:t>
      </w:r>
      <w:r w:rsidR="00AA4F75">
        <w:rPr>
          <w:b/>
          <w:sz w:val="18"/>
          <w:szCs w:val="18"/>
        </w:rPr>
        <w:t xml:space="preserve"> </w:t>
      </w:r>
      <w:r w:rsidR="00AA4F75">
        <w:rPr>
          <w:sz w:val="18"/>
          <w:szCs w:val="18"/>
        </w:rPr>
        <w:t>after drying wet pectin</w:t>
      </w:r>
      <w:r w:rsidR="001B44D4" w:rsidRPr="00C16547">
        <w:rPr>
          <w:sz w:val="18"/>
          <w:szCs w:val="18"/>
        </w:rPr>
        <w:t xml:space="preserve"> with freeze </w:t>
      </w:r>
      <w:r w:rsidR="00072BCB" w:rsidRPr="00C16547">
        <w:rPr>
          <w:sz w:val="18"/>
          <w:szCs w:val="18"/>
        </w:rPr>
        <w:t>drying</w:t>
      </w:r>
      <w:r w:rsidR="001B44D4" w:rsidRPr="00C16547">
        <w:rPr>
          <w:sz w:val="18"/>
          <w:szCs w:val="18"/>
        </w:rPr>
        <w:t xml:space="preserve"> method in</w:t>
      </w:r>
      <w:r w:rsidRPr="004531CF">
        <w:rPr>
          <w:sz w:val="18"/>
          <w:szCs w:val="18"/>
        </w:rPr>
        <w:t xml:space="preserve"> </w:t>
      </w:r>
      <w:proofErr w:type="spellStart"/>
      <w:r w:rsidRPr="004531CF">
        <w:rPr>
          <w:sz w:val="18"/>
          <w:szCs w:val="18"/>
        </w:rPr>
        <w:t>lyophilizer</w:t>
      </w:r>
      <w:proofErr w:type="spellEnd"/>
      <w:r>
        <w:rPr>
          <w:sz w:val="18"/>
          <w:szCs w:val="18"/>
        </w:rPr>
        <w:t>.</w:t>
      </w:r>
    </w:p>
    <w:p w14:paraId="6137C754" w14:textId="46607E3C" w:rsidR="001B44D4" w:rsidRDefault="001B44D4" w:rsidP="001B44D4">
      <w:pPr>
        <w:spacing w:line="360" w:lineRule="auto"/>
        <w:rPr>
          <w:sz w:val="18"/>
          <w:szCs w:val="18"/>
        </w:rPr>
      </w:pPr>
    </w:p>
    <w:p w14:paraId="36917984" w14:textId="77777777" w:rsidR="001B44D4" w:rsidRPr="00C16547" w:rsidRDefault="001B44D4" w:rsidP="001B44D4">
      <w:pPr>
        <w:spacing w:line="360" w:lineRule="auto"/>
        <w:rPr>
          <w:sz w:val="18"/>
          <w:szCs w:val="18"/>
        </w:rPr>
      </w:pPr>
    </w:p>
    <w:p w14:paraId="05EF83B0" w14:textId="3142E254" w:rsidR="001B44D4" w:rsidRPr="00C16547" w:rsidRDefault="001B44D4" w:rsidP="001B44D4">
      <w:pPr>
        <w:spacing w:line="360" w:lineRule="auto"/>
        <w:rPr>
          <w:sz w:val="20"/>
          <w:szCs w:val="20"/>
        </w:rPr>
      </w:pPr>
      <w:r w:rsidRPr="00206A49">
        <w:object w:dxaOrig="10318" w:dyaOrig="6520" w14:anchorId="22DF4A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pt;height:291.75pt" o:ole="">
            <v:imagedata r:id="rId11" o:title=""/>
          </v:shape>
          <o:OLEObject Type="Embed" ProgID="Prism5.Document" ShapeID="_x0000_i1025" DrawAspect="Content" ObjectID="_1707138834" r:id="rId12"/>
        </w:object>
      </w:r>
      <w:r w:rsidRPr="008A0752">
        <w:rPr>
          <w:rFonts w:cstheme="minorHAnsi"/>
          <w:b/>
          <w:color w:val="000000" w:themeColor="text1"/>
          <w:sz w:val="18"/>
          <w:szCs w:val="18"/>
        </w:rPr>
        <w:t>Fig.</w:t>
      </w:r>
      <w:r w:rsidR="004531CF">
        <w:rPr>
          <w:rFonts w:cstheme="minorHAnsi"/>
          <w:b/>
          <w:color w:val="000000" w:themeColor="text1"/>
          <w:sz w:val="18"/>
          <w:szCs w:val="18"/>
        </w:rPr>
        <w:t xml:space="preserve"> S</w:t>
      </w:r>
      <w:r w:rsidR="00A76FEC">
        <w:rPr>
          <w:rFonts w:cstheme="minorHAnsi"/>
          <w:b/>
          <w:color w:val="000000" w:themeColor="text1"/>
          <w:sz w:val="18"/>
          <w:szCs w:val="18"/>
        </w:rPr>
        <w:t>4</w:t>
      </w:r>
      <w:r>
        <w:rPr>
          <w:rFonts w:cstheme="minorHAnsi"/>
          <w:b/>
          <w:color w:val="000000" w:themeColor="text1"/>
          <w:sz w:val="18"/>
          <w:szCs w:val="18"/>
        </w:rPr>
        <w:t>.</w:t>
      </w:r>
      <w:r w:rsidRPr="008A0752">
        <w:rPr>
          <w:rFonts w:cstheme="minorHAnsi"/>
          <w:color w:val="000000" w:themeColor="text1"/>
          <w:sz w:val="18"/>
          <w:szCs w:val="18"/>
        </w:rPr>
        <w:t xml:space="preserve"> </w:t>
      </w:r>
      <w:r w:rsidR="004531CF" w:rsidRPr="004531CF">
        <w:rPr>
          <w:rFonts w:cstheme="minorHAnsi"/>
          <w:color w:val="000000" w:themeColor="text1"/>
          <w:sz w:val="18"/>
          <w:szCs w:val="18"/>
        </w:rPr>
        <w:t xml:space="preserve">Viability of </w:t>
      </w:r>
      <w:r w:rsidR="004531CF">
        <w:rPr>
          <w:rFonts w:cstheme="minorHAnsi"/>
          <w:color w:val="000000" w:themeColor="text1"/>
          <w:sz w:val="18"/>
          <w:szCs w:val="18"/>
        </w:rPr>
        <w:t>HUVEC</w:t>
      </w:r>
      <w:r w:rsidR="004531CF" w:rsidRPr="004531CF">
        <w:rPr>
          <w:rFonts w:cstheme="minorHAnsi"/>
          <w:color w:val="000000" w:themeColor="text1"/>
          <w:sz w:val="18"/>
          <w:szCs w:val="18"/>
        </w:rPr>
        <w:t xml:space="preserve"> cells after treatment with different concentrations of SBPP and CP for 24, 48 and 72 hours. Blue colored  bars demonstrate  viability of </w:t>
      </w:r>
      <w:r w:rsidR="004531CF">
        <w:rPr>
          <w:rFonts w:cstheme="minorHAnsi"/>
          <w:color w:val="000000" w:themeColor="text1"/>
          <w:sz w:val="18"/>
          <w:szCs w:val="18"/>
        </w:rPr>
        <w:t>HUVEC</w:t>
      </w:r>
      <w:r w:rsidR="004531CF" w:rsidRPr="004531CF">
        <w:rPr>
          <w:rFonts w:cstheme="minorHAnsi"/>
          <w:color w:val="000000" w:themeColor="text1"/>
          <w:sz w:val="18"/>
          <w:szCs w:val="18"/>
        </w:rPr>
        <w:t xml:space="preserve"> cells after 24 hours, red colored bars demonstrate after 48 hours, purple colored bars demonstrates after 72 hours of pectin treatment. Error bars represent standard deviation (SD) of replicas of each group.</w:t>
      </w:r>
      <w:r w:rsidR="004531CF">
        <w:rPr>
          <w:rFonts w:cstheme="minorHAnsi"/>
          <w:color w:val="000000" w:themeColor="text1"/>
          <w:sz w:val="18"/>
          <w:szCs w:val="18"/>
        </w:rPr>
        <w:t xml:space="preserve"> </w:t>
      </w:r>
    </w:p>
    <w:p w14:paraId="509BBC65" w14:textId="77777777" w:rsidR="001B44D4" w:rsidRDefault="001B44D4" w:rsidP="001B44D4">
      <w:pPr>
        <w:spacing w:line="360" w:lineRule="auto"/>
        <w:rPr>
          <w:sz w:val="20"/>
          <w:szCs w:val="20"/>
        </w:rPr>
      </w:pPr>
    </w:p>
    <w:p w14:paraId="01975725" w14:textId="1562D39B" w:rsidR="001B44D4" w:rsidRPr="00AC38AA" w:rsidRDefault="00AC38AA" w:rsidP="001B44D4">
      <w:pPr>
        <w:spacing w:line="360" w:lineRule="auto"/>
        <w:rPr>
          <w:b/>
          <w:bCs/>
        </w:rPr>
      </w:pPr>
      <w:r w:rsidRPr="00AC38AA">
        <w:rPr>
          <w:b/>
          <w:bCs/>
        </w:rPr>
        <w:t xml:space="preserve">Supplementary Tables </w:t>
      </w:r>
    </w:p>
    <w:p w14:paraId="7037DC03" w14:textId="120F710E" w:rsidR="00AC38AA" w:rsidRPr="007C64A9" w:rsidRDefault="00AC38AA" w:rsidP="00AC38AA">
      <w:pPr>
        <w:spacing w:before="240" w:line="240" w:lineRule="auto"/>
        <w:jc w:val="both"/>
        <w:rPr>
          <w:rFonts w:cstheme="minorHAnsi"/>
          <w:b/>
          <w:sz w:val="18"/>
          <w:szCs w:val="18"/>
        </w:rPr>
      </w:pPr>
      <w:r w:rsidRPr="007C64A9">
        <w:rPr>
          <w:rFonts w:cstheme="minorHAnsi"/>
          <w:b/>
          <w:sz w:val="18"/>
          <w:szCs w:val="18"/>
        </w:rPr>
        <w:t xml:space="preserve">Table </w:t>
      </w:r>
      <w:r>
        <w:rPr>
          <w:rFonts w:cstheme="minorHAnsi"/>
          <w:b/>
          <w:sz w:val="18"/>
          <w:szCs w:val="18"/>
        </w:rPr>
        <w:t>S</w:t>
      </w:r>
      <w:r w:rsidRPr="007C64A9">
        <w:rPr>
          <w:rFonts w:cstheme="minorHAnsi"/>
          <w:b/>
          <w:sz w:val="18"/>
          <w:szCs w:val="18"/>
        </w:rPr>
        <w:t xml:space="preserve">1. </w:t>
      </w:r>
      <w:r w:rsidRPr="007C64A9">
        <w:rPr>
          <w:rFonts w:cstheme="minorHAnsi"/>
          <w:sz w:val="18"/>
          <w:szCs w:val="18"/>
        </w:rPr>
        <w:t xml:space="preserve"> Literature examples of pectin isolation from sugar beet pulp</w:t>
      </w:r>
    </w:p>
    <w:tbl>
      <w:tblPr>
        <w:tblStyle w:val="KlavuzTablo21"/>
        <w:tblW w:w="6562" w:type="dxa"/>
        <w:tblLook w:val="04A0" w:firstRow="1" w:lastRow="0" w:firstColumn="1" w:lastColumn="0" w:noHBand="0" w:noVBand="1"/>
      </w:tblPr>
      <w:tblGrid>
        <w:gridCol w:w="2498"/>
        <w:gridCol w:w="1332"/>
        <w:gridCol w:w="2732"/>
      </w:tblGrid>
      <w:tr w:rsidR="00AC38AA" w:rsidRPr="007C64A9" w14:paraId="303F4AF6" w14:textId="77777777" w:rsidTr="00D51037">
        <w:trPr>
          <w:cnfStyle w:val="100000000000" w:firstRow="1" w:lastRow="0" w:firstColumn="0" w:lastColumn="0" w:oddVBand="0" w:evenVBand="0" w:oddHBand="0"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2A006344" w14:textId="77777777" w:rsidR="00AC38AA" w:rsidRPr="007C64A9" w:rsidRDefault="00AC38AA" w:rsidP="00D51037">
            <w:pPr>
              <w:spacing w:before="240"/>
              <w:jc w:val="center"/>
              <w:rPr>
                <w:rFonts w:cstheme="minorHAnsi"/>
                <w:sz w:val="20"/>
                <w:szCs w:val="20"/>
              </w:rPr>
            </w:pPr>
            <w:proofErr w:type="spellStart"/>
            <w:r w:rsidRPr="007C64A9">
              <w:rPr>
                <w:rFonts w:cstheme="minorHAnsi"/>
                <w:sz w:val="20"/>
                <w:szCs w:val="20"/>
              </w:rPr>
              <w:t>Method</w:t>
            </w:r>
            <w:proofErr w:type="spellEnd"/>
          </w:p>
        </w:tc>
        <w:tc>
          <w:tcPr>
            <w:tcW w:w="1332" w:type="dxa"/>
            <w:vAlign w:val="center"/>
          </w:tcPr>
          <w:p w14:paraId="6BECEB10" w14:textId="77777777" w:rsidR="00AC38AA" w:rsidRPr="007C64A9" w:rsidRDefault="00AC38AA" w:rsidP="00D51037">
            <w:pPr>
              <w:spacing w:before="240"/>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roofErr w:type="spellStart"/>
            <w:r w:rsidRPr="007C64A9">
              <w:rPr>
                <w:rFonts w:cstheme="minorHAnsi"/>
                <w:sz w:val="20"/>
                <w:szCs w:val="20"/>
              </w:rPr>
              <w:t>Max</w:t>
            </w:r>
            <w:proofErr w:type="spellEnd"/>
            <w:r w:rsidRPr="007C64A9">
              <w:rPr>
                <w:rFonts w:cstheme="minorHAnsi"/>
                <w:sz w:val="20"/>
                <w:szCs w:val="20"/>
              </w:rPr>
              <w:t xml:space="preserve">. </w:t>
            </w:r>
            <w:proofErr w:type="spellStart"/>
            <w:r w:rsidRPr="007C64A9">
              <w:rPr>
                <w:rFonts w:cstheme="minorHAnsi"/>
                <w:sz w:val="20"/>
                <w:szCs w:val="20"/>
              </w:rPr>
              <w:t>Yield</w:t>
            </w:r>
            <w:proofErr w:type="spellEnd"/>
          </w:p>
        </w:tc>
        <w:tc>
          <w:tcPr>
            <w:tcW w:w="2732" w:type="dxa"/>
            <w:vAlign w:val="center"/>
          </w:tcPr>
          <w:p w14:paraId="7B02A9F6" w14:textId="77777777" w:rsidR="00AC38AA" w:rsidRPr="007C64A9" w:rsidRDefault="00AC38AA" w:rsidP="00D51037">
            <w:pPr>
              <w:spacing w:before="240"/>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roofErr w:type="spellStart"/>
            <w:r w:rsidRPr="007C64A9">
              <w:rPr>
                <w:rFonts w:cstheme="minorHAnsi"/>
                <w:sz w:val="20"/>
                <w:szCs w:val="20"/>
              </w:rPr>
              <w:t>Esterification</w:t>
            </w:r>
            <w:proofErr w:type="spellEnd"/>
            <w:r w:rsidRPr="007C64A9">
              <w:rPr>
                <w:rFonts w:cstheme="minorHAnsi"/>
                <w:sz w:val="20"/>
                <w:szCs w:val="20"/>
              </w:rPr>
              <w:t xml:space="preserve"> </w:t>
            </w:r>
            <w:proofErr w:type="spellStart"/>
            <w:r w:rsidRPr="007C64A9">
              <w:rPr>
                <w:rFonts w:cstheme="minorHAnsi"/>
                <w:sz w:val="20"/>
                <w:szCs w:val="20"/>
              </w:rPr>
              <w:t>Degree</w:t>
            </w:r>
            <w:proofErr w:type="spellEnd"/>
            <w:r w:rsidRPr="007C64A9">
              <w:rPr>
                <w:rFonts w:cstheme="minorHAnsi"/>
                <w:sz w:val="20"/>
                <w:szCs w:val="20"/>
              </w:rPr>
              <w:t xml:space="preserve"> (DE)</w:t>
            </w:r>
          </w:p>
        </w:tc>
      </w:tr>
      <w:tr w:rsidR="00AC38AA" w:rsidRPr="007C64A9" w14:paraId="2CACEF6D" w14:textId="77777777" w:rsidTr="00D51037">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072B9E4E"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{"citationItems":[{"id":"ITEM-1","itemData":{"DOI":"10.1016/S0144-8617(01)00314-9","ISSN":"01448617","abstract":"An experimental design was used to study the influence of different parameters (pH, temperature, time, and type of acid) on extraction of pectins from fresh sugar beet. The extraction conditions have important effects on the features of extracted pectins. Their composition (neutral and acidic sugars, degrees of esterification, amounts of ferulic and diferulic acids) and some physicochemical properties (molar mass, intrinsic viscosity) were determined. The type of acid used (HCl or HNO3) had no effect on the characteristics of extracted pectins. Different kinds of pectins can be obtained with good yields at pH 1. Galacturonic acid amounts of the extracted pectins were nearly constant whatever the extraction conditions, whereas the degrees of methylation and acetylation showed large variations. At pH 1, the extracts were particularly rich in rhamnogalacturonan regions, the nature and the quantity of side chains differing according to extraction conditions. The molar masses of extracted pectins were higher than those obtained from sugar beet pulp; beside the sole impact of raw material, possible cross-linking of pectic molecules through diferulic bridges is discussed. © 2002 Elsevier Science Ltd. All rights reserved.","author":[{"dropping-particle":"","family":"Levigne","given":"Sébastien","non-dropping-particle":"","parse-names":false,"suffix":""},{"dropping-particle":"","family":"Ralet","given":"Marie Christine","non-dropping-particle":"","parse-names":false,"suffix":""},{"dropping-particle":"","family":"Thibault","given":"Jean François","non-dropping-particle":"","parse-names":false,"suffix":""}],"container-title":"Carbohydrate Polymers","id":"ITEM-1","issue":"2","issued":{"date-parts":[["2002"]]},"page":"145-153","title":"Characterisation of pectins extracted from fresh sugar beet under different conditions using an experimental design","type":"article-journal","volume":"49"},"uris":["http://www.mendeley.com/documents/?uuid=9904ba64-ad37-468e-84bc-c0c5d592799d"]}],"mendeley":{"formattedCitation":"(Levigne et al., 2002)","plainTextFormattedCitation":"(Levigne et al., 2002)","previouslyFormattedCitation":"(Levigne et al., 2002)"},"properties":{"noteIndex":0},"schema":"https://github.com/citation-style-language/schema/raw/master/csl-citation.json"}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(Levigne et al., 2002)</w:t>
            </w:r>
            <w:r w:rsidRPr="007C64A9">
              <w:rPr>
                <w:rFonts w:cstheme="minorHAnsi"/>
                <w:sz w:val="20"/>
                <w:szCs w:val="20"/>
              </w:rPr>
              <w:fldChar w:fldCharType="end"/>
            </w:r>
          </w:p>
        </w:tc>
        <w:tc>
          <w:tcPr>
            <w:tcW w:w="1332" w:type="dxa"/>
            <w:vAlign w:val="center"/>
          </w:tcPr>
          <w:p w14:paraId="2F64CF22"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35.4%</w:t>
            </w:r>
          </w:p>
        </w:tc>
        <w:tc>
          <w:tcPr>
            <w:tcW w:w="2732" w:type="dxa"/>
            <w:vAlign w:val="center"/>
          </w:tcPr>
          <w:p w14:paraId="496B190D"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55%</w:t>
            </w:r>
          </w:p>
        </w:tc>
      </w:tr>
      <w:tr w:rsidR="00AC38AA" w:rsidRPr="007C64A9" w14:paraId="6C7513FC" w14:textId="77777777" w:rsidTr="00D51037">
        <w:trPr>
          <w:trHeight w:val="22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0169EB10"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{"citationItems":[{"id":"ITEM-1","itemData":{"DOI":"10.1016/j.foodchem.2005.12.012","ISSN":"03088146","abstract":"The extraction of pectins from sugar beet pulp was carried out in an aqueous acid medium under different conditions using a full two-state experimental design for three extraction parameters (pH, temperature and time). The yields of the extracted pectins ranged from 4.1% to 16.2%. Their contents in pectin constituents were 35.2-76.3% galacturonic acid, 6.8-32.9% neutral sugars, 2.0-4.2% methoxy groups, 0.8-3.8% acetyl groups, and 0.1-0.7% ferulic acid. Moreover, protein residues were present in all the extracts within the range of 0.9-6.8% and varied with the extraction conditions. On high performance size exclusion chromatography, the elution pattern of the acid-extracted pectins showed a wide molar mass distribution consisted of two relatively broad peaks. Their weight-average molar mass values determined by HPSEC-RALLS ranged widely from 20,200 to 90,100 g/mol. Most of the extracted pectins were surface-active, and some of them were quite able to produce and stabilize with effectiveness oil-in-water emulsions. Thus, it was inferred that yield, physico-chemical characteristics and surface properties of acid extracted pectins from sugar beet pulp were influenced by the extraction conditions. © 2005 Elsevier Ltd. All rights reserved.","author":[{"dropping-particle":"","family":"Yapo","given":"B. M.","non-dropping-particle":"","parse-names":false,"suffix":""},{"dropping-particle":"","family":"Robert","given":"C.","non-dropping-particle":"","parse-names":false,"suffix":""},{"dropping-particle":"","family":"Etienne","given":"I.","non-dropping-particle":"","parse-names":false,"suffix":""},{"dropping-particle":"","family":"Wathelet","given":"B.","non-dropping-particle":"","parse-names":false,"suffix":""},{"dropping-particle":"","family":"Paquot","given":"M.","non-dropping-particle":"","parse-names":false,"suffix":""}],"container-title":"Food Chemistry","id":"ITEM-1","issue":"4","issued":{"date-parts":[["2007"]]},"page":"1356-1364","title":"Effect of extraction conditions on the yield, purity and surface properties of sugar beet pulp pectin extracts","type":"article-journal","volume":"100"},"uris":["http://www.mendeley.com/documents/?uuid=9a0458e2-0dd7-4c1f-91f5-ebeacc263b30"]}],"mendeley":{"formattedCitation":"(Yapo et al., 2007)","plainTextFormattedCitation":"(Yapo et al., 2007)","previouslyFormattedCitation":"(Yapo et al., 2007)"},"properties":{"noteIndex":0},"schema":"https://github.com/citation-style-language/schema/raw/master/csl-citation.json"}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(Yapo et al., 2007)</w:t>
            </w:r>
            <w:r w:rsidRPr="007C64A9">
              <w:rPr>
                <w:rFonts w:cstheme="minorHAnsi"/>
                <w:sz w:val="20"/>
                <w:szCs w:val="20"/>
              </w:rPr>
              <w:fldChar w:fldCharType="end"/>
            </w:r>
          </w:p>
        </w:tc>
        <w:tc>
          <w:tcPr>
            <w:tcW w:w="1332" w:type="dxa"/>
            <w:vAlign w:val="center"/>
          </w:tcPr>
          <w:p w14:paraId="576B7CB5"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16.2%</w:t>
            </w:r>
          </w:p>
        </w:tc>
        <w:tc>
          <w:tcPr>
            <w:tcW w:w="2732" w:type="dxa"/>
            <w:vAlign w:val="center"/>
          </w:tcPr>
          <w:p w14:paraId="519C18ED"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14.4%.</w:t>
            </w:r>
          </w:p>
        </w:tc>
      </w:tr>
      <w:tr w:rsidR="00AC38AA" w:rsidRPr="007C64A9" w14:paraId="5168E80A" w14:textId="77777777" w:rsidTr="00D51037">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628CAD38"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{"citationItems":[{"id":"ITEM-1","itemData":{"DOI":"10.1016/j.carbpol.2013.02.062","ISSN":"01448617","PMID":"23618265","abstract":"A central composite design was employed to determine the optimum extraction condition to obtain higher yield, better color attribute as well as better rheological and emulsifying properties in pectin extracted from sugar beet pulp (SBP). A second-order polynomial model was developed for predicting the yield of sugar beet pulp pectin (SBPP) based on the composite design. Response surface methodology (RSM) was used to quantify the integral effect of three processing parameters (extraction temperature, time and pH) on yield, yield stress, color attribute (tint value) and emulsifying activity index (EAI). Through the frequency analysis it was found that the optimal temperature, time and pH value of the extraction were 93.7 °C, 3 h, and 1.21, respectively. The yield, yield stress and tint value of the SBPP extracted at the optimal condition were 24.45%, above 0.1 Pa and -6.0, respectively. © 2013 Elsevier Ltd.","author":[{"dropping-particle":"","family":"Lv","given":"Cheng","non-dropping-particle":"","parse-names":false,"suffix":""},{"dropping-particle":"","family":"Wang","given":"Yong","non-dropping-particle":"","parse-names":false,"suffix":""},{"dropping-particle":"","family":"Wang","given":"Li Jun","non-dropping-particle":"","parse-names":false,"suffix":""},{"dropping-particle":"","family":"Li","given":"Dong","non-dropping-particle":"","parse-names":false,"suffix":""},{"dropping-particle":"","family":"Adhikari","given":"Benu","non-dropping-particle":"","parse-names":false,"suffix":""}],"container-title":"Carbohydrate Polymers","id":"ITEM-1","issue":"1","issued":{"date-parts":[["2013"]]},"page":"233-240","publisher":"Elsevier Ltd.","title":"Optimization of production yield and functional properties of pectin extracted from sugar beet pulp","type":"article-journal","volume":"95"},"uris":["http://www.mendeley.com/documents/?uuid=4adb8976-1371-41a4-badd-756daf23981b"]}],"mendeley":{"formattedCitation":"(Lv et al., 2013)","plainTextFormattedCitation":"(Lv et al., 2013)","previouslyFormattedCitation":"(Lv et al., 2013)"},"properties":{"noteIndex":0},"schema":"https://github.com/citation-style-language/schema/raw/master/csl-citation.json"}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(Lv et al., 2013)</w:t>
            </w:r>
            <w:r w:rsidRPr="007C64A9">
              <w:rPr>
                <w:rFonts w:cstheme="minorHAnsi"/>
                <w:sz w:val="20"/>
                <w:szCs w:val="20"/>
              </w:rPr>
              <w:fldChar w:fldCharType="end"/>
            </w:r>
          </w:p>
        </w:tc>
        <w:tc>
          <w:tcPr>
            <w:tcW w:w="1332" w:type="dxa"/>
            <w:vAlign w:val="center"/>
          </w:tcPr>
          <w:p w14:paraId="49DE3527"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24.96%</w:t>
            </w:r>
          </w:p>
        </w:tc>
        <w:tc>
          <w:tcPr>
            <w:tcW w:w="2732" w:type="dxa"/>
            <w:vAlign w:val="center"/>
          </w:tcPr>
          <w:p w14:paraId="6CAA0403"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 xml:space="preserve">Not </w:t>
            </w:r>
            <w:proofErr w:type="spellStart"/>
            <w:r w:rsidRPr="007C64A9">
              <w:rPr>
                <w:rFonts w:cstheme="minorHAnsi"/>
                <w:sz w:val="20"/>
                <w:szCs w:val="20"/>
              </w:rPr>
              <w:t>measured</w:t>
            </w:r>
            <w:proofErr w:type="spellEnd"/>
          </w:p>
        </w:tc>
      </w:tr>
      <w:tr w:rsidR="00AC38AA" w:rsidRPr="007C64A9" w14:paraId="287D09D3" w14:textId="77777777" w:rsidTr="00D51037">
        <w:trPr>
          <w:trHeight w:val="22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409AB8B3"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{"citationItems":[{"id":"ITEM-1","itemData":{"DOI":"10.1016/j.carbpol.2013.06.042","ISSN":"01448617","PMID":"23987408","abstract":"The effects of organic acid extractants on the yield and characteristics of pectin from sugar beet pulp were investigated with citric acid, malic acid and lactic acid at different pH (1.5 and 2.0) and time (1 h and 2 h). The results demonstrated that the yields of pectins were directly correlated with the decrease of pH and reaction time, and the optimum yield of 17.2% was obtained at pH 1.5 and 2 h. Furthermore, the acid type also affected the physicochemical characteristics of pectin, especially on the esterification degree (42-71), galacturonic acid content (60.2-77.8%), emulsion activity (35.2-40.1%) and emulsion stability (62.1-79.4%), and a relatively single pectin mainly consisted of homogalacturonan could be obtained under a suitable reaction condition, which was an excellent crude material for the production of emulsion activity. © 2013 Elsevier Ltd. All rights reserved.","author":[{"dropping-particle":"","family":"Ma","given":"Sen","non-dropping-particle":"","parse-names":false,"suffix":""},{"dropping-particle":"","family":"Yu","given":"Shu Juan","non-dropping-particle":"","parse-names":false,"suffix":""},{"dropping-particle":"","family":"Zheng","given":"Xue Ling","non-dropping-particle":"","parse-names":false,"suffix":""},{"dropping-particle":"","family":"Wang","given":"Xiao Xi","non-dropping-particle":"","parse-names":false,"suffix":""},{"dropping-particle":"","family":"Bao","given":"Qing Dan","non-dropping-particle":"","parse-names":false,"suffix":""},{"dropping-particle":"","family":"Guo","given":"Xiao Ming","non-dropping-particle":"","parse-names":false,"suffix":""}],"container-title":"Carbohydrate Polymers","id":"ITEM-1","issue":"1","issued":{"date-parts":[["2013"]]},"page":"750-753","publisher":"Elsevier Ltd.","title":"Extraction, characterization and spontaneous emulsifying properties of pectin from sugar beet pulp","type":"article-journal","volume":"98"},"uris":["http://www.mendeley.com/documents/?uuid=4517e6fb-975c-41f4-9ee3-8bc92c8ca7f8"]}],"mendeley":{"formattedCitation":"(Ma et al., 2013)","plainTextFormattedCitation":"(Ma et al., 2013)","previouslyFormattedCitation":"(Ma et al., 2013)"},"properties":{"noteIndex":0},"schema":"https://github.com/citation-style-language/schema/raw/master/csl-citation.json"}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(Ma et al., 2013)</w:t>
            </w:r>
            <w:r w:rsidRPr="007C64A9">
              <w:rPr>
                <w:rFonts w:cstheme="minorHAnsi"/>
                <w:sz w:val="20"/>
                <w:szCs w:val="20"/>
              </w:rPr>
              <w:fldChar w:fldCharType="end"/>
            </w:r>
          </w:p>
        </w:tc>
        <w:tc>
          <w:tcPr>
            <w:tcW w:w="1332" w:type="dxa"/>
            <w:vAlign w:val="center"/>
          </w:tcPr>
          <w:p w14:paraId="0AAC888B"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17.2%</w:t>
            </w:r>
          </w:p>
        </w:tc>
        <w:tc>
          <w:tcPr>
            <w:tcW w:w="2732" w:type="dxa"/>
            <w:vAlign w:val="center"/>
          </w:tcPr>
          <w:p w14:paraId="17FEE3FC"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45%</w:t>
            </w:r>
          </w:p>
        </w:tc>
      </w:tr>
      <w:tr w:rsidR="00AC38AA" w:rsidRPr="007C64A9" w14:paraId="60EF297E" w14:textId="77777777" w:rsidTr="00D51037">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5FEE9DDF"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{"citationItems":[{"id":"ITEM-1","itemData":{"DOI":"10.1016/j.carbpol.2015.04.058","ISSN":"01448617","PMID":"26050895","abstract":"The extraction of pectin from sugar beet pulp by citric acid was carried out under different conditions using Box-Behnken design for four independent variables (pH, temperature, time and liquid to solid ratio). The yield of sugar beet pulp pectin ranged from 6.3% to 23.0%, and the content of protein from 1.5% to 4.5%. All independent variables significantly affected the yield, and all variables except liquid to solid ratio significantly affected the protein content. The yield increased as decreasing pH of extracting solution, extending time and advancing temperature, and an opposite relationship of effects between variables and content of protein was obtained. The chemical composition of collected samples was determined. Moreover, from the results of emulsifying properties study, the extracted pectin from sugar beet pulp could prepare steady oil-in-water emulsions. Therefore, it was inferred that the extraction conditions could influence yield and protein content, resulting in different emulsifying property.","author":[{"dropping-particle":"","family":"Li","given":"De Qiang","non-dropping-particle":"","parse-names":false,"suffix":""},{"dropping-particle":"","family":"Du","given":"Guang Ming","non-dropping-particle":"","parse-names":false,"suffix":""},{"dropping-particle":"","family":"Jing","given":"Wei Wen","non-dropping-particle":"","parse-names":false,"suffix":""},{"dropping-particle":"","family":"Li","given":"Jun Fang","non-dropping-particle":"","parse-names":false,"suffix":""},{"dropping-particle":"","family":"Yan","given":"Jia Yu","non-dropping-particle":"","parse-names":false,"suffix":""},{"dropping-particle":"","family":"Liu","given":"Zhi Yong","non-dropping-particle":"","parse-names":false,"suffix":""}],"container-title":"Carbohydrate Polymers","id":"ITEM-1","issued":{"date-parts":[["2015"]]},"page":"108-114","publisher":"Elsevier Ltd.","title":"Combined effects of independent variables on yield and protein content of pectin extracted from sugar beet pulp by citric acid","type":"article-journal","volume":"129"},"uris":["http://www.mendeley.com/documents/?uuid=38d924ab-d2a9-4c62-83d4-21dbb76d3db2"]}],"mendeley":{"formattedCitation":"(Li et al., 2015)","plainTextFormattedCitation":"(Li et al., 2015)","previouslyFormattedCitation":"(Li et al., 2015)"},"properties":{"noteIndex":0},"schema":"https://github.com/citation-style-language/schema/raw/master/csl-citation.json"}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(Li et al., 2015)</w:t>
            </w:r>
            <w:r w:rsidRPr="007C64A9">
              <w:rPr>
                <w:rFonts w:cstheme="minorHAnsi"/>
                <w:sz w:val="20"/>
                <w:szCs w:val="20"/>
              </w:rPr>
              <w:fldChar w:fldCharType="end"/>
            </w:r>
          </w:p>
        </w:tc>
        <w:tc>
          <w:tcPr>
            <w:tcW w:w="1332" w:type="dxa"/>
            <w:vAlign w:val="center"/>
          </w:tcPr>
          <w:p w14:paraId="602B5305"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23%</w:t>
            </w:r>
          </w:p>
        </w:tc>
        <w:tc>
          <w:tcPr>
            <w:tcW w:w="2732" w:type="dxa"/>
            <w:vAlign w:val="center"/>
          </w:tcPr>
          <w:p w14:paraId="791CCCF1"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 xml:space="preserve">Not </w:t>
            </w:r>
            <w:proofErr w:type="spellStart"/>
            <w:r w:rsidRPr="007C64A9">
              <w:rPr>
                <w:rFonts w:cstheme="minorHAnsi"/>
                <w:sz w:val="20"/>
                <w:szCs w:val="20"/>
              </w:rPr>
              <w:t>measured</w:t>
            </w:r>
            <w:proofErr w:type="spellEnd"/>
          </w:p>
        </w:tc>
      </w:tr>
      <w:tr w:rsidR="00AC38AA" w:rsidRPr="007C64A9" w14:paraId="1CC12DAD" w14:textId="77777777" w:rsidTr="00D51037">
        <w:trPr>
          <w:trHeight w:val="23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5217AEFF"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{"citationItems":[{"id":"ITEM-1","itemData":{"abstract":"Geliş Tarihi (Received): 17.01.2016 Kabul Tarihi (Accepted): 23.02.2016 Şeker sanayisinin önemli artıklarından olan şeker pancarı posasından optimum şartlarda (pH, süre ve sıcaklık) pektin elde edilmiştir. Sonraki aşamada pektin pektinaz enzimi kullanılarak modifiye edilmiştir. Modifikasyonunun pektinin yapısal özelliklerine etkisini gözlemleyebilmek için fourier dönüşümlü kızılötesi spektroskopisi (FT-IR) ve yüksek performanslı sıvı kromotografisi (HPLC) ile analizler gerçekleştirilmiştir. FT-IR analizinde pektinin spesifik bölgesi olan ve kalitesini belirleyen 1600-1800 cm -1 bantlarına bakılmıştır. HPLC analizinde ise galakturonik asit içeriğine bakılmıştır. Elde edilen sonuçlar incelendiğinde modifiye edilen pektinin galakturonik asit içeriğinin daha yüksek olduğu belirlenmiştir. Belirtilen bu analizlere ilave olarak elde edilen pektinlerin akış davranışları da belirlenmiştir. Modifiye edilen pektinin akış özelliklerinin değiştiği görülmüştür. Anahtar Kelimeler: şeker pancarı posası, pektin, modifikasyon, reoloji, optimizasyon Bu çalışmanın bir bölümü \" Gıda Atıklarından Geri Kazanılan Modifiye Pektinin Reolojik Özelliklerinin Belirlenmesi \" isimli Yüksek Lisans tezinden türetilmiştir. The pectin was produced from sugar beet pulp, one of the significant waste of sugar industry, at optimum conditions (pH,time and temperature). Then, the modification was carried out using pectinase. FT-IR (Fourier transform infrared spectroscopy) and HPLC (high performance liquid chromatography) analysis were performed to characterize the differences between modified and unmodified pectin. FT -IR analysis revealed the specific regions of pectin and 1600-1800 cm-1 bands. Galacturonic acid content was analyzed by HPLC. The obtained results revealed that the modified pectin had higher galacturonic acid content. In addition, flow properties of the modified pectin was also determined. The flow characteristics of modified pectin was observed to change.","author":[{"dropping-particle":"","family":"Tahsin Yılmaz","given":"Mustafa","non-dropping-particle":"","parse-names":false,"suffix":""},{"dropping-particle":"","family":"Muslu","given":"Aslı","non-dropping-particle":"","parse-names":false,"suffix":""},{"dropping-particle":"","family":"Dertli","given":"Enes","non-dropping-particle":"","parse-names":false,"suffix":""},{"dropping-particle":"","family":"Toker","given":"Ömer Said","non-dropping-particle":"","parse-names":false,"suffix":""}],"id":"ITEM-1","issue":"02","issued":{"date-parts":[["2016"]]},"page":"13-2","title":"Şeker Pancarı Posasından Elde Edilen Pektinin Modifiye Edilerek Karakterize Edilmesi, Moleküler ve Reolojik Özelliklerinin Belirlenmesi Rheological and Molecular Characterization of Modified Pectin from Sugar Beet Meal","type":"article-journal","volume":"13"},"uris":["http://www.mendeley.com/documents/?uuid=97c27680-6922-468f-ae60-6ce1846ca9ed"]}],"mendeley":{"formattedCitation":"(Tahsin Yılmaz et al., 2016)","manualFormatting":"(Yılmaz et al., 2016)","plainTextFormattedCitation":"(Tahsin Yılmaz et al., 2016)","previouslyFormattedCitation":"(Tahsin Yılmaz et al., 2016)"},"properties":{"noteIndex":0},"schema":"https://github.com/citation-style-language/schema/raw/master/csl-citation.json"}</w:instrText>
            </w:r>
            <w:r w:rsidRPr="007C64A9">
              <w:rPr>
                <w:rFonts w:cstheme="minorHAnsi"/>
                <w:sz w:val="20"/>
                <w:szCs w:val="20"/>
              </w:rPr>
              <w:fldChar w:fldCharType="separate"/>
            </w:r>
            <w:r w:rsidRPr="007C64A9">
              <w:rPr>
                <w:rFonts w:cstheme="minorHAnsi"/>
                <w:b w:val="0"/>
                <w:bCs w:val="0"/>
                <w:noProof/>
                <w:sz w:val="20"/>
                <w:szCs w:val="20"/>
              </w:rPr>
              <w:t>(Yılmaz et al., 2016)</w:t>
            </w:r>
            <w:r w:rsidRPr="007C64A9">
              <w:rPr>
                <w:rFonts w:cstheme="minorHAnsi"/>
                <w:sz w:val="20"/>
                <w:szCs w:val="20"/>
              </w:rPr>
              <w:fldChar w:fldCharType="end"/>
            </w:r>
          </w:p>
        </w:tc>
        <w:tc>
          <w:tcPr>
            <w:tcW w:w="1332" w:type="dxa"/>
            <w:vAlign w:val="center"/>
          </w:tcPr>
          <w:p w14:paraId="71A15FE0"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19.6%</w:t>
            </w:r>
          </w:p>
        </w:tc>
        <w:tc>
          <w:tcPr>
            <w:tcW w:w="2732" w:type="dxa"/>
            <w:vAlign w:val="center"/>
          </w:tcPr>
          <w:p w14:paraId="56E7FC26" w14:textId="77777777" w:rsidR="00AC38AA" w:rsidRPr="007C64A9" w:rsidRDefault="00AC38AA" w:rsidP="00D51037">
            <w:pPr>
              <w:spacing w:before="24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C64A9">
              <w:rPr>
                <w:rFonts w:cstheme="minorHAnsi"/>
                <w:sz w:val="20"/>
                <w:szCs w:val="20"/>
              </w:rPr>
              <w:t xml:space="preserve">Not </w:t>
            </w:r>
            <w:proofErr w:type="spellStart"/>
            <w:r w:rsidRPr="007C64A9">
              <w:rPr>
                <w:rFonts w:cstheme="minorHAnsi"/>
                <w:sz w:val="20"/>
                <w:szCs w:val="20"/>
              </w:rPr>
              <w:t>measured</w:t>
            </w:r>
            <w:proofErr w:type="spellEnd"/>
          </w:p>
        </w:tc>
      </w:tr>
      <w:tr w:rsidR="00AC38AA" w:rsidRPr="007C64A9" w14:paraId="2653560B" w14:textId="77777777" w:rsidTr="00D51037">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498" w:type="dxa"/>
            <w:vAlign w:val="center"/>
          </w:tcPr>
          <w:p w14:paraId="3A020098" w14:textId="77777777" w:rsidR="00AC38AA" w:rsidRPr="007C64A9" w:rsidRDefault="00AC38AA" w:rsidP="00D51037">
            <w:pPr>
              <w:spacing w:before="240"/>
              <w:jc w:val="center"/>
              <w:rPr>
                <w:rFonts w:cstheme="minorHAnsi"/>
                <w:b w:val="0"/>
                <w:bCs w:val="0"/>
                <w:sz w:val="20"/>
                <w:szCs w:val="20"/>
              </w:rPr>
            </w:pPr>
            <w:r w:rsidRPr="007C64A9">
              <w:rPr>
                <w:rFonts w:cstheme="minorHAnsi"/>
                <w:sz w:val="20"/>
                <w:szCs w:val="20"/>
              </w:rPr>
              <w:fldChar w:fldCharType="begin" w:fldLock="1"/>
            </w:r>
            <w:r w:rsidRPr="007C64A9">
              <w:rPr>
                <w:rFonts w:cstheme="minorHAnsi"/>
                <w:b w:val="0"/>
                <w:bCs w:val="0"/>
                <w:sz w:val="20"/>
                <w:szCs w:val="20"/>
              </w:rPr>
              <w:instrText>ADDIN CSL_CITATION {"citationItems":[{"id":"ITEM-1","itemData":{"DOI":"10.3390/molecules24030392","ISSN":"14203049","PMID":"30678271","abstract":"In this work, the efficient extraction of pectin from sugar beet by-products (pressed, ensiled and dried pulp), by using an acid method or a commercial cellulose, is accomplished. The extraction method had an impact on the pectin monomeric composition, mainly in xylose, arabinose, and galacturonic acid content, as determined by GC-FID. FTIR and SEC analyses allowed the determination of similar degrees of methoxylation and molecular weights, respectively, in the extracted pectins. The acid extraction of pectin in the ensiled by-product led to the highest yield (19%) with a galacturonic acid content of 46%, whereas the application of the enzymatic extraction method resulted in a lower yield (13%) but higher galacturonic acid content (72%). Moreover, the stability in aqueous solution as well as the emulsifying activity index was higher for pectin extracted by the acid method, whereas the viscosity was higher in pectin extracted by the enzymatic method. To the best of our knowledge, this is the first study analyzing the physicochemical properties and exploring the potential reuse of ensiled and dried by-products from sugar beet industry for the extraction of pectin to be further used in the food and pharmaceutical areas.","author":[{"dropping-particle":"","family":"Teresa Pacheco","given":"M.","non-dropping-particle":"","parse-names":false,"suffix":""},{"dropping-particle":"","family":"Villamiel","given":"Mar","non-dropping-particle":"","parse-names":false,"suffix":""},{"dropping-particle":"","family":"Moreno","given":"Rodrigo","non-dropping-particle":"","parse-names":false,"suffix":""},{"dropping-particle":"","family":"Moreno","given":"F. Javier","non-dropping-particle":"","parse-names":false,"suffix":""}],"container-title":"Molecules","id":"ITEM-1","issue":"3","issued":{"date-parts":[["2019"]]},"title":"Structural and rheological properties of pectins extracted from industrial sugar beet by-products","type":"article-journal","volume":"24"},"uris":["http://www.mendeley.com/documents/?uuid=56b139c6-d221-48aa-af0b-49e5af43de9c"]}],"mendeley":{"formattedCitation":"(Teresa Pacheco et al., 2019)","plainTextFormattedCitation":"(Teresa Pacheco et al., 2019)","previouslyFormattedCitation":"(Teresa Pacheco et al., 2019)"},"properties":{"noteIndex":0},"schema":"https://github.com/citation-style-language/schema/raw/master/csl-citation.json"}</w:instrText>
            </w:r>
            <w:r w:rsidRPr="007C64A9">
              <w:rPr>
                <w:rFonts w:cstheme="minorHAnsi"/>
                <w:sz w:val="20"/>
                <w:szCs w:val="20"/>
              </w:rPr>
              <w:fldChar w:fldCharType="separate"/>
            </w:r>
            <w:r w:rsidRPr="007C64A9">
              <w:rPr>
                <w:rFonts w:cstheme="minorHAnsi"/>
                <w:sz w:val="20"/>
                <w:szCs w:val="20"/>
              </w:rPr>
              <w:t>(</w:t>
            </w:r>
            <w:r w:rsidRPr="007C64A9">
              <w:rPr>
                <w:rFonts w:cstheme="minorHAnsi"/>
                <w:b w:val="0"/>
                <w:bCs w:val="0"/>
                <w:noProof/>
                <w:sz w:val="20"/>
                <w:szCs w:val="20"/>
              </w:rPr>
              <w:t>Pacheco et al., 2019)</w:t>
            </w:r>
            <w:r w:rsidRPr="007C64A9">
              <w:rPr>
                <w:rFonts w:cstheme="minorHAnsi"/>
                <w:sz w:val="20"/>
                <w:szCs w:val="20"/>
              </w:rPr>
              <w:fldChar w:fldCharType="end"/>
            </w:r>
          </w:p>
        </w:tc>
        <w:tc>
          <w:tcPr>
            <w:tcW w:w="1332" w:type="dxa"/>
            <w:vAlign w:val="center"/>
          </w:tcPr>
          <w:p w14:paraId="79DD8A47"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19 %</w:t>
            </w:r>
          </w:p>
        </w:tc>
        <w:tc>
          <w:tcPr>
            <w:tcW w:w="2732" w:type="dxa"/>
            <w:vAlign w:val="center"/>
          </w:tcPr>
          <w:p w14:paraId="430EB570" w14:textId="77777777" w:rsidR="00AC38AA" w:rsidRPr="007C64A9" w:rsidRDefault="00AC38AA" w:rsidP="00D51037">
            <w:pPr>
              <w:spacing w:before="24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C64A9">
              <w:rPr>
                <w:rFonts w:cstheme="minorHAnsi"/>
                <w:sz w:val="20"/>
                <w:szCs w:val="20"/>
              </w:rPr>
              <w:t>48.4- 50.14%</w:t>
            </w:r>
          </w:p>
        </w:tc>
      </w:tr>
    </w:tbl>
    <w:p w14:paraId="7026FDB0" w14:textId="77777777" w:rsidR="001B44D4" w:rsidRDefault="001B44D4"/>
    <w:sectPr w:rsidR="001B44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4D4"/>
    <w:rsid w:val="00072BCB"/>
    <w:rsid w:val="000D1F9A"/>
    <w:rsid w:val="001B44D4"/>
    <w:rsid w:val="00283BB9"/>
    <w:rsid w:val="004531CF"/>
    <w:rsid w:val="004D4074"/>
    <w:rsid w:val="00583268"/>
    <w:rsid w:val="005E20B3"/>
    <w:rsid w:val="00794583"/>
    <w:rsid w:val="007C4CC6"/>
    <w:rsid w:val="008A09C4"/>
    <w:rsid w:val="008E2684"/>
    <w:rsid w:val="00A76FEC"/>
    <w:rsid w:val="00AA4F75"/>
    <w:rsid w:val="00AC38AA"/>
    <w:rsid w:val="00C56FD8"/>
    <w:rsid w:val="00E6271B"/>
    <w:rsid w:val="00E73B87"/>
    <w:rsid w:val="00FA5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A90A203"/>
  <w15:chartTrackingRefBased/>
  <w15:docId w15:val="{306C0AD1-5C3E-463E-9664-776735B7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4D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KlavuzTablo21">
    <w:name w:val="Kılavuz Tablo 21"/>
    <w:basedOn w:val="NormalTablo"/>
    <w:uiPriority w:val="47"/>
    <w:rsid w:val="00AC38AA"/>
    <w:pPr>
      <w:spacing w:after="0" w:line="240" w:lineRule="auto"/>
    </w:pPr>
    <w:rPr>
      <w:lang w:val="tr-TR"/>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Kpr">
    <w:name w:val="Hyperlink"/>
    <w:basedOn w:val="VarsaylanParagrafYazTipi"/>
    <w:uiPriority w:val="99"/>
    <w:unhideWhenUsed/>
    <w:rsid w:val="00A76F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gulcihan.gulseren@gidatarim.edu.tr" TargetMode="External"/><Relationship Id="rId12" Type="http://schemas.openxmlformats.org/officeDocument/2006/relationships/oleObject" Target="embeddings/oleObject1.bin"/><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5" Type="http://schemas.openxmlformats.org/officeDocument/2006/relationships/settings" Target="settings.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CEB52D57439874BBD8AE91087C96EA5" ma:contentTypeVersion="4" ma:contentTypeDescription="Create a new document." ma:contentTypeScope="" ma:versionID="cb3cb65b42a76fbe4a98218dd3085da5">
  <xsd:schema xmlns:xsd="http://www.w3.org/2001/XMLSchema" xmlns:xs="http://www.w3.org/2001/XMLSchema" xmlns:p="http://schemas.microsoft.com/office/2006/metadata/properties" xmlns:ns3="349dbd31-81f0-4274-b796-905b07ba3dbd" targetNamespace="http://schemas.microsoft.com/office/2006/metadata/properties" ma:root="true" ma:fieldsID="2dc310c544db9b5e63c03fc238b5111c" ns3:_="">
    <xsd:import namespace="349dbd31-81f0-4274-b796-905b07ba3db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9dbd31-81f0-4274-b796-905b07ba3d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DC331F-D1AD-4BC5-8346-49B507B0E909}">
  <ds:schemaRefs>
    <ds:schemaRef ds:uri="http://schemas.microsoft.com/sharepoint/v3/contenttype/forms"/>
  </ds:schemaRefs>
</ds:datastoreItem>
</file>

<file path=customXml/itemProps2.xml><?xml version="1.0" encoding="utf-8"?>
<ds:datastoreItem xmlns:ds="http://schemas.openxmlformats.org/officeDocument/2006/customXml" ds:itemID="{12DD4C1A-535D-4CE9-BDD1-35C5AC9951D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8CBC5AF-44AD-4BD2-B8A5-27248FC754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9dbd31-81f0-4274-b796-905b07ba3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3161</Words>
  <Characters>18021</Characters>
  <Application>Microsoft Office Word</Application>
  <DocSecurity>0</DocSecurity>
  <Lines>150</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Gülcihan GÜLSEREN</dc:creator>
  <cp:keywords/>
  <dc:description/>
  <cp:lastModifiedBy>Gülcihan GÜLSEREN</cp:lastModifiedBy>
  <cp:revision>8</cp:revision>
  <dcterms:created xsi:type="dcterms:W3CDTF">2022-02-17T13:31:00Z</dcterms:created>
  <dcterms:modified xsi:type="dcterms:W3CDTF">2022-02-23T13:27:00Z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0x010100DCEB52D57439874BBD8AE91087C96EA5</vt:lpwstr>
  </property>
</Properties>
</file>