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73CD" w:rsidRDefault="00CA73CD" w:rsidP="00CA73CD">
      <w:pPr>
        <w:pStyle w:val="MDPI51figurecaption"/>
        <w:spacing w:before="0" w:after="0" w:line="240" w:lineRule="auto"/>
        <w:ind w:left="0"/>
        <w:jc w:val="both"/>
        <w:rPr>
          <w:b/>
        </w:rPr>
      </w:pPr>
      <w:r>
        <w:rPr>
          <w:noProof/>
          <w:lang w:eastAsia="en-US" w:bidi="ar-SA"/>
        </w:rPr>
        <w:drawing>
          <wp:anchor distT="0" distB="0" distL="114300" distR="114300" simplePos="0" relativeHeight="251659264" behindDoc="0" locked="0" layoutInCell="1" allowOverlap="1" wp14:anchorId="4F4C81A3" wp14:editId="45162660">
            <wp:simplePos x="0" y="0"/>
            <wp:positionH relativeFrom="column">
              <wp:posOffset>133350</wp:posOffset>
            </wp:positionH>
            <wp:positionV relativeFrom="paragraph">
              <wp:posOffset>0</wp:posOffset>
            </wp:positionV>
            <wp:extent cx="5010150" cy="5022850"/>
            <wp:effectExtent l="0" t="0" r="0" b="6350"/>
            <wp:wrapSquare wrapText="bothSides"/>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10150" cy="50228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A73CD" w:rsidRPr="0013687E" w:rsidRDefault="00CA73CD" w:rsidP="00CA73CD">
      <w:pPr>
        <w:pStyle w:val="MDPI51figurecaption"/>
        <w:spacing w:before="0" w:after="0" w:line="360" w:lineRule="auto"/>
        <w:ind w:left="0"/>
        <w:jc w:val="both"/>
        <w:rPr>
          <w:b/>
        </w:rPr>
      </w:pPr>
      <w:r w:rsidRPr="000A682A">
        <w:rPr>
          <w:b/>
        </w:rPr>
        <w:t>Additional figure:</w:t>
      </w:r>
      <w:r w:rsidRPr="000A682A">
        <w:rPr>
          <w:bCs/>
        </w:rPr>
        <w:t xml:space="preserve"> The level of HSF2 in IECs and the damaged mitochondria </w:t>
      </w:r>
      <w:r>
        <w:rPr>
          <w:bCs/>
        </w:rPr>
        <w:t xml:space="preserve">derived ROS </w:t>
      </w:r>
      <w:r w:rsidRPr="000A682A">
        <w:rPr>
          <w:bCs/>
        </w:rPr>
        <w:t xml:space="preserve">increased significantly in UC patients due to the inflammation. The NLRP3 inflammasome could be activated by the accumulation of mtROS in the cytoplasm. High expression of HSF2 in UC could promote mitophagy, remove damaged mitochondria, reduce mtROS and inhibit the activation of NLRP3 inflammasome </w:t>
      </w:r>
      <w:r>
        <w:rPr>
          <w:bCs/>
        </w:rPr>
        <w:t>through</w:t>
      </w:r>
      <w:r w:rsidRPr="000A682A">
        <w:rPr>
          <w:bCs/>
        </w:rPr>
        <w:t xml:space="preserve"> regulating PARL/PINK1/Parkin pathway. Therefore, the mechanism by which HSF2 inhibits the activation of NLRP3 inflammasome in UC might be closely related to mitophagy.</w:t>
      </w:r>
    </w:p>
    <w:p w:rsidR="00390883" w:rsidRDefault="00CA73CD">
      <w:bookmarkStart w:id="0" w:name="_GoBack"/>
      <w:bookmarkEnd w:id="0"/>
    </w:p>
    <w:sectPr w:rsidR="003908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3CD"/>
    <w:rsid w:val="001A6D85"/>
    <w:rsid w:val="006E330B"/>
    <w:rsid w:val="00B1111D"/>
    <w:rsid w:val="00C253AF"/>
    <w:rsid w:val="00CA73CD"/>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689ABE-E7F5-4A8F-85FB-F210B8C8B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51figurecaption">
    <w:name w:val="MDPI_5.1_figure_caption"/>
    <w:qFormat/>
    <w:rsid w:val="00CA73CD"/>
    <w:pPr>
      <w:adjustRightInd w:val="0"/>
      <w:snapToGrid w:val="0"/>
      <w:spacing w:before="120" w:after="240" w:line="228" w:lineRule="auto"/>
      <w:ind w:left="2608"/>
    </w:pPr>
    <w:rPr>
      <w:rFonts w:ascii="Palatino Linotype" w:eastAsia="Times New Roman" w:hAnsi="Palatino Linotype" w:cs="Times New Roman"/>
      <w:color w:val="000000"/>
      <w:sz w:val="18"/>
      <w:szCs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2022-03-15T10:15:00Z</dcterms:created>
  <dcterms:modified xsi:type="dcterms:W3CDTF">2022-03-15T10:15:00Z</dcterms:modified>
</cp:coreProperties>
</file>