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54E7" w:rsidRPr="00617ADF" w:rsidRDefault="006B54E7" w:rsidP="006B54E7">
      <w:pPr>
        <w:spacing w:line="276" w:lineRule="auto"/>
        <w:rPr>
          <w:rFonts w:ascii="Times New Roman" w:hAnsi="Times New Roman" w:cs="Times New Roman"/>
          <w:sz w:val="20"/>
          <w:szCs w:val="20"/>
        </w:rPr>
      </w:pPr>
      <w:r w:rsidRPr="00617ADF">
        <w:rPr>
          <w:rFonts w:ascii="Times New Roman" w:hAnsi="Times New Roman" w:cs="Times New Roman"/>
          <w:b/>
          <w:sz w:val="20"/>
          <w:szCs w:val="20"/>
        </w:rPr>
        <w:t xml:space="preserve">Table S1. </w:t>
      </w:r>
      <w:r w:rsidRPr="00617ADF">
        <w:rPr>
          <w:rFonts w:ascii="Times New Roman" w:hAnsi="Times New Roman" w:cs="Times New Roman"/>
          <w:sz w:val="20"/>
          <w:szCs w:val="20"/>
        </w:rPr>
        <w:t xml:space="preserve">Primer sequences for 42 microsatellite loci optimized for the Caney Fork form of </w:t>
      </w:r>
      <w:r w:rsidRPr="00617ADF">
        <w:rPr>
          <w:rFonts w:ascii="Times New Roman" w:hAnsi="Times New Roman" w:cs="Times New Roman"/>
          <w:i/>
          <w:sz w:val="20"/>
          <w:szCs w:val="20"/>
        </w:rPr>
        <w:t>C</w:t>
      </w:r>
      <w:r>
        <w:rPr>
          <w:rFonts w:ascii="Times New Roman" w:hAnsi="Times New Roman" w:cs="Times New Roman"/>
          <w:i/>
          <w:sz w:val="20"/>
          <w:szCs w:val="20"/>
        </w:rPr>
        <w:t>.</w:t>
      </w:r>
      <w:r w:rsidRPr="00617ADF">
        <w:rPr>
          <w:rFonts w:ascii="Times New Roman" w:hAnsi="Times New Roman" w:cs="Times New Roman"/>
          <w:i/>
          <w:sz w:val="20"/>
          <w:szCs w:val="20"/>
        </w:rPr>
        <w:t xml:space="preserve"> pristinus </w:t>
      </w:r>
      <w:r w:rsidRPr="00617ADF">
        <w:rPr>
          <w:rFonts w:ascii="Times New Roman" w:hAnsi="Times New Roman" w:cs="Times New Roman"/>
          <w:sz w:val="20"/>
          <w:szCs w:val="20"/>
        </w:rPr>
        <w:t xml:space="preserve">and the Sequatchie form of </w:t>
      </w:r>
      <w:r w:rsidRPr="00617ADF">
        <w:rPr>
          <w:rFonts w:ascii="Times New Roman" w:hAnsi="Times New Roman" w:cs="Times New Roman"/>
          <w:i/>
          <w:sz w:val="20"/>
          <w:szCs w:val="20"/>
        </w:rPr>
        <w:t>C. pristinus</w:t>
      </w:r>
      <w:r w:rsidRPr="00617ADF">
        <w:rPr>
          <w:rFonts w:ascii="Times New Roman" w:hAnsi="Times New Roman" w:cs="Times New Roman"/>
          <w:sz w:val="20"/>
          <w:szCs w:val="20"/>
        </w:rPr>
        <w:t xml:space="preserve"> including locus features: repeat motif, the number of alleles observed (N</w:t>
      </w:r>
      <w:r w:rsidRPr="00617ADF">
        <w:rPr>
          <w:rFonts w:ascii="Times New Roman" w:hAnsi="Times New Roman" w:cs="Times New Roman"/>
          <w:sz w:val="20"/>
          <w:szCs w:val="20"/>
          <w:vertAlign w:val="subscript"/>
        </w:rPr>
        <w:t>a</w:t>
      </w:r>
      <w:r w:rsidRPr="00617ADF">
        <w:rPr>
          <w:rFonts w:ascii="Times New Roman" w:hAnsi="Times New Roman" w:cs="Times New Roman"/>
          <w:sz w:val="20"/>
          <w:szCs w:val="20"/>
        </w:rPr>
        <w:t>), allele size range in base pairs (bp), and annealing temperature (T</w:t>
      </w:r>
      <w:r w:rsidRPr="00617ADF">
        <w:rPr>
          <w:rFonts w:ascii="Times New Roman" w:hAnsi="Times New Roman" w:cs="Times New Roman"/>
          <w:sz w:val="20"/>
          <w:szCs w:val="20"/>
          <w:vertAlign w:val="subscript"/>
        </w:rPr>
        <w:t>a</w:t>
      </w:r>
      <w:r w:rsidRPr="00617ADF">
        <w:rPr>
          <w:rFonts w:ascii="Times New Roman" w:hAnsi="Times New Roman" w:cs="Times New Roman"/>
          <w:sz w:val="20"/>
          <w:szCs w:val="20"/>
        </w:rPr>
        <w:t xml:space="preserve">). Data are summarized from the number of individuals indicated except for loci in bold which are summarized from our full data set of the Caney Fork form of </w:t>
      </w:r>
      <w:r w:rsidRPr="00617ADF">
        <w:rPr>
          <w:rFonts w:ascii="Times New Roman" w:hAnsi="Times New Roman" w:cs="Times New Roman"/>
          <w:i/>
          <w:sz w:val="20"/>
          <w:szCs w:val="20"/>
        </w:rPr>
        <w:t xml:space="preserve">C. pristinus </w:t>
      </w:r>
      <w:r w:rsidRPr="00617ADF">
        <w:rPr>
          <w:rFonts w:ascii="Times New Roman" w:hAnsi="Times New Roman" w:cs="Times New Roman"/>
          <w:sz w:val="20"/>
          <w:szCs w:val="20"/>
        </w:rPr>
        <w:t xml:space="preserve">with 169 individuals and an exploratory data set of the Sequatchie form with 21 individuals. </w:t>
      </w:r>
    </w:p>
    <w:tbl>
      <w:tblPr>
        <w:tblW w:w="14130" w:type="dxa"/>
        <w:jc w:val="center"/>
        <w:tblLayout w:type="fixed"/>
        <w:tblLook w:val="04A0" w:firstRow="1" w:lastRow="0" w:firstColumn="1" w:lastColumn="0" w:noHBand="0" w:noVBand="1"/>
      </w:tblPr>
      <w:tblGrid>
        <w:gridCol w:w="1080"/>
        <w:gridCol w:w="6660"/>
        <w:gridCol w:w="1260"/>
        <w:gridCol w:w="540"/>
        <w:gridCol w:w="1260"/>
        <w:gridCol w:w="720"/>
        <w:gridCol w:w="630"/>
        <w:gridCol w:w="1260"/>
        <w:gridCol w:w="720"/>
      </w:tblGrid>
      <w:tr w:rsidR="006B54E7" w:rsidRPr="009273A3" w:rsidTr="000E7014">
        <w:trPr>
          <w:trHeight w:val="20"/>
          <w:jc w:val="center"/>
        </w:trPr>
        <w:tc>
          <w:tcPr>
            <w:tcW w:w="1080" w:type="dxa"/>
            <w:tcBorders>
              <w:top w:val="single" w:sz="4" w:space="0" w:color="auto"/>
              <w:bottom w:val="single" w:sz="4"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p>
        </w:tc>
        <w:tc>
          <w:tcPr>
            <w:tcW w:w="6660" w:type="dxa"/>
            <w:tcBorders>
              <w:top w:val="single" w:sz="4" w:space="0" w:color="auto"/>
              <w:bottom w:val="single" w:sz="4"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p>
        </w:tc>
        <w:tc>
          <w:tcPr>
            <w:tcW w:w="1260" w:type="dxa"/>
            <w:tcBorders>
              <w:top w:val="single" w:sz="4" w:space="0" w:color="auto"/>
              <w:bottom w:val="single" w:sz="4"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p>
        </w:tc>
        <w:tc>
          <w:tcPr>
            <w:tcW w:w="2520" w:type="dxa"/>
            <w:gridSpan w:val="3"/>
            <w:tcBorders>
              <w:top w:val="single" w:sz="4" w:space="0" w:color="auto"/>
              <w:bottom w:val="single" w:sz="4"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i/>
                <w:sz w:val="20"/>
                <w:szCs w:val="20"/>
              </w:rPr>
              <w:t xml:space="preserve">C. pristinus </w:t>
            </w:r>
            <w:r w:rsidRPr="00617ADF">
              <w:rPr>
                <w:rFonts w:ascii="Times New Roman" w:eastAsia="Calibri" w:hAnsi="Times New Roman" w:cs="Times New Roman"/>
                <w:sz w:val="20"/>
                <w:szCs w:val="20"/>
              </w:rPr>
              <w:t>Caney Fork form</w:t>
            </w:r>
            <w:r w:rsidRPr="00617ADF">
              <w:rPr>
                <w:rFonts w:ascii="Times New Roman" w:eastAsia="Calibri" w:hAnsi="Times New Roman" w:cs="Times New Roman"/>
                <w:i/>
                <w:sz w:val="20"/>
                <w:szCs w:val="20"/>
              </w:rPr>
              <w:t xml:space="preserve"> </w:t>
            </w:r>
            <w:r w:rsidRPr="00617ADF">
              <w:rPr>
                <w:rFonts w:ascii="Times New Roman" w:eastAsia="Calibri" w:hAnsi="Times New Roman" w:cs="Times New Roman"/>
                <w:sz w:val="20"/>
                <w:szCs w:val="20"/>
              </w:rPr>
              <w:t>(n=6)</w:t>
            </w:r>
          </w:p>
        </w:tc>
        <w:tc>
          <w:tcPr>
            <w:tcW w:w="2610" w:type="dxa"/>
            <w:gridSpan w:val="3"/>
            <w:tcBorders>
              <w:top w:val="single" w:sz="4" w:space="0" w:color="auto"/>
              <w:bottom w:val="single" w:sz="4"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i/>
                <w:sz w:val="20"/>
                <w:szCs w:val="20"/>
              </w:rPr>
              <w:t xml:space="preserve">C. pristinus </w:t>
            </w:r>
            <w:r w:rsidRPr="00617ADF">
              <w:rPr>
                <w:rFonts w:ascii="Times New Roman" w:eastAsia="Calibri" w:hAnsi="Times New Roman" w:cs="Times New Roman"/>
                <w:sz w:val="20"/>
                <w:szCs w:val="20"/>
              </w:rPr>
              <w:t>Sequatchie form</w:t>
            </w:r>
            <w:r w:rsidRPr="00617ADF">
              <w:rPr>
                <w:rFonts w:ascii="Times New Roman" w:eastAsia="Calibri" w:hAnsi="Times New Roman" w:cs="Times New Roman"/>
                <w:i/>
                <w:sz w:val="20"/>
                <w:szCs w:val="20"/>
              </w:rPr>
              <w:t xml:space="preserve"> </w:t>
            </w:r>
            <w:r w:rsidRPr="00617ADF">
              <w:rPr>
                <w:rFonts w:ascii="Times New Roman" w:eastAsia="Calibri" w:hAnsi="Times New Roman" w:cs="Times New Roman"/>
                <w:sz w:val="20"/>
                <w:szCs w:val="20"/>
              </w:rPr>
              <w:t>(n=1)</w:t>
            </w:r>
          </w:p>
        </w:tc>
      </w:tr>
      <w:tr w:rsidR="006B54E7" w:rsidRPr="009273A3" w:rsidTr="000E7014">
        <w:trPr>
          <w:trHeight w:val="20"/>
          <w:jc w:val="center"/>
        </w:trPr>
        <w:tc>
          <w:tcPr>
            <w:tcW w:w="1080" w:type="dxa"/>
            <w:tcBorders>
              <w:top w:val="single" w:sz="4" w:space="0" w:color="auto"/>
              <w:bottom w:val="single" w:sz="4"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Primer</w:t>
            </w:r>
          </w:p>
        </w:tc>
        <w:tc>
          <w:tcPr>
            <w:tcW w:w="6660" w:type="dxa"/>
            <w:tcBorders>
              <w:top w:val="single" w:sz="4" w:space="0" w:color="auto"/>
              <w:bottom w:val="single" w:sz="4"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bookmarkStart w:id="0" w:name="_GoBack"/>
            <w:bookmarkEnd w:id="0"/>
            <w:r w:rsidRPr="00617ADF">
              <w:rPr>
                <w:rFonts w:ascii="Times New Roman" w:eastAsia="Calibri" w:hAnsi="Times New Roman" w:cs="Times New Roman"/>
                <w:sz w:val="20"/>
                <w:szCs w:val="20"/>
              </w:rPr>
              <w:t>Primer sequence (5’ – 3’)</w:t>
            </w:r>
          </w:p>
        </w:tc>
        <w:tc>
          <w:tcPr>
            <w:tcW w:w="1260" w:type="dxa"/>
            <w:tcBorders>
              <w:top w:val="single" w:sz="4" w:space="0" w:color="auto"/>
              <w:bottom w:val="single" w:sz="4"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Repeat Motif</w:t>
            </w:r>
          </w:p>
        </w:tc>
        <w:tc>
          <w:tcPr>
            <w:tcW w:w="540" w:type="dxa"/>
            <w:tcBorders>
              <w:top w:val="single" w:sz="4" w:space="0" w:color="auto"/>
              <w:bottom w:val="single" w:sz="4"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vertAlign w:val="subscript"/>
              </w:rPr>
            </w:pPr>
            <w:r w:rsidRPr="00617ADF">
              <w:rPr>
                <w:rFonts w:ascii="Times New Roman" w:eastAsia="Calibri" w:hAnsi="Times New Roman" w:cs="Times New Roman"/>
                <w:sz w:val="20"/>
                <w:szCs w:val="20"/>
              </w:rPr>
              <w:t>N</w:t>
            </w:r>
            <w:r w:rsidRPr="00617ADF">
              <w:rPr>
                <w:rFonts w:ascii="Times New Roman" w:eastAsia="Calibri" w:hAnsi="Times New Roman" w:cs="Times New Roman"/>
                <w:sz w:val="20"/>
                <w:szCs w:val="20"/>
                <w:vertAlign w:val="subscript"/>
              </w:rPr>
              <w:t>a</w:t>
            </w:r>
          </w:p>
        </w:tc>
        <w:tc>
          <w:tcPr>
            <w:tcW w:w="1260" w:type="dxa"/>
            <w:tcBorders>
              <w:top w:val="single" w:sz="4" w:space="0" w:color="auto"/>
              <w:bottom w:val="single" w:sz="4"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Allelic Range (bp)</w:t>
            </w:r>
          </w:p>
        </w:tc>
        <w:tc>
          <w:tcPr>
            <w:tcW w:w="720" w:type="dxa"/>
            <w:tcBorders>
              <w:top w:val="single" w:sz="4" w:space="0" w:color="auto"/>
              <w:bottom w:val="single" w:sz="4"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T</w:t>
            </w:r>
            <w:r w:rsidRPr="00617ADF">
              <w:rPr>
                <w:rFonts w:ascii="Times New Roman" w:eastAsia="Calibri" w:hAnsi="Times New Roman" w:cs="Times New Roman"/>
                <w:sz w:val="20"/>
                <w:szCs w:val="20"/>
                <w:vertAlign w:val="subscript"/>
              </w:rPr>
              <w:t>a</w:t>
            </w:r>
            <w:r w:rsidRPr="00617ADF">
              <w:rPr>
                <w:rFonts w:ascii="Times New Roman" w:eastAsia="Calibri" w:hAnsi="Times New Roman" w:cs="Times New Roman"/>
                <w:sz w:val="20"/>
                <w:szCs w:val="20"/>
              </w:rPr>
              <w:t xml:space="preserve"> (°C)</w:t>
            </w:r>
          </w:p>
        </w:tc>
        <w:tc>
          <w:tcPr>
            <w:tcW w:w="630" w:type="dxa"/>
            <w:tcBorders>
              <w:top w:val="single" w:sz="4" w:space="0" w:color="auto"/>
              <w:bottom w:val="single" w:sz="4"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N</w:t>
            </w:r>
            <w:r w:rsidRPr="00617ADF">
              <w:rPr>
                <w:rFonts w:ascii="Times New Roman" w:eastAsia="Calibri" w:hAnsi="Times New Roman" w:cs="Times New Roman"/>
                <w:sz w:val="20"/>
                <w:szCs w:val="20"/>
                <w:vertAlign w:val="subscript"/>
              </w:rPr>
              <w:t>a</w:t>
            </w:r>
          </w:p>
        </w:tc>
        <w:tc>
          <w:tcPr>
            <w:tcW w:w="1260" w:type="dxa"/>
            <w:tcBorders>
              <w:top w:val="single" w:sz="4" w:space="0" w:color="auto"/>
              <w:bottom w:val="single" w:sz="4"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Allelic Range (bp)</w:t>
            </w:r>
          </w:p>
        </w:tc>
        <w:tc>
          <w:tcPr>
            <w:tcW w:w="720" w:type="dxa"/>
            <w:tcBorders>
              <w:top w:val="single" w:sz="4" w:space="0" w:color="auto"/>
              <w:bottom w:val="single" w:sz="4"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T</w:t>
            </w:r>
            <w:r w:rsidRPr="00617ADF">
              <w:rPr>
                <w:rFonts w:ascii="Times New Roman" w:eastAsia="Calibri" w:hAnsi="Times New Roman" w:cs="Times New Roman"/>
                <w:sz w:val="20"/>
                <w:szCs w:val="20"/>
                <w:vertAlign w:val="subscript"/>
              </w:rPr>
              <w:t>a</w:t>
            </w:r>
            <w:r w:rsidRPr="00617ADF">
              <w:rPr>
                <w:rFonts w:ascii="Times New Roman" w:eastAsia="Calibri" w:hAnsi="Times New Roman" w:cs="Times New Roman"/>
                <w:sz w:val="20"/>
                <w:szCs w:val="20"/>
              </w:rPr>
              <w:t xml:space="preserve"> (°C)</w:t>
            </w:r>
          </w:p>
        </w:tc>
      </w:tr>
      <w:tr w:rsidR="006B54E7" w:rsidRPr="009273A3" w:rsidTr="000E7014">
        <w:trPr>
          <w:trHeight w:val="20"/>
          <w:jc w:val="center"/>
        </w:trPr>
        <w:tc>
          <w:tcPr>
            <w:tcW w:w="1080" w:type="dxa"/>
            <w:tcBorders>
              <w:top w:val="single" w:sz="4"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Cpris001</w:t>
            </w:r>
          </w:p>
        </w:tc>
        <w:tc>
          <w:tcPr>
            <w:tcW w:w="6660" w:type="dxa"/>
            <w:tcBorders>
              <w:top w:val="single" w:sz="4"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CACGACGTTGTAAAACGACGGCCTCCAAACTTGAAGAGAC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TCAACTCCGTGCCTACTCAC</w:t>
            </w:r>
          </w:p>
        </w:tc>
        <w:tc>
          <w:tcPr>
            <w:tcW w:w="1260" w:type="dxa"/>
            <w:tcBorders>
              <w:top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AAAC</w:t>
            </w:r>
          </w:p>
        </w:tc>
        <w:tc>
          <w:tcPr>
            <w:tcW w:w="540" w:type="dxa"/>
            <w:tcBorders>
              <w:top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tcBorders>
              <w:top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176</w:t>
            </w:r>
          </w:p>
        </w:tc>
        <w:tc>
          <w:tcPr>
            <w:tcW w:w="720" w:type="dxa"/>
            <w:tcBorders>
              <w:top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c>
          <w:tcPr>
            <w:tcW w:w="630" w:type="dxa"/>
            <w:tcBorders>
              <w:top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tcBorders>
              <w:top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165</w:t>
            </w:r>
          </w:p>
        </w:tc>
        <w:tc>
          <w:tcPr>
            <w:tcW w:w="720" w:type="dxa"/>
            <w:tcBorders>
              <w:top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r>
      <w:tr w:rsidR="006B54E7" w:rsidRPr="009273A3" w:rsidTr="000E7014">
        <w:trPr>
          <w:trHeight w:val="20"/>
          <w:jc w:val="center"/>
        </w:trPr>
        <w:tc>
          <w:tcPr>
            <w:tcW w:w="1080" w:type="dxa"/>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Cpris002</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CACGACGTTGTAAAACGACGGCTTCCTGACTTCGACAAC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TCTCCACTTCCCTGTAACCC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AAAC</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226</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217</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r>
      <w:tr w:rsidR="006B54E7" w:rsidRPr="009273A3" w:rsidTr="000E7014">
        <w:trPr>
          <w:trHeight w:val="20"/>
          <w:jc w:val="center"/>
        </w:trPr>
        <w:tc>
          <w:tcPr>
            <w:tcW w:w="1080" w:type="dxa"/>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Cpris004</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CACGACGTTGTAAAACGACGGATTCCACCAGAGCTGAGAG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AAAGCAATGACTCCTGCTGG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AAAC</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285</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63</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285</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63</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Cpris007</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CACGACGTTGTAAAACGACAGAAAGCCTCGCAACAAATG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GGCTTCCTGGTCCCTATCATC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AAAG</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5</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328–344</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332</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Cpris008</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CACGACGTTGTAAAACGACGTGTCCCGTCTTCAATTCCC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AAGTCAGTGTGCACCCTATG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AAAG</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374</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378</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Cpris013</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CACGACGTTGTAAAACGACTTAGCTTGCATCCCGAGTTG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GACACCTGTTGCACACTACC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AAGT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309</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309</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Cpris016</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CACGACGTTGTAAAACGACGAGCAGGGAAGATAGATGGAC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TGCAGGGTGAACAGGTAAGG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ACAG</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5</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206–220</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63</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210</w:t>
            </w:r>
            <w:r w:rsidRPr="00617ADF">
              <w:rPr>
                <w:rFonts w:ascii="Times New Roman" w:eastAsia="Calibri" w:hAnsi="Times New Roman" w:cs="Times New Roman"/>
                <w:sz w:val="20"/>
                <w:szCs w:val="20"/>
              </w:rPr>
              <w:softHyphen/>
              <w:t>–220</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63</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Cpris017</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CACGACGTTGTAAAACGACAGGATCTGAACGAGTCTGTGG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GCAGCCTCAAACCTTGGATAG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ACAG</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244</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240</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Cpris018</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CACGACGTTGTAAAACGACCTACGTCCGTCCCATACCC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CGTTCCCGTGTAGTACTGAAG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ACAG</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263</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263–267</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Cpris019</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CACGACGTTGTAAAAACGACATGTTGATAGGGTGAGGCTTC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TCTGTGTCCGACTGTCTCTG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ACAG</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273–277</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271</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Cpris021</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CACGACGTTGTAAAACGACTCAGTGCTTGAGGAGAGAAGG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TGCTTCTAATTAACCTGCCGG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ACAG</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317–329</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60</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317–325</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60</w:t>
            </w:r>
          </w:p>
        </w:tc>
      </w:tr>
      <w:tr w:rsidR="006B54E7" w:rsidRPr="009273A3" w:rsidTr="000E7014">
        <w:trPr>
          <w:trHeight w:val="20"/>
          <w:jc w:val="center"/>
        </w:trPr>
        <w:tc>
          <w:tcPr>
            <w:tcW w:w="1080" w:type="dxa"/>
            <w:tcBorders>
              <w:bottom w:val="single" w:sz="4"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Cpris022</w:t>
            </w:r>
          </w:p>
        </w:tc>
        <w:tc>
          <w:tcPr>
            <w:tcW w:w="6660" w:type="dxa"/>
            <w:tcBorders>
              <w:bottom w:val="single" w:sz="4"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CACGACGTTGTAAAACGACTCTCATCTTAGATTCACTGCGG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ACCTGTGTGTACCGATTGTG</w:t>
            </w:r>
          </w:p>
        </w:tc>
        <w:tc>
          <w:tcPr>
            <w:tcW w:w="126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ACAG</w:t>
            </w:r>
          </w:p>
        </w:tc>
        <w:tc>
          <w:tcPr>
            <w:tcW w:w="54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361</w:t>
            </w:r>
          </w:p>
        </w:tc>
        <w:tc>
          <w:tcPr>
            <w:tcW w:w="72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c>
          <w:tcPr>
            <w:tcW w:w="63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361</w:t>
            </w:r>
          </w:p>
        </w:tc>
        <w:tc>
          <w:tcPr>
            <w:tcW w:w="72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r>
      <w:tr w:rsidR="006B54E7" w:rsidRPr="009273A3" w:rsidTr="000E7014">
        <w:trPr>
          <w:trHeight w:val="20"/>
          <w:jc w:val="center"/>
        </w:trPr>
        <w:tc>
          <w:tcPr>
            <w:tcW w:w="1080" w:type="dxa"/>
            <w:tcBorders>
              <w:top w:val="single" w:sz="4" w:space="0" w:color="auto"/>
              <w:bottom w:val="single" w:sz="8"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p>
        </w:tc>
        <w:tc>
          <w:tcPr>
            <w:tcW w:w="6660" w:type="dxa"/>
            <w:tcBorders>
              <w:top w:val="single" w:sz="4" w:space="0" w:color="auto"/>
              <w:bottom w:val="single" w:sz="8"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p>
        </w:tc>
        <w:tc>
          <w:tcPr>
            <w:tcW w:w="1260" w:type="dxa"/>
            <w:tcBorders>
              <w:top w:val="single" w:sz="4" w:space="0" w:color="auto"/>
              <w:bottom w:val="single" w:sz="8"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p>
        </w:tc>
        <w:tc>
          <w:tcPr>
            <w:tcW w:w="2520" w:type="dxa"/>
            <w:gridSpan w:val="3"/>
            <w:tcBorders>
              <w:top w:val="single" w:sz="4"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i/>
                <w:sz w:val="20"/>
                <w:szCs w:val="20"/>
              </w:rPr>
              <w:t xml:space="preserve">C. pristinus </w:t>
            </w:r>
            <w:r w:rsidRPr="00617ADF">
              <w:rPr>
                <w:rFonts w:ascii="Times New Roman" w:eastAsia="Calibri" w:hAnsi="Times New Roman" w:cs="Times New Roman"/>
                <w:sz w:val="20"/>
                <w:szCs w:val="20"/>
              </w:rPr>
              <w:t>Caney Fork form</w:t>
            </w:r>
            <w:r w:rsidRPr="00617ADF">
              <w:rPr>
                <w:rFonts w:ascii="Times New Roman" w:eastAsia="Calibri" w:hAnsi="Times New Roman" w:cs="Times New Roman"/>
                <w:i/>
                <w:sz w:val="20"/>
                <w:szCs w:val="20"/>
              </w:rPr>
              <w:t xml:space="preserve"> </w:t>
            </w:r>
            <w:r w:rsidRPr="00617ADF">
              <w:rPr>
                <w:rFonts w:ascii="Times New Roman" w:eastAsia="Calibri" w:hAnsi="Times New Roman" w:cs="Times New Roman"/>
                <w:sz w:val="20"/>
                <w:szCs w:val="20"/>
              </w:rPr>
              <w:t>(n=6)</w:t>
            </w:r>
          </w:p>
        </w:tc>
        <w:tc>
          <w:tcPr>
            <w:tcW w:w="2610" w:type="dxa"/>
            <w:gridSpan w:val="3"/>
            <w:tcBorders>
              <w:top w:val="single" w:sz="4" w:space="0" w:color="auto"/>
              <w:bottom w:val="single" w:sz="4"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i/>
                <w:sz w:val="20"/>
                <w:szCs w:val="20"/>
              </w:rPr>
              <w:t xml:space="preserve">C. pristinus </w:t>
            </w:r>
            <w:r w:rsidRPr="00617ADF">
              <w:rPr>
                <w:rFonts w:ascii="Times New Roman" w:eastAsia="Calibri" w:hAnsi="Times New Roman" w:cs="Times New Roman"/>
                <w:sz w:val="20"/>
                <w:szCs w:val="20"/>
              </w:rPr>
              <w:t>Sequatchie form</w:t>
            </w:r>
            <w:r w:rsidRPr="00617ADF">
              <w:rPr>
                <w:rFonts w:ascii="Times New Roman" w:eastAsia="Calibri" w:hAnsi="Times New Roman" w:cs="Times New Roman"/>
                <w:i/>
                <w:sz w:val="20"/>
                <w:szCs w:val="20"/>
              </w:rPr>
              <w:t xml:space="preserve"> </w:t>
            </w:r>
            <w:r w:rsidRPr="00617ADF">
              <w:rPr>
                <w:rFonts w:ascii="Times New Roman" w:eastAsia="Calibri" w:hAnsi="Times New Roman" w:cs="Times New Roman"/>
                <w:sz w:val="20"/>
                <w:szCs w:val="20"/>
              </w:rPr>
              <w:t>(n=1)</w:t>
            </w:r>
          </w:p>
        </w:tc>
      </w:tr>
      <w:tr w:rsidR="006B54E7" w:rsidRPr="009273A3" w:rsidTr="000E7014">
        <w:trPr>
          <w:trHeight w:val="20"/>
          <w:jc w:val="center"/>
        </w:trPr>
        <w:tc>
          <w:tcPr>
            <w:tcW w:w="108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lastRenderedPageBreak/>
              <w:t>Primer</w:t>
            </w:r>
          </w:p>
        </w:tc>
        <w:tc>
          <w:tcPr>
            <w:tcW w:w="666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Primer sequence (5’ – 3’)</w:t>
            </w:r>
          </w:p>
        </w:tc>
        <w:tc>
          <w:tcPr>
            <w:tcW w:w="126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Repeat Motif</w:t>
            </w:r>
          </w:p>
        </w:tc>
        <w:tc>
          <w:tcPr>
            <w:tcW w:w="54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vertAlign w:val="subscript"/>
              </w:rPr>
            </w:pPr>
            <w:r w:rsidRPr="00617ADF">
              <w:rPr>
                <w:rFonts w:ascii="Times New Roman" w:eastAsia="Calibri" w:hAnsi="Times New Roman" w:cs="Times New Roman"/>
                <w:sz w:val="20"/>
                <w:szCs w:val="20"/>
              </w:rPr>
              <w:t>N</w:t>
            </w:r>
            <w:r w:rsidRPr="00617ADF">
              <w:rPr>
                <w:rFonts w:ascii="Times New Roman" w:eastAsia="Calibri" w:hAnsi="Times New Roman" w:cs="Times New Roman"/>
                <w:sz w:val="20"/>
                <w:szCs w:val="20"/>
                <w:vertAlign w:val="subscript"/>
              </w:rPr>
              <w:t>a</w:t>
            </w:r>
          </w:p>
        </w:tc>
        <w:tc>
          <w:tcPr>
            <w:tcW w:w="126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Allelic Range (bp)</w:t>
            </w:r>
          </w:p>
        </w:tc>
        <w:tc>
          <w:tcPr>
            <w:tcW w:w="720" w:type="dxa"/>
            <w:tcBorders>
              <w:top w:val="single" w:sz="4"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T</w:t>
            </w:r>
            <w:r w:rsidRPr="00617ADF">
              <w:rPr>
                <w:rFonts w:ascii="Times New Roman" w:eastAsia="Calibri" w:hAnsi="Times New Roman" w:cs="Times New Roman"/>
                <w:sz w:val="20"/>
                <w:szCs w:val="20"/>
                <w:vertAlign w:val="subscript"/>
              </w:rPr>
              <w:t>a</w:t>
            </w:r>
            <w:r w:rsidRPr="00617ADF">
              <w:rPr>
                <w:rFonts w:ascii="Times New Roman" w:eastAsia="Calibri" w:hAnsi="Times New Roman" w:cs="Times New Roman"/>
                <w:sz w:val="20"/>
                <w:szCs w:val="20"/>
              </w:rPr>
              <w:t xml:space="preserve"> (°C)</w:t>
            </w:r>
          </w:p>
        </w:tc>
        <w:tc>
          <w:tcPr>
            <w:tcW w:w="630" w:type="dxa"/>
            <w:tcBorders>
              <w:top w:val="single" w:sz="4"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N</w:t>
            </w:r>
            <w:r w:rsidRPr="00617ADF">
              <w:rPr>
                <w:rFonts w:ascii="Times New Roman" w:eastAsia="Calibri" w:hAnsi="Times New Roman" w:cs="Times New Roman"/>
                <w:sz w:val="20"/>
                <w:szCs w:val="20"/>
                <w:vertAlign w:val="subscript"/>
              </w:rPr>
              <w:t>a</w:t>
            </w:r>
          </w:p>
        </w:tc>
        <w:tc>
          <w:tcPr>
            <w:tcW w:w="1260" w:type="dxa"/>
            <w:tcBorders>
              <w:top w:val="single" w:sz="4"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Allelic Range (bp)</w:t>
            </w:r>
          </w:p>
        </w:tc>
        <w:tc>
          <w:tcPr>
            <w:tcW w:w="720" w:type="dxa"/>
            <w:tcBorders>
              <w:top w:val="single" w:sz="4"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T</w:t>
            </w:r>
            <w:r w:rsidRPr="00617ADF">
              <w:rPr>
                <w:rFonts w:ascii="Times New Roman" w:eastAsia="Calibri" w:hAnsi="Times New Roman" w:cs="Times New Roman"/>
                <w:sz w:val="20"/>
                <w:szCs w:val="20"/>
                <w:vertAlign w:val="subscript"/>
              </w:rPr>
              <w:t>a</w:t>
            </w:r>
            <w:r w:rsidRPr="00617ADF">
              <w:rPr>
                <w:rFonts w:ascii="Times New Roman" w:eastAsia="Calibri" w:hAnsi="Times New Roman" w:cs="Times New Roman"/>
                <w:sz w:val="20"/>
                <w:szCs w:val="20"/>
              </w:rPr>
              <w:t xml:space="preserve"> (°C)</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Cpris026</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CACGACGTTGRAAAACGACTTCTCGCCATTTCCTTCAGC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GTGTGCCATTAAAGGAGCCTC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7</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232–256</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236–264</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Cpris031</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CACGACGTTGTAAAACGACGGTATGCAGGCGRCAAGATG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GACAGACTTCCATGCAAGGG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322–338</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322–334</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Cpris034</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CACGACGTTGTAAAACGACGCCCAACAGTCAGTCCAAAC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ACTGGCAAGACAAATGAGCTG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7</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383–397</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377–381</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Cpris037</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CACGACGTTGTAAAACGACTCATACCCATCCTGTGACTGG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TGCCTCTGTTCACCTGACAG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7</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422–454</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63</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426–438</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63</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Cpris039</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CACGACGTTGTAAAACGACAGCAGCCTATGTCCATCTCG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CGCCTGTCATCGATAACCTTG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ACGG</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333</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333</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Cpris040</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CACGACGTTGTAAAACGACACACACACAGTCAGTCGTCG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GTACACTGCCTAGGACCAAAC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AGAT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141–149</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63</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141–149</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63</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Cpris043</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CACGACGTTGTAAAACGACCACCCAGTTGTGCTTGCAG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ACAGTCGGTCCATTTCATCATC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AGAT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170</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170</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Cpris044</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CACGACGTTGGTAAAACGACGATCGTTTGCAGTCAGAGGG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TAGGCAGTGATGTGGTGGAG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AGAT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255</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267–271</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Cpris045</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CACGACGTTGTAAAACGACGGTGGAGGATGGATTGGCAG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TCGTAGATGTTGAATTAGCCGC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AGAT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297</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304</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Cpris046</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CACGACGTTGTAAAACGACGATGAAGACCACTGCGCTAC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CCGCCATCTATGTTGCTGTG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AGAT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303–347</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9</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295–339</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Cpris047</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CACGACGTTGTAAAACGACGGCCTCCCTCACTCTTACAG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AACGAAACGCACCTCTTAGC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AGAT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331–335</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335</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Cpris048</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CACGACGTTGTAAAACGACTCAGGGCACTCACTCTTAGC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GGGTGGATGGATAGATGGAGAC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AGAT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374–382</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374–378</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Cpris049</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CACGACGTTGTAAAACGACGGACTCGGTGCTGAACATTTC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TTGACACAGTTGGGAGGAGG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AGAT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7</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440–468</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448–464</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Cpris055</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CACGACGTTGTAAAACGACTCGGACCTTGCATAGTAGGC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TCTAAACAGGAGGATGGGTTGG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ATCC</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188</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60</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188</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60</w:t>
            </w:r>
          </w:p>
        </w:tc>
      </w:tr>
      <w:tr w:rsidR="006B54E7" w:rsidRPr="009273A3" w:rsidTr="000E7014">
        <w:trPr>
          <w:trHeight w:val="20"/>
          <w:jc w:val="center"/>
        </w:trPr>
        <w:tc>
          <w:tcPr>
            <w:tcW w:w="1080" w:type="dxa"/>
            <w:tcBorders>
              <w:bottom w:val="single" w:sz="4"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Cpris057</w:t>
            </w:r>
          </w:p>
        </w:tc>
        <w:tc>
          <w:tcPr>
            <w:tcW w:w="6660" w:type="dxa"/>
            <w:tcBorders>
              <w:bottom w:val="single" w:sz="4"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CACGACGTTGTAAAACGACTCTCTACCCATCCATCTGCG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ACGCTAAGCTCCTCTGACTG</w:t>
            </w:r>
          </w:p>
        </w:tc>
        <w:tc>
          <w:tcPr>
            <w:tcW w:w="126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ATCC</w:t>
            </w:r>
          </w:p>
        </w:tc>
        <w:tc>
          <w:tcPr>
            <w:tcW w:w="54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348</w:t>
            </w:r>
          </w:p>
        </w:tc>
        <w:tc>
          <w:tcPr>
            <w:tcW w:w="72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348</w:t>
            </w:r>
          </w:p>
        </w:tc>
        <w:tc>
          <w:tcPr>
            <w:tcW w:w="72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Borders>
              <w:top w:val="single" w:sz="4" w:space="0" w:color="auto"/>
              <w:bottom w:val="single" w:sz="8"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p>
        </w:tc>
        <w:tc>
          <w:tcPr>
            <w:tcW w:w="6660" w:type="dxa"/>
            <w:tcBorders>
              <w:top w:val="single" w:sz="4" w:space="0" w:color="auto"/>
              <w:bottom w:val="single" w:sz="8"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p>
        </w:tc>
        <w:tc>
          <w:tcPr>
            <w:tcW w:w="1260" w:type="dxa"/>
            <w:tcBorders>
              <w:top w:val="single" w:sz="4" w:space="0" w:color="auto"/>
              <w:bottom w:val="single" w:sz="8"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p>
        </w:tc>
        <w:tc>
          <w:tcPr>
            <w:tcW w:w="2520" w:type="dxa"/>
            <w:gridSpan w:val="3"/>
            <w:tcBorders>
              <w:top w:val="single" w:sz="4"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i/>
                <w:sz w:val="20"/>
                <w:szCs w:val="20"/>
              </w:rPr>
              <w:t xml:space="preserve">C. pristinus </w:t>
            </w:r>
            <w:r w:rsidRPr="00617ADF">
              <w:rPr>
                <w:rFonts w:ascii="Times New Roman" w:eastAsia="Calibri" w:hAnsi="Times New Roman" w:cs="Times New Roman"/>
                <w:sz w:val="20"/>
                <w:szCs w:val="20"/>
              </w:rPr>
              <w:t>Caney Fork form</w:t>
            </w:r>
            <w:r w:rsidRPr="00617ADF">
              <w:rPr>
                <w:rFonts w:ascii="Times New Roman" w:eastAsia="Calibri" w:hAnsi="Times New Roman" w:cs="Times New Roman"/>
                <w:i/>
                <w:sz w:val="20"/>
                <w:szCs w:val="20"/>
              </w:rPr>
              <w:t xml:space="preserve"> </w:t>
            </w:r>
            <w:r w:rsidRPr="00617ADF">
              <w:rPr>
                <w:rFonts w:ascii="Times New Roman" w:eastAsia="Calibri" w:hAnsi="Times New Roman" w:cs="Times New Roman"/>
                <w:sz w:val="20"/>
                <w:szCs w:val="20"/>
              </w:rPr>
              <w:t>(n=6)</w:t>
            </w:r>
          </w:p>
        </w:tc>
        <w:tc>
          <w:tcPr>
            <w:tcW w:w="2610" w:type="dxa"/>
            <w:gridSpan w:val="3"/>
            <w:tcBorders>
              <w:top w:val="single" w:sz="4"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i/>
                <w:sz w:val="20"/>
                <w:szCs w:val="20"/>
              </w:rPr>
              <w:t xml:space="preserve">C. pristinus </w:t>
            </w:r>
            <w:r w:rsidRPr="00617ADF">
              <w:rPr>
                <w:rFonts w:ascii="Times New Roman" w:eastAsia="Calibri" w:hAnsi="Times New Roman" w:cs="Times New Roman"/>
                <w:sz w:val="20"/>
                <w:szCs w:val="20"/>
              </w:rPr>
              <w:t>Sequatchie form</w:t>
            </w:r>
            <w:r w:rsidRPr="00617ADF">
              <w:rPr>
                <w:rFonts w:ascii="Times New Roman" w:eastAsia="Calibri" w:hAnsi="Times New Roman" w:cs="Times New Roman"/>
                <w:i/>
                <w:sz w:val="20"/>
                <w:szCs w:val="20"/>
              </w:rPr>
              <w:t xml:space="preserve"> </w:t>
            </w:r>
            <w:r w:rsidRPr="00617ADF">
              <w:rPr>
                <w:rFonts w:ascii="Times New Roman" w:eastAsia="Calibri" w:hAnsi="Times New Roman" w:cs="Times New Roman"/>
                <w:sz w:val="20"/>
                <w:szCs w:val="20"/>
              </w:rPr>
              <w:t>(n=1)</w:t>
            </w:r>
          </w:p>
        </w:tc>
      </w:tr>
      <w:tr w:rsidR="006B54E7" w:rsidRPr="009273A3" w:rsidTr="000E7014">
        <w:trPr>
          <w:trHeight w:val="20"/>
          <w:jc w:val="center"/>
        </w:trPr>
        <w:tc>
          <w:tcPr>
            <w:tcW w:w="108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lastRenderedPageBreak/>
              <w:t>Primer</w:t>
            </w:r>
          </w:p>
        </w:tc>
        <w:tc>
          <w:tcPr>
            <w:tcW w:w="666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Primer sequence (5’ – 3’)</w:t>
            </w:r>
          </w:p>
        </w:tc>
        <w:tc>
          <w:tcPr>
            <w:tcW w:w="126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Repeat Motif</w:t>
            </w:r>
          </w:p>
        </w:tc>
        <w:tc>
          <w:tcPr>
            <w:tcW w:w="54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vertAlign w:val="subscript"/>
              </w:rPr>
            </w:pPr>
            <w:r w:rsidRPr="00617ADF">
              <w:rPr>
                <w:rFonts w:ascii="Times New Roman" w:eastAsia="Calibri" w:hAnsi="Times New Roman" w:cs="Times New Roman"/>
                <w:sz w:val="20"/>
                <w:szCs w:val="20"/>
              </w:rPr>
              <w:t>N</w:t>
            </w:r>
            <w:r w:rsidRPr="00617ADF">
              <w:rPr>
                <w:rFonts w:ascii="Times New Roman" w:eastAsia="Calibri" w:hAnsi="Times New Roman" w:cs="Times New Roman"/>
                <w:sz w:val="20"/>
                <w:szCs w:val="20"/>
                <w:vertAlign w:val="subscript"/>
              </w:rPr>
              <w:t>a</w:t>
            </w:r>
          </w:p>
        </w:tc>
        <w:tc>
          <w:tcPr>
            <w:tcW w:w="126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Allelic Range (bp)</w:t>
            </w:r>
          </w:p>
        </w:tc>
        <w:tc>
          <w:tcPr>
            <w:tcW w:w="72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T</w:t>
            </w:r>
            <w:r w:rsidRPr="00617ADF">
              <w:rPr>
                <w:rFonts w:ascii="Times New Roman" w:eastAsia="Calibri" w:hAnsi="Times New Roman" w:cs="Times New Roman"/>
                <w:sz w:val="20"/>
                <w:szCs w:val="20"/>
                <w:vertAlign w:val="subscript"/>
              </w:rPr>
              <w:t>a</w:t>
            </w:r>
            <w:r w:rsidRPr="00617ADF">
              <w:rPr>
                <w:rFonts w:ascii="Times New Roman" w:eastAsia="Calibri" w:hAnsi="Times New Roman" w:cs="Times New Roman"/>
                <w:sz w:val="20"/>
                <w:szCs w:val="20"/>
              </w:rPr>
              <w:t xml:space="preserve"> (°C)</w:t>
            </w:r>
          </w:p>
        </w:tc>
        <w:tc>
          <w:tcPr>
            <w:tcW w:w="63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N</w:t>
            </w:r>
            <w:r w:rsidRPr="00617ADF">
              <w:rPr>
                <w:rFonts w:ascii="Times New Roman" w:eastAsia="Calibri" w:hAnsi="Times New Roman" w:cs="Times New Roman"/>
                <w:sz w:val="20"/>
                <w:szCs w:val="20"/>
                <w:vertAlign w:val="subscript"/>
              </w:rPr>
              <w:t>a</w:t>
            </w:r>
          </w:p>
        </w:tc>
        <w:tc>
          <w:tcPr>
            <w:tcW w:w="126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Allelic Range (bp)</w:t>
            </w:r>
          </w:p>
        </w:tc>
        <w:tc>
          <w:tcPr>
            <w:tcW w:w="720" w:type="dxa"/>
            <w:tcBorders>
              <w:top w:val="single" w:sz="8" w:space="0" w:color="auto"/>
              <w:bottom w:val="single" w:sz="8" w:space="0" w:color="auto"/>
            </w:tcBorders>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T</w:t>
            </w:r>
            <w:r w:rsidRPr="00617ADF">
              <w:rPr>
                <w:rFonts w:ascii="Times New Roman" w:eastAsia="Calibri" w:hAnsi="Times New Roman" w:cs="Times New Roman"/>
                <w:sz w:val="20"/>
                <w:szCs w:val="20"/>
                <w:vertAlign w:val="subscript"/>
              </w:rPr>
              <w:t>a</w:t>
            </w:r>
            <w:r w:rsidRPr="00617ADF">
              <w:rPr>
                <w:rFonts w:ascii="Times New Roman" w:eastAsia="Calibri" w:hAnsi="Times New Roman" w:cs="Times New Roman"/>
                <w:sz w:val="20"/>
                <w:szCs w:val="20"/>
              </w:rPr>
              <w:t xml:space="preserve"> (°C)</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Cpris058</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CACGACGTTGTAAAACGACACACCTCCATACAACCAAC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ACTCTCAGACTCTTAACGACCC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AAAC</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162–164</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164–168</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Cpris059</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CACGACGTTGTAAAACGACACAGGGAGTGGTAAGGTGTC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GTTGGGTCAGTCTGGTGTTG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AAAC</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183–191</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183–187</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Cpris061</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CACGACGTTGTAAAACGACTCCTGGGAAAGAAGTGTTGTG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TCACCACCTTTCCTCATCCC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AAAG</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203–229</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63</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203–205</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63</w:t>
            </w:r>
          </w:p>
        </w:tc>
      </w:tr>
      <w:tr w:rsidR="006B54E7" w:rsidRPr="009273A3" w:rsidTr="000E7014">
        <w:trPr>
          <w:trHeight w:val="20"/>
          <w:jc w:val="center"/>
        </w:trPr>
        <w:tc>
          <w:tcPr>
            <w:tcW w:w="1080" w:type="dxa"/>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Cpris062</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CACGACGTTGTAAAACGACGCCCTGTAACGCCTTTCCAC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CCATGGCGTTGTGGTAAGAC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AAAG</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312</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64</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312</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64</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Cpris063</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CACGACGTTGTAAAACGACTGTCGTCTCCCATTACCC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TCAGGTGTTGACGAGGAAATC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ACAG</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10</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213–245</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64</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208–232</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64</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Cpris064</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CACGACGTTGTAAAACGACCCCGCAAGCACAACTAGG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ACTACCGAGACCCTGAGATAG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ACAG</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8</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243–291</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64</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243–277</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64</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Cpris066</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CACGACGTTGTAAAACGACATGGGACCAACTGAGACCTG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GTTAACAGACCAACCAGCACG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ACAG</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350–374</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63</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358–366</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63</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Cpris068</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CACGACGTTGTAAAACGACGCCACCCAGAGTTCATGTG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GGATTTCACCTCCCAGATGG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8</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183–211</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164–195</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Cpris071</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CACGACGTTGTAAAACGACAACTCAAGAGGATGGGCTGG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GCCAGTTTGATGTCTACCTTCG</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333</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317</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Cpris073</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CACGACGTTGTAAAACGACGAGAGCTGAGCCAAAGTGTG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GCTTGTTCACCTACTGCTGTC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406–410</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401–413</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Cpris074</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CACGACGTTGTAAAACGACTGACCAGCTTCCACGTATCC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CCCATATTGACTGGCTTTCGC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ACAT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362–368</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64</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362–368</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64</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Cpris077</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CACGACGTTGTAAAACGACACTGCAAGTGTCTGGTTTCC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TTTGTACAGTCGGTTTGGCC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AGAT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8</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282–314</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5</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294–310</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Cpris078</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CACGACGTTGTAAAACGACACTGACAAACACCCATTCTCTC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GACCTTCCTTCCACCACCC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AGAT</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322–338</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7</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318–338</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w:t>
            </w:r>
          </w:p>
        </w:tc>
      </w:tr>
      <w:tr w:rsidR="006B54E7" w:rsidRPr="009273A3" w:rsidTr="000E7014">
        <w:trPr>
          <w:trHeight w:val="20"/>
          <w:jc w:val="center"/>
        </w:trPr>
        <w:tc>
          <w:tcPr>
            <w:tcW w:w="108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Cpris080</w:t>
            </w:r>
          </w:p>
        </w:tc>
        <w:tc>
          <w:tcPr>
            <w:tcW w:w="6660" w:type="dxa"/>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CACGACGTTGTAAAACGACGCCCATCAGTTGAACCATCG</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TGTAACTGTCCCGCACTCC</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ATCC</w:t>
            </w:r>
          </w:p>
        </w:tc>
        <w:tc>
          <w:tcPr>
            <w:tcW w:w="54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183</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60</w:t>
            </w:r>
          </w:p>
        </w:tc>
        <w:tc>
          <w:tcPr>
            <w:tcW w:w="63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183</w:t>
            </w:r>
          </w:p>
        </w:tc>
        <w:tc>
          <w:tcPr>
            <w:tcW w:w="720" w:type="dxa"/>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60</w:t>
            </w:r>
          </w:p>
        </w:tc>
      </w:tr>
      <w:tr w:rsidR="006B54E7" w:rsidRPr="009273A3" w:rsidTr="000E7014">
        <w:trPr>
          <w:trHeight w:val="20"/>
          <w:jc w:val="center"/>
        </w:trPr>
        <w:tc>
          <w:tcPr>
            <w:tcW w:w="1080" w:type="dxa"/>
            <w:tcBorders>
              <w:bottom w:val="single" w:sz="4"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Cpris082</w:t>
            </w:r>
          </w:p>
        </w:tc>
        <w:tc>
          <w:tcPr>
            <w:tcW w:w="6660" w:type="dxa"/>
            <w:tcBorders>
              <w:bottom w:val="single" w:sz="4" w:space="0" w:color="auto"/>
            </w:tcBorders>
          </w:tcPr>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F: CACGACGTTGTAAAACGACACCACGACCAGCCTATGTTC</w:t>
            </w:r>
          </w:p>
          <w:p w:rsidR="006B54E7" w:rsidRPr="00617ADF" w:rsidRDefault="006B54E7" w:rsidP="000E7014">
            <w:pPr>
              <w:spacing w:after="0"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R: AGACAGATGGGTGGATGGATAC</w:t>
            </w:r>
          </w:p>
        </w:tc>
        <w:tc>
          <w:tcPr>
            <w:tcW w:w="126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ATCC</w:t>
            </w:r>
          </w:p>
        </w:tc>
        <w:tc>
          <w:tcPr>
            <w:tcW w:w="54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380</w:t>
            </w:r>
          </w:p>
        </w:tc>
        <w:tc>
          <w:tcPr>
            <w:tcW w:w="72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c>
          <w:tcPr>
            <w:tcW w:w="63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w:t>
            </w:r>
          </w:p>
        </w:tc>
        <w:tc>
          <w:tcPr>
            <w:tcW w:w="126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380</w:t>
            </w:r>
          </w:p>
        </w:tc>
        <w:tc>
          <w:tcPr>
            <w:tcW w:w="720" w:type="dxa"/>
            <w:tcBorders>
              <w:bottom w:val="single" w:sz="4" w:space="0" w:color="auto"/>
            </w:tcBorders>
            <w:vAlign w:val="center"/>
          </w:tcPr>
          <w:p w:rsidR="006B54E7" w:rsidRPr="00617ADF" w:rsidRDefault="006B54E7" w:rsidP="000E7014">
            <w:pPr>
              <w:spacing w:after="0"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62</w:t>
            </w:r>
          </w:p>
        </w:tc>
      </w:tr>
    </w:tbl>
    <w:p w:rsidR="006B54E7" w:rsidRPr="00617ADF" w:rsidRDefault="006B54E7" w:rsidP="006B54E7">
      <w:pPr>
        <w:spacing w:line="276" w:lineRule="auto"/>
        <w:rPr>
          <w:rFonts w:ascii="Times New Roman" w:hAnsi="Times New Roman" w:cs="Times New Roman"/>
          <w:sz w:val="24"/>
          <w:szCs w:val="24"/>
        </w:rPr>
      </w:pPr>
    </w:p>
    <w:p w:rsidR="006B54E7" w:rsidRPr="00617ADF" w:rsidRDefault="006B54E7" w:rsidP="006B54E7">
      <w:pPr>
        <w:spacing w:line="276" w:lineRule="auto"/>
        <w:rPr>
          <w:rFonts w:ascii="Times New Roman" w:hAnsi="Times New Roman" w:cs="Times New Roman"/>
          <w:sz w:val="24"/>
          <w:szCs w:val="24"/>
        </w:rPr>
      </w:pPr>
    </w:p>
    <w:p w:rsidR="006B54E7" w:rsidRPr="00617ADF" w:rsidRDefault="006B54E7" w:rsidP="006B54E7">
      <w:pPr>
        <w:spacing w:line="276" w:lineRule="auto"/>
        <w:rPr>
          <w:rFonts w:ascii="Times New Roman" w:hAnsi="Times New Roman" w:cs="Times New Roman"/>
          <w:sz w:val="20"/>
          <w:szCs w:val="20"/>
        </w:rPr>
      </w:pPr>
      <w:r w:rsidRPr="00617ADF">
        <w:rPr>
          <w:rFonts w:ascii="Times New Roman" w:hAnsi="Times New Roman" w:cs="Times New Roman"/>
          <w:b/>
          <w:sz w:val="20"/>
          <w:szCs w:val="20"/>
        </w:rPr>
        <w:lastRenderedPageBreak/>
        <w:t>Table S2.</w:t>
      </w:r>
      <w:r w:rsidRPr="00617ADF">
        <w:rPr>
          <w:rFonts w:ascii="Times New Roman" w:hAnsi="Times New Roman" w:cs="Times New Roman"/>
          <w:sz w:val="20"/>
          <w:szCs w:val="20"/>
        </w:rPr>
        <w:t xml:space="preserve"> Genetic diversity metrics summarized from the literature for several imperiled and non-imperiled crayfish and compared to those for </w:t>
      </w:r>
      <w:r w:rsidRPr="00617ADF">
        <w:rPr>
          <w:rFonts w:ascii="Times New Roman" w:hAnsi="Times New Roman" w:cs="Times New Roman"/>
          <w:i/>
          <w:sz w:val="20"/>
          <w:szCs w:val="20"/>
        </w:rPr>
        <w:t>C</w:t>
      </w:r>
      <w:r>
        <w:rPr>
          <w:rFonts w:ascii="Times New Roman" w:hAnsi="Times New Roman" w:cs="Times New Roman"/>
          <w:i/>
          <w:sz w:val="20"/>
          <w:szCs w:val="20"/>
        </w:rPr>
        <w:t>.</w:t>
      </w:r>
      <w:r w:rsidRPr="00617ADF">
        <w:rPr>
          <w:rFonts w:ascii="Times New Roman" w:hAnsi="Times New Roman" w:cs="Times New Roman"/>
          <w:i/>
          <w:sz w:val="20"/>
          <w:szCs w:val="20"/>
        </w:rPr>
        <w:t xml:space="preserve"> pristinus</w:t>
      </w:r>
      <w:r w:rsidRPr="00617ADF">
        <w:rPr>
          <w:rFonts w:ascii="Times New Roman" w:hAnsi="Times New Roman" w:cs="Times New Roman"/>
          <w:sz w:val="20"/>
          <w:szCs w:val="20"/>
        </w:rPr>
        <w:t xml:space="preserve"> generated herein</w:t>
      </w:r>
      <w:r w:rsidRPr="00617ADF">
        <w:rPr>
          <w:rFonts w:ascii="Times New Roman" w:hAnsi="Times New Roman" w:cs="Times New Roman"/>
          <w:i/>
          <w:sz w:val="20"/>
          <w:szCs w:val="20"/>
        </w:rPr>
        <w:t xml:space="preserve">. </w:t>
      </w:r>
      <w:r w:rsidRPr="00617ADF">
        <w:rPr>
          <w:rFonts w:ascii="Times New Roman" w:hAnsi="Times New Roman" w:cs="Times New Roman"/>
          <w:sz w:val="20"/>
          <w:szCs w:val="20"/>
        </w:rPr>
        <w:t>Species are grouped by family with continent in parentheses. Metrics include IUCN conservation status (CS) with vulnerable (V), data deficient (DD), least concern (LC), and endangered (EN); mean alleles per locus (N</w:t>
      </w:r>
      <w:r w:rsidRPr="00617ADF">
        <w:rPr>
          <w:rFonts w:ascii="Times New Roman" w:hAnsi="Times New Roman" w:cs="Times New Roman"/>
          <w:sz w:val="20"/>
          <w:szCs w:val="20"/>
          <w:vertAlign w:val="subscript"/>
        </w:rPr>
        <w:t>a</w:t>
      </w:r>
      <w:r w:rsidRPr="00617ADF">
        <w:rPr>
          <w:rFonts w:ascii="Times New Roman" w:hAnsi="Times New Roman" w:cs="Times New Roman"/>
          <w:sz w:val="20"/>
          <w:szCs w:val="20"/>
        </w:rPr>
        <w:t>); allelic richness (AR); observed (H</w:t>
      </w:r>
      <w:r w:rsidRPr="00617ADF">
        <w:rPr>
          <w:rFonts w:ascii="Times New Roman" w:hAnsi="Times New Roman" w:cs="Times New Roman"/>
          <w:sz w:val="20"/>
          <w:szCs w:val="20"/>
          <w:vertAlign w:val="subscript"/>
        </w:rPr>
        <w:t>o</w:t>
      </w:r>
      <w:r w:rsidRPr="00617ADF">
        <w:rPr>
          <w:rFonts w:ascii="Times New Roman" w:hAnsi="Times New Roman" w:cs="Times New Roman"/>
          <w:sz w:val="20"/>
          <w:szCs w:val="20"/>
        </w:rPr>
        <w:t>) and expected (H</w:t>
      </w:r>
      <w:r w:rsidRPr="00617ADF">
        <w:rPr>
          <w:rFonts w:ascii="Times New Roman" w:hAnsi="Times New Roman" w:cs="Times New Roman"/>
          <w:sz w:val="20"/>
          <w:szCs w:val="20"/>
          <w:vertAlign w:val="subscript"/>
        </w:rPr>
        <w:t>E</w:t>
      </w:r>
      <w:r w:rsidRPr="00617ADF">
        <w:rPr>
          <w:rFonts w:ascii="Times New Roman" w:hAnsi="Times New Roman" w:cs="Times New Roman"/>
          <w:sz w:val="20"/>
          <w:szCs w:val="20"/>
        </w:rPr>
        <w:t>) heterozygosity. A “-“ indicates that genetic diversity metric was not reported.</w:t>
      </w:r>
    </w:p>
    <w:p w:rsidR="006B54E7" w:rsidRPr="00617ADF" w:rsidRDefault="006B54E7" w:rsidP="006B54E7">
      <w:pPr>
        <w:spacing w:line="276" w:lineRule="auto"/>
        <w:rPr>
          <w:rFonts w:ascii="Times New Roman" w:hAnsi="Times New Roman" w:cs="Times New Roman"/>
          <w:sz w:val="24"/>
          <w:szCs w:val="24"/>
        </w:rPr>
      </w:pPr>
    </w:p>
    <w:tbl>
      <w:tblPr>
        <w:tblStyle w:val="TableGrid"/>
        <w:tblW w:w="13500" w:type="dxa"/>
        <w:tblLayout w:type="fixed"/>
        <w:tblLook w:val="04A0" w:firstRow="1" w:lastRow="0" w:firstColumn="1" w:lastColumn="0" w:noHBand="0" w:noVBand="1"/>
      </w:tblPr>
      <w:tblGrid>
        <w:gridCol w:w="5490"/>
        <w:gridCol w:w="630"/>
        <w:gridCol w:w="1350"/>
        <w:gridCol w:w="1260"/>
        <w:gridCol w:w="1350"/>
        <w:gridCol w:w="1260"/>
        <w:gridCol w:w="2160"/>
      </w:tblGrid>
      <w:tr w:rsidR="006B54E7" w:rsidRPr="009273A3" w:rsidTr="000E7014">
        <w:trPr>
          <w:trHeight w:val="20"/>
        </w:trPr>
        <w:tc>
          <w:tcPr>
            <w:tcW w:w="5490" w:type="dxa"/>
            <w:tcBorders>
              <w:top w:val="single" w:sz="4" w:space="0" w:color="auto"/>
              <w:left w:val="nil"/>
              <w:bottom w:val="single" w:sz="4" w:space="0" w:color="auto"/>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b/>
                <w:sz w:val="20"/>
                <w:szCs w:val="20"/>
              </w:rPr>
            </w:pPr>
            <w:r w:rsidRPr="00617ADF">
              <w:rPr>
                <w:rFonts w:ascii="Times New Roman" w:eastAsia="Calibri" w:hAnsi="Times New Roman" w:cs="Times New Roman"/>
                <w:b/>
                <w:sz w:val="20"/>
                <w:szCs w:val="20"/>
              </w:rPr>
              <w:t>Species</w:t>
            </w:r>
          </w:p>
        </w:tc>
        <w:tc>
          <w:tcPr>
            <w:tcW w:w="630" w:type="dxa"/>
            <w:tcBorders>
              <w:top w:val="single" w:sz="4" w:space="0" w:color="auto"/>
              <w:left w:val="nil"/>
              <w:bottom w:val="single" w:sz="4" w:space="0" w:color="auto"/>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b/>
                <w:sz w:val="20"/>
                <w:szCs w:val="20"/>
              </w:rPr>
            </w:pPr>
            <w:r w:rsidRPr="00617ADF">
              <w:rPr>
                <w:rFonts w:ascii="Times New Roman" w:eastAsia="Calibri" w:hAnsi="Times New Roman" w:cs="Times New Roman"/>
                <w:b/>
                <w:sz w:val="20"/>
                <w:szCs w:val="20"/>
              </w:rPr>
              <w:t>CS</w:t>
            </w:r>
          </w:p>
        </w:tc>
        <w:tc>
          <w:tcPr>
            <w:tcW w:w="1350" w:type="dxa"/>
            <w:tcBorders>
              <w:top w:val="single" w:sz="4" w:space="0" w:color="auto"/>
              <w:left w:val="nil"/>
              <w:bottom w:val="single" w:sz="4" w:space="0" w:color="auto"/>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b/>
                <w:sz w:val="20"/>
                <w:szCs w:val="20"/>
                <w:vertAlign w:val="subscript"/>
              </w:rPr>
            </w:pPr>
            <w:r w:rsidRPr="00617ADF">
              <w:rPr>
                <w:rFonts w:ascii="Times New Roman" w:eastAsia="Calibri" w:hAnsi="Times New Roman" w:cs="Times New Roman"/>
                <w:b/>
                <w:sz w:val="20"/>
                <w:szCs w:val="20"/>
              </w:rPr>
              <w:t>N</w:t>
            </w:r>
            <w:r w:rsidRPr="00617ADF">
              <w:rPr>
                <w:rFonts w:ascii="Times New Roman" w:eastAsia="Calibri" w:hAnsi="Times New Roman" w:cs="Times New Roman"/>
                <w:b/>
                <w:sz w:val="20"/>
                <w:szCs w:val="20"/>
                <w:vertAlign w:val="subscript"/>
              </w:rPr>
              <w:t>a</w:t>
            </w:r>
          </w:p>
        </w:tc>
        <w:tc>
          <w:tcPr>
            <w:tcW w:w="1260" w:type="dxa"/>
            <w:tcBorders>
              <w:top w:val="single" w:sz="4" w:space="0" w:color="auto"/>
              <w:left w:val="nil"/>
              <w:bottom w:val="single" w:sz="4" w:space="0" w:color="auto"/>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b/>
                <w:sz w:val="20"/>
                <w:szCs w:val="20"/>
              </w:rPr>
            </w:pPr>
            <w:r w:rsidRPr="00617ADF">
              <w:rPr>
                <w:rFonts w:ascii="Times New Roman" w:eastAsia="Calibri" w:hAnsi="Times New Roman" w:cs="Times New Roman"/>
                <w:b/>
                <w:sz w:val="20"/>
                <w:szCs w:val="20"/>
              </w:rPr>
              <w:t>AR</w:t>
            </w:r>
          </w:p>
        </w:tc>
        <w:tc>
          <w:tcPr>
            <w:tcW w:w="1350" w:type="dxa"/>
            <w:tcBorders>
              <w:top w:val="single" w:sz="4" w:space="0" w:color="auto"/>
              <w:left w:val="nil"/>
              <w:bottom w:val="single" w:sz="4" w:space="0" w:color="auto"/>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b/>
                <w:sz w:val="20"/>
                <w:szCs w:val="20"/>
                <w:vertAlign w:val="subscript"/>
              </w:rPr>
            </w:pPr>
            <w:r w:rsidRPr="00617ADF">
              <w:rPr>
                <w:rFonts w:ascii="Times New Roman" w:eastAsia="Calibri" w:hAnsi="Times New Roman" w:cs="Times New Roman"/>
                <w:b/>
                <w:sz w:val="20"/>
                <w:szCs w:val="20"/>
              </w:rPr>
              <w:t>H</w:t>
            </w:r>
            <w:r w:rsidRPr="00617ADF">
              <w:rPr>
                <w:rFonts w:ascii="Times New Roman" w:eastAsia="Calibri" w:hAnsi="Times New Roman" w:cs="Times New Roman"/>
                <w:b/>
                <w:sz w:val="20"/>
                <w:szCs w:val="20"/>
                <w:vertAlign w:val="subscript"/>
              </w:rPr>
              <w:t>O</w:t>
            </w:r>
          </w:p>
        </w:tc>
        <w:tc>
          <w:tcPr>
            <w:tcW w:w="1260" w:type="dxa"/>
            <w:tcBorders>
              <w:top w:val="single" w:sz="4" w:space="0" w:color="auto"/>
              <w:left w:val="nil"/>
              <w:bottom w:val="single" w:sz="4" w:space="0" w:color="auto"/>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b/>
                <w:sz w:val="20"/>
                <w:szCs w:val="20"/>
                <w:vertAlign w:val="subscript"/>
              </w:rPr>
            </w:pPr>
            <w:r w:rsidRPr="00617ADF">
              <w:rPr>
                <w:rFonts w:ascii="Times New Roman" w:eastAsia="Calibri" w:hAnsi="Times New Roman" w:cs="Times New Roman"/>
                <w:b/>
                <w:sz w:val="20"/>
                <w:szCs w:val="20"/>
              </w:rPr>
              <w:t>H</w:t>
            </w:r>
            <w:r w:rsidRPr="00617ADF">
              <w:rPr>
                <w:rFonts w:ascii="Times New Roman" w:eastAsia="Calibri" w:hAnsi="Times New Roman" w:cs="Times New Roman"/>
                <w:b/>
                <w:sz w:val="20"/>
                <w:szCs w:val="20"/>
                <w:vertAlign w:val="subscript"/>
              </w:rPr>
              <w:t>E</w:t>
            </w:r>
          </w:p>
        </w:tc>
        <w:tc>
          <w:tcPr>
            <w:tcW w:w="2160" w:type="dxa"/>
            <w:tcBorders>
              <w:top w:val="single" w:sz="4" w:space="0" w:color="auto"/>
              <w:left w:val="nil"/>
              <w:bottom w:val="single" w:sz="4" w:space="0" w:color="auto"/>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b/>
                <w:sz w:val="20"/>
                <w:szCs w:val="20"/>
              </w:rPr>
            </w:pPr>
            <w:r w:rsidRPr="00617ADF">
              <w:rPr>
                <w:rFonts w:ascii="Times New Roman" w:eastAsia="Calibri" w:hAnsi="Times New Roman" w:cs="Times New Roman"/>
                <w:b/>
                <w:sz w:val="20"/>
                <w:szCs w:val="20"/>
              </w:rPr>
              <w:t>Citation</w:t>
            </w:r>
          </w:p>
        </w:tc>
      </w:tr>
      <w:tr w:rsidR="006B54E7" w:rsidRPr="009273A3" w:rsidTr="000E7014">
        <w:trPr>
          <w:trHeight w:val="20"/>
        </w:trPr>
        <w:tc>
          <w:tcPr>
            <w:tcW w:w="5490" w:type="dxa"/>
            <w:tcBorders>
              <w:top w:val="single" w:sz="4" w:space="0" w:color="auto"/>
              <w:left w:val="nil"/>
              <w:bottom w:val="nil"/>
              <w:right w:val="nil"/>
            </w:tcBorders>
            <w:shd w:val="clear" w:color="auto" w:fill="auto"/>
            <w:vAlign w:val="center"/>
          </w:tcPr>
          <w:p w:rsidR="006B54E7" w:rsidRPr="00617ADF" w:rsidRDefault="006B54E7" w:rsidP="000E7014">
            <w:pPr>
              <w:spacing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Cambaridae (North America)</w:t>
            </w:r>
          </w:p>
        </w:tc>
        <w:tc>
          <w:tcPr>
            <w:tcW w:w="630" w:type="dxa"/>
            <w:tcBorders>
              <w:top w:val="single" w:sz="4" w:space="0" w:color="auto"/>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b/>
                <w:sz w:val="20"/>
                <w:szCs w:val="20"/>
              </w:rPr>
            </w:pPr>
          </w:p>
        </w:tc>
        <w:tc>
          <w:tcPr>
            <w:tcW w:w="1350" w:type="dxa"/>
            <w:tcBorders>
              <w:top w:val="single" w:sz="4" w:space="0" w:color="auto"/>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b/>
                <w:sz w:val="20"/>
                <w:szCs w:val="20"/>
              </w:rPr>
            </w:pPr>
          </w:p>
        </w:tc>
        <w:tc>
          <w:tcPr>
            <w:tcW w:w="1260" w:type="dxa"/>
            <w:tcBorders>
              <w:top w:val="single" w:sz="4" w:space="0" w:color="auto"/>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b/>
                <w:sz w:val="20"/>
                <w:szCs w:val="20"/>
              </w:rPr>
            </w:pPr>
          </w:p>
        </w:tc>
        <w:tc>
          <w:tcPr>
            <w:tcW w:w="1350" w:type="dxa"/>
            <w:tcBorders>
              <w:top w:val="single" w:sz="4" w:space="0" w:color="auto"/>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b/>
                <w:sz w:val="20"/>
                <w:szCs w:val="20"/>
              </w:rPr>
            </w:pPr>
          </w:p>
        </w:tc>
        <w:tc>
          <w:tcPr>
            <w:tcW w:w="1260" w:type="dxa"/>
            <w:tcBorders>
              <w:top w:val="single" w:sz="4" w:space="0" w:color="auto"/>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b/>
                <w:sz w:val="20"/>
                <w:szCs w:val="20"/>
              </w:rPr>
            </w:pPr>
          </w:p>
        </w:tc>
        <w:tc>
          <w:tcPr>
            <w:tcW w:w="2160" w:type="dxa"/>
            <w:tcBorders>
              <w:top w:val="single" w:sz="4" w:space="0" w:color="auto"/>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b/>
                <w:sz w:val="20"/>
                <w:szCs w:val="20"/>
              </w:rPr>
            </w:pPr>
          </w:p>
        </w:tc>
      </w:tr>
      <w:tr w:rsidR="006B54E7" w:rsidRPr="009273A3" w:rsidTr="000E7014">
        <w:trPr>
          <w:trHeight w:val="20"/>
        </w:trPr>
        <w:tc>
          <w:tcPr>
            <w:tcW w:w="5490" w:type="dxa"/>
            <w:tcBorders>
              <w:top w:val="nil"/>
              <w:left w:val="nil"/>
              <w:bottom w:val="nil"/>
              <w:right w:val="nil"/>
            </w:tcBorders>
            <w:shd w:val="clear" w:color="auto" w:fill="auto"/>
            <w:vAlign w:val="center"/>
          </w:tcPr>
          <w:p w:rsidR="006B54E7" w:rsidRPr="00617ADF" w:rsidRDefault="006B54E7" w:rsidP="000E7014">
            <w:pPr>
              <w:spacing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 xml:space="preserve">   Pristine Crayfish (</w:t>
            </w:r>
            <w:r w:rsidRPr="00617ADF">
              <w:rPr>
                <w:rFonts w:ascii="Times New Roman" w:eastAsia="Calibri" w:hAnsi="Times New Roman" w:cs="Times New Roman"/>
                <w:i/>
                <w:sz w:val="20"/>
                <w:szCs w:val="20"/>
              </w:rPr>
              <w:t>Cambarus pristinus</w:t>
            </w:r>
            <w:r w:rsidRPr="00617ADF">
              <w:rPr>
                <w:rFonts w:ascii="Times New Roman" w:eastAsia="Calibri" w:hAnsi="Times New Roman" w:cs="Times New Roman"/>
                <w:sz w:val="20"/>
                <w:szCs w:val="20"/>
              </w:rPr>
              <w:t>)</w:t>
            </w:r>
          </w:p>
        </w:tc>
        <w:tc>
          <w:tcPr>
            <w:tcW w:w="63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DD</w:t>
            </w: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6.10</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2.66</w:t>
            </w: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0.41</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0.42</w:t>
            </w:r>
          </w:p>
        </w:tc>
        <w:tc>
          <w:tcPr>
            <w:tcW w:w="21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r>
      <w:tr w:rsidR="006B54E7" w:rsidRPr="009273A3" w:rsidTr="000E7014">
        <w:trPr>
          <w:trHeight w:val="20"/>
        </w:trPr>
        <w:tc>
          <w:tcPr>
            <w:tcW w:w="5490" w:type="dxa"/>
            <w:tcBorders>
              <w:top w:val="nil"/>
              <w:left w:val="nil"/>
              <w:bottom w:val="nil"/>
              <w:right w:val="nil"/>
            </w:tcBorders>
            <w:shd w:val="clear" w:color="auto" w:fill="auto"/>
            <w:vAlign w:val="center"/>
          </w:tcPr>
          <w:p w:rsidR="006B54E7" w:rsidRPr="00617ADF" w:rsidRDefault="006B54E7" w:rsidP="000E7014">
            <w:pPr>
              <w:spacing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 xml:space="preserve">   Red Swamp Crayfish (</w:t>
            </w:r>
            <w:r w:rsidRPr="00617ADF">
              <w:rPr>
                <w:rFonts w:ascii="Times New Roman" w:eastAsia="Calibri" w:hAnsi="Times New Roman" w:cs="Times New Roman"/>
                <w:i/>
                <w:sz w:val="20"/>
                <w:szCs w:val="20"/>
              </w:rPr>
              <w:t>Procambarus clarkii</w:t>
            </w:r>
            <w:r w:rsidRPr="00617ADF">
              <w:rPr>
                <w:rFonts w:ascii="Times New Roman" w:eastAsia="Calibri" w:hAnsi="Times New Roman" w:cs="Times New Roman"/>
                <w:sz w:val="20"/>
                <w:szCs w:val="20"/>
              </w:rPr>
              <w:t>)</w:t>
            </w:r>
          </w:p>
        </w:tc>
        <w:tc>
          <w:tcPr>
            <w:tcW w:w="63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LC</w:t>
            </w: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21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r>
      <w:tr w:rsidR="006B54E7" w:rsidRPr="009273A3" w:rsidTr="000E7014">
        <w:trPr>
          <w:trHeight w:val="20"/>
        </w:trPr>
        <w:tc>
          <w:tcPr>
            <w:tcW w:w="549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Invasive populations</w:t>
            </w:r>
          </w:p>
        </w:tc>
        <w:tc>
          <w:tcPr>
            <w:tcW w:w="63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6.42–14.33</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w:t>
            </w: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0.56–0.81</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0.70–0.89</w:t>
            </w:r>
          </w:p>
        </w:tc>
        <w:tc>
          <w:tcPr>
            <w:tcW w:w="21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fldChar w:fldCharType="begin" w:fldLock="1"/>
            </w:r>
            <w:r w:rsidRPr="00617ADF">
              <w:rPr>
                <w:rFonts w:ascii="Times New Roman" w:eastAsia="Calibri" w:hAnsi="Times New Roman" w:cs="Times New Roman"/>
                <w:sz w:val="20"/>
                <w:szCs w:val="20"/>
              </w:rPr>
              <w:instrText>ADDIN CSL_CITATION {"citationItems":[{"id":"ITEM-1","itemData":{"DOI":"10.1371/journal.pone.0040652","abstract":"The red swamp crayfish (Procambarus clarkii) was introduced to China in the early 20 th century. It has been spread to almost all forms of fresh water bodies including lakes, rivers and even paddyfields in most provinces of China. To clarify issues such as the initial entry point(s), dispersal pattern, genetic diversity and genetic structure of Procambarus clarkii in China, the genetic structure and diversity of P. clarkii populations at 37 sampling sites (35 from China, one from the USA and one from Japan) were analyzed using both mitochondrial gene sequences (COI and 16S rRNA) and 12 nuclear microsatellites. Multiple tests including phylogenetic analyses, Bayesian assignment and analysis of isolation by distance showed that (i) the population from Japan and those collected from China, particularly from NanJing (BGt and XG) and its some neighboring sites (CJr, NT and NB), have similar genetic composition, (ii) relatively high genetic diversity was detected in Chinese populations, (iii) the P. clarkii populations in China did not experience significant population expansions. Taken together, Nanjing, Jiangsu province is the presumed initial entry point, and human-mediated dispersal and adaptive variation are likely responsible for the observed genetic pattern of P. clarkii in China.","author":[{"dropping-particle":"","family":"Li","given":"Y","non-dropping-particle":"","parse-names":false,"suffix":""},{"dropping-particle":"","family":"Guo","given":"X","non-dropping-particle":"","parse-names":false,"suffix":""},{"dropping-particle":"","family":"Cao","given":"X","non-dropping-particle":"","parse-names":false,"suffix":""},{"dropping-particle":"","family":"Deng","given":"W","non-dropping-particle":"","parse-names":false,"suffix":""},{"dropping-particle":"","family":"Luo","given":"W","non-dropping-particle":"","parse-names":false,"suffix":""}],"container-title":"PLoS ONE","id":"ITEM-1","issue":"7","issued":{"date-parts":[["2012"]]},"page":"40652","title":"Population Genetic Structure and Post-Establishment Dispersal Patterns of the Red Swamp Crayfish Procambarus Clarkii in China","type":"article-journal","volume":"7"},"uris":["http://www.mendeley.com/documents/?uuid=c26ac103-c47d-3f89-b95a-484a32af452f"]}],"mendeley":{"formattedCitation":"(Li et al. 2012)","plainTextFormattedCitation":"(Li et al. 2012)","previouslyFormattedCitation":"(Li et al. 2012)"},"properties":{"noteIndex":0},"schema":"https://github.com/citation-style-language/schema/raw/master/csl-citation.json"}</w:instrText>
            </w:r>
            <w:r w:rsidRPr="00617ADF">
              <w:rPr>
                <w:rFonts w:ascii="Times New Roman" w:eastAsia="Calibri" w:hAnsi="Times New Roman" w:cs="Times New Roman"/>
                <w:sz w:val="20"/>
                <w:szCs w:val="20"/>
              </w:rPr>
              <w:fldChar w:fldCharType="separate"/>
            </w:r>
            <w:r w:rsidRPr="00617ADF">
              <w:rPr>
                <w:rFonts w:ascii="Times New Roman" w:eastAsia="Calibri" w:hAnsi="Times New Roman" w:cs="Times New Roman"/>
                <w:noProof/>
                <w:sz w:val="20"/>
                <w:szCs w:val="20"/>
              </w:rPr>
              <w:t>(Li et al. 2012)</w:t>
            </w:r>
            <w:r w:rsidRPr="00617ADF">
              <w:rPr>
                <w:rFonts w:ascii="Times New Roman" w:eastAsia="Calibri" w:hAnsi="Times New Roman" w:cs="Times New Roman"/>
                <w:sz w:val="20"/>
                <w:szCs w:val="20"/>
              </w:rPr>
              <w:fldChar w:fldCharType="end"/>
            </w:r>
          </w:p>
        </w:tc>
      </w:tr>
      <w:tr w:rsidR="006B54E7" w:rsidRPr="009273A3" w:rsidTr="000E7014">
        <w:trPr>
          <w:trHeight w:val="20"/>
        </w:trPr>
        <w:tc>
          <w:tcPr>
            <w:tcW w:w="549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Native populations</w:t>
            </w:r>
          </w:p>
        </w:tc>
        <w:tc>
          <w:tcPr>
            <w:tcW w:w="63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14.58</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w:t>
            </w: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0.65</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0.88</w:t>
            </w:r>
          </w:p>
        </w:tc>
        <w:tc>
          <w:tcPr>
            <w:tcW w:w="21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fldChar w:fldCharType="begin" w:fldLock="1"/>
            </w:r>
            <w:r w:rsidRPr="00617ADF">
              <w:rPr>
                <w:rFonts w:ascii="Times New Roman" w:eastAsia="Calibri" w:hAnsi="Times New Roman" w:cs="Times New Roman"/>
                <w:sz w:val="20"/>
                <w:szCs w:val="20"/>
              </w:rPr>
              <w:instrText>ADDIN CSL_CITATION {"citationItems":[{"id":"ITEM-1","itemData":{"DOI":"10.1371/journal.pone.0040652","abstract":"The red swamp crayfish (Procambarus clarkii) was introduced to China in the early 20 th century. It has been spread to almost all forms of fresh water bodies including lakes, rivers and even paddyfields in most provinces of China. To clarify issues such as the initial entry point(s), dispersal pattern, genetic diversity and genetic structure of Procambarus clarkii in China, the genetic structure and diversity of P. clarkii populations at 37 sampling sites (35 from China, one from the USA and one from Japan) were analyzed using both mitochondrial gene sequences (COI and 16S rRNA) and 12 nuclear microsatellites. Multiple tests including phylogenetic analyses, Bayesian assignment and analysis of isolation by distance showed that (i) the population from Japan and those collected from China, particularly from NanJing (BGt and XG) and its some neighboring sites (CJr, NT and NB), have similar genetic composition, (ii) relatively high genetic diversity was detected in Chinese populations, (iii) the P. clarkii populations in China did not experience significant population expansions. Taken together, Nanjing, Jiangsu province is the presumed initial entry point, and human-mediated dispersal and adaptive variation are likely responsible for the observed genetic pattern of P. clarkii in China.","author":[{"dropping-particle":"","family":"Li","given":"Y","non-dropping-particle":"","parse-names":false,"suffix":""},{"dropping-particle":"","family":"Guo","given":"X","non-dropping-particle":"","parse-names":false,"suffix":""},{"dropping-particle":"","family":"Cao","given":"X","non-dropping-particle":"","parse-names":false,"suffix":""},{"dropping-particle":"","family":"Deng","given":"W","non-dropping-particle":"","parse-names":false,"suffix":""},{"dropping-particle":"","family":"Luo","given":"W","non-dropping-particle":"","parse-names":false,"suffix":""}],"container-title":"PLoS ONE","id":"ITEM-1","issue":"7","issued":{"date-parts":[["2012"]]},"page":"40652","title":"Population Genetic Structure and Post-Establishment Dispersal Patterns of the Red Swamp Crayfish Procambarus Clarkii in China","type":"article-journal","volume":"7"},"uris":["http://www.mendeley.com/documents/?uuid=c26ac103-c47d-3f89-b95a-484a32af452f"]}],"mendeley":{"formattedCitation":"(Li et al. 2012)","plainTextFormattedCitation":"(Li et al. 2012)","previouslyFormattedCitation":"(Li et al. 2012)"},"properties":{"noteIndex":0},"schema":"https://github.com/citation-style-language/schema/raw/master/csl-citation.json"}</w:instrText>
            </w:r>
            <w:r w:rsidRPr="00617ADF">
              <w:rPr>
                <w:rFonts w:ascii="Times New Roman" w:eastAsia="Calibri" w:hAnsi="Times New Roman" w:cs="Times New Roman"/>
                <w:sz w:val="20"/>
                <w:szCs w:val="20"/>
              </w:rPr>
              <w:fldChar w:fldCharType="separate"/>
            </w:r>
            <w:r w:rsidRPr="00617ADF">
              <w:rPr>
                <w:rFonts w:ascii="Times New Roman" w:eastAsia="Calibri" w:hAnsi="Times New Roman" w:cs="Times New Roman"/>
                <w:noProof/>
                <w:sz w:val="20"/>
                <w:szCs w:val="20"/>
              </w:rPr>
              <w:t>(Li et al. 2012)</w:t>
            </w:r>
            <w:r w:rsidRPr="00617ADF">
              <w:rPr>
                <w:rFonts w:ascii="Times New Roman" w:eastAsia="Calibri" w:hAnsi="Times New Roman" w:cs="Times New Roman"/>
                <w:sz w:val="20"/>
                <w:szCs w:val="20"/>
              </w:rPr>
              <w:fldChar w:fldCharType="end"/>
            </w:r>
          </w:p>
        </w:tc>
      </w:tr>
      <w:tr w:rsidR="006B54E7" w:rsidRPr="009273A3" w:rsidTr="000E7014">
        <w:trPr>
          <w:trHeight w:val="324"/>
        </w:trPr>
        <w:tc>
          <w:tcPr>
            <w:tcW w:w="5490" w:type="dxa"/>
            <w:tcBorders>
              <w:top w:val="nil"/>
              <w:left w:val="nil"/>
              <w:bottom w:val="nil"/>
              <w:right w:val="nil"/>
            </w:tcBorders>
            <w:shd w:val="clear" w:color="auto" w:fill="auto"/>
            <w:vAlign w:val="center"/>
          </w:tcPr>
          <w:p w:rsidR="006B54E7" w:rsidRPr="00617ADF" w:rsidRDefault="006B54E7" w:rsidP="000E7014">
            <w:pPr>
              <w:spacing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Parastacidae (South America / Australia)</w:t>
            </w:r>
          </w:p>
        </w:tc>
        <w:tc>
          <w:tcPr>
            <w:tcW w:w="63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21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r>
      <w:tr w:rsidR="006B54E7" w:rsidRPr="009273A3" w:rsidTr="000E7014">
        <w:trPr>
          <w:trHeight w:val="20"/>
        </w:trPr>
        <w:tc>
          <w:tcPr>
            <w:tcW w:w="5490" w:type="dxa"/>
            <w:tcBorders>
              <w:top w:val="nil"/>
              <w:left w:val="nil"/>
              <w:bottom w:val="nil"/>
              <w:right w:val="nil"/>
            </w:tcBorders>
            <w:shd w:val="clear" w:color="auto" w:fill="auto"/>
            <w:vAlign w:val="center"/>
          </w:tcPr>
          <w:p w:rsidR="006B54E7" w:rsidRPr="00617ADF" w:rsidRDefault="006B54E7" w:rsidP="000E7014">
            <w:pPr>
              <w:spacing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 xml:space="preserve">   Glenelg Spiny Freshwater Crayfish (</w:t>
            </w:r>
            <w:r w:rsidRPr="00617ADF">
              <w:rPr>
                <w:rFonts w:ascii="Times New Roman" w:eastAsia="Calibri" w:hAnsi="Times New Roman" w:cs="Times New Roman"/>
                <w:i/>
                <w:sz w:val="20"/>
                <w:szCs w:val="20"/>
              </w:rPr>
              <w:t>Euastacus bispinosus</w:t>
            </w:r>
            <w:r w:rsidRPr="00617ADF">
              <w:rPr>
                <w:rFonts w:ascii="Times New Roman" w:eastAsia="Calibri" w:hAnsi="Times New Roman" w:cs="Times New Roman"/>
                <w:sz w:val="20"/>
                <w:szCs w:val="20"/>
              </w:rPr>
              <w:t>)</w:t>
            </w:r>
          </w:p>
        </w:tc>
        <w:tc>
          <w:tcPr>
            <w:tcW w:w="63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V</w:t>
            </w: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1.0–2.3</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1.07–1.75</w:t>
            </w: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0.004–0.42</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0.03–0.36</w:t>
            </w:r>
          </w:p>
        </w:tc>
        <w:tc>
          <w:tcPr>
            <w:tcW w:w="21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fldChar w:fldCharType="begin" w:fldLock="1"/>
            </w:r>
            <w:r w:rsidRPr="00617ADF">
              <w:rPr>
                <w:rFonts w:ascii="Times New Roman" w:eastAsia="Calibri" w:hAnsi="Times New Roman" w:cs="Times New Roman"/>
                <w:sz w:val="20"/>
                <w:szCs w:val="20"/>
              </w:rPr>
              <w:instrText>ADDIN CSL_CITATION {"citationItems":[{"id":"ITEM-1","itemData":{"DOI":"10.3354/esr00609","ISSN":"16134796","abstract":"The Glenelg spiny freshwater crayfish Euastacus bispinosus is a large\\nendangered freshwater invertebrate of southeastern Australia that has\\nsuffered major population declines over the last century. Disjunct\\npopulations in the state of South Australia are in a particularly\\ncritical condition, restricted to a few isolated rising-spring habitats\\nand in an ongoing state of decline. We assessed genetic diversity and\\ngene flow within E. bispinosus across its current range using allele\\nfrequencies from 11 nuclear microsatellite loci and DNA sequence data\\nfrom a single mitochon drial locus (cytochrome oxidase subunit I).\\nPopulations were characterized by low levels of genetic diversity and\\nfound to be highly structured, with gene flow restricted both within and\\nacross catchments, highlighting the species' vulnerability to further\\nhabitat fragmentation and the importance of managing environmental\\nthreats on local scales across its current natural range. South\\nAustralian populations were characterized by critically low levels of\\ngenetic diversity generally, highlighting their potential vulnerability\\nto localized extinction. Holistic conservation efforts are necessary to\\nconserve populations, including local habitat management and,\\npotentially, translocations to increase genetic diversity and\\nevolutionary potential, and reduce possible inbreeding effects and the\\nthreat of extinction.","author":[{"dropping-particle":"","family":"Miller","given":"Adam D.","non-dropping-particle":"","parse-names":false,"suffix":""},{"dropping-particle":"","family":"Sweeney","given":"Oisín F.","non-dropping-particle":"","parse-names":false,"suffix":""},{"dropping-particle":"","family":"Whiterod","given":"Nick S.","non-dropping-particle":"","parse-names":false,"suffix":""},{"dropping-particle":"","family":"Rooyen","given":"Anthony R.","non-dropping-particle":"Van","parse-names":false,"suffix":""},{"dropping-particle":"","family":"Hammer","given":"Michael","non-dropping-particle":"","parse-names":false,"suffix":""},{"dropping-particle":"","family":"Weeks","given":"Andrew R.","non-dropping-particle":"","parse-names":false,"suffix":""}],"container-title":"Endangered Species Research","id":"ITEM-1","issue":"1","issued":{"date-parts":[["2014"]]},"page":"43-55","title":"Critically low levels of genetic diversity in fragmented populations of the endangered Glenelg spiny freshwater crayfish Euastacus bispinosus","type":"article-journal","volume":"25"},"uris":["http://www.mendeley.com/documents/?uuid=bac45ffd-426a-49f0-a4cf-6ebeacc61b48"]}],"mendeley":{"formattedCitation":"(Miller et al. 2014a)","plainTextFormattedCitation":"(Miller et al. 2014a)","previouslyFormattedCitation":"(Miller et al. 2014a)"},"properties":{"noteIndex":0},"schema":"https://github.com/citation-style-language/schema/raw/master/csl-citation.json"}</w:instrText>
            </w:r>
            <w:r w:rsidRPr="00617ADF">
              <w:rPr>
                <w:rFonts w:ascii="Times New Roman" w:eastAsia="Calibri" w:hAnsi="Times New Roman" w:cs="Times New Roman"/>
                <w:sz w:val="20"/>
                <w:szCs w:val="20"/>
              </w:rPr>
              <w:fldChar w:fldCharType="separate"/>
            </w:r>
            <w:r w:rsidRPr="00617ADF">
              <w:rPr>
                <w:rFonts w:ascii="Times New Roman" w:eastAsia="Calibri" w:hAnsi="Times New Roman" w:cs="Times New Roman"/>
                <w:noProof/>
                <w:sz w:val="20"/>
                <w:szCs w:val="20"/>
              </w:rPr>
              <w:t>(Miller et al. 2014)</w:t>
            </w:r>
            <w:r w:rsidRPr="00617ADF">
              <w:rPr>
                <w:rFonts w:ascii="Times New Roman" w:eastAsia="Calibri" w:hAnsi="Times New Roman" w:cs="Times New Roman"/>
                <w:sz w:val="20"/>
                <w:szCs w:val="20"/>
              </w:rPr>
              <w:fldChar w:fldCharType="end"/>
            </w:r>
          </w:p>
        </w:tc>
      </w:tr>
      <w:tr w:rsidR="006B54E7" w:rsidRPr="009273A3" w:rsidTr="000E7014">
        <w:trPr>
          <w:trHeight w:val="20"/>
        </w:trPr>
        <w:tc>
          <w:tcPr>
            <w:tcW w:w="5490" w:type="dxa"/>
            <w:tcBorders>
              <w:top w:val="nil"/>
              <w:left w:val="nil"/>
              <w:bottom w:val="nil"/>
              <w:right w:val="nil"/>
            </w:tcBorders>
            <w:shd w:val="clear" w:color="auto" w:fill="auto"/>
            <w:vAlign w:val="center"/>
          </w:tcPr>
          <w:p w:rsidR="006B54E7" w:rsidRPr="00617ADF" w:rsidRDefault="006B54E7" w:rsidP="000E7014">
            <w:pPr>
              <w:spacing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Astacidae (Europe / North America)</w:t>
            </w:r>
          </w:p>
        </w:tc>
        <w:tc>
          <w:tcPr>
            <w:tcW w:w="63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21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r>
      <w:tr w:rsidR="006B54E7" w:rsidRPr="009273A3" w:rsidTr="000E7014">
        <w:trPr>
          <w:trHeight w:val="20"/>
        </w:trPr>
        <w:tc>
          <w:tcPr>
            <w:tcW w:w="5490" w:type="dxa"/>
            <w:tcBorders>
              <w:top w:val="nil"/>
              <w:left w:val="nil"/>
              <w:bottom w:val="nil"/>
              <w:right w:val="nil"/>
            </w:tcBorders>
            <w:shd w:val="clear" w:color="auto" w:fill="auto"/>
            <w:vAlign w:val="center"/>
          </w:tcPr>
          <w:p w:rsidR="006B54E7" w:rsidRPr="00617ADF" w:rsidRDefault="006B54E7" w:rsidP="000E7014">
            <w:pPr>
              <w:spacing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 xml:space="preserve">   Noble Crayfish (</w:t>
            </w:r>
            <w:r w:rsidRPr="00617ADF">
              <w:rPr>
                <w:rFonts w:ascii="Times New Roman" w:eastAsia="Calibri" w:hAnsi="Times New Roman" w:cs="Times New Roman"/>
                <w:i/>
                <w:sz w:val="20"/>
                <w:szCs w:val="20"/>
              </w:rPr>
              <w:t>Astacus astacus</w:t>
            </w:r>
            <w:r w:rsidRPr="00617ADF">
              <w:rPr>
                <w:rFonts w:ascii="Times New Roman" w:eastAsia="Calibri" w:hAnsi="Times New Roman" w:cs="Times New Roman"/>
                <w:sz w:val="20"/>
                <w:szCs w:val="20"/>
              </w:rPr>
              <w:t>)</w:t>
            </w:r>
          </w:p>
        </w:tc>
        <w:tc>
          <w:tcPr>
            <w:tcW w:w="63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V</w:t>
            </w: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2.2–4.8</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2.0–4.2</w:t>
            </w: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0.21–0.53</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0.23–0.60</w:t>
            </w:r>
          </w:p>
        </w:tc>
        <w:tc>
          <w:tcPr>
            <w:tcW w:w="21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fldChar w:fldCharType="begin" w:fldLock="1"/>
            </w:r>
            <w:r w:rsidRPr="00617ADF">
              <w:rPr>
                <w:rFonts w:ascii="Times New Roman" w:eastAsia="Calibri" w:hAnsi="Times New Roman" w:cs="Times New Roman"/>
                <w:sz w:val="20"/>
                <w:szCs w:val="20"/>
              </w:rPr>
              <w:instrText>ADDIN CSL_CITATION {"citationItems":[{"id":"ITEM-1","itemData":{"DOI":"10.1007/s10592-013-0476-9","abstract":"Noble crayfish (Astacus astacus L.), the most highly valued freshwater crayfish in Europe, is threatened due to a long-term population decline caused mainly by the spread of crayfish plague. Reintroduction of the noble crayfish into restored waters is a common practice but the geographic and genetic origin of stocking material has rarely been considered, partially because previous genetic studies have been hampered by lack of nuclear gene markers with known inheritance. This study represents the first large scale population genetic survey of the noble crayfish (633 adults from 18 locations) based on 10 newly developed microsatellite markers. We focused primarily on the Baltic Sea area (Estonia, Finland and Sweden) where the largest proportion of the remaining populations exists. To allow comparisons, samples from the Black Sea catchment (the Danube drainage) were also included. Two highly differentiated population groups were identified corresponding to the Baltic Sea and the Black Sea catchments, respectively. The Baltic Sea catchment populations had significantly lower genetic variation and private allele numbers than the Black Sea catchment populations. Within the Baltic Sea area, a clear genetic structure was revealed with population samples corresponding well to their geographic origin, suggesting little impact of long-distance translocations. The clear genetic structure strongly suggests that the choice of stocking material for re-introductions and supplemental releases needs to be based on empirical genetic knowledge.","author":[{"dropping-particle":"","family":"Gross","given":"Riho","non-dropping-particle":"","parse-names":false,"suffix":""},{"dropping-particle":"","family":"Palm","given":"Stefan","non-dropping-particle":"","parse-names":false,"suffix":""},{"dropping-particle":"","family":"Kõiv","given":"Kuldar","non-dropping-particle":"","parse-names":false,"suffix":""},{"dropping-particle":"","family":"Prestegaard","given":"Tore","non-dropping-particle":"","parse-names":false,"suffix":""},{"dropping-particle":"","family":"Jussila","given":"Japo","non-dropping-particle":"","parse-names":false,"suffix":""},{"dropping-particle":"","family":"Paaver","given":"Tiit","non-dropping-particle":"","parse-names":false,"suffix":""},{"dropping-particle":"","family":"Geist","given":"Juergen","non-dropping-particle":"","parse-names":false,"suffix":""},{"dropping-particle":"","family":"Kokko","given":"Harri","non-dropping-particle":"","parse-names":false,"suffix":""},{"dropping-particle":"","family":"Karjalainen","given":"Anna","non-dropping-particle":"","parse-names":false,"suffix":""},{"dropping-particle":"","family":"Edsman","given":"Lennart","non-dropping-particle":"","parse-names":false,"suffix":""}],"container-title":"Conservation Genetics","id":"ITEM-1","issued":{"date-parts":[["2013"]]},"page":"809-821","title":"Microsatellite markers reveal clear geographic structuring among threatened noble crayfish (&lt;i&gt;Astacus astacus&lt;/i&gt;) populations in Northern and Central Europe","type":"article-journal","volume":"14"},"uris":["http://www.mendeley.com/documents/?uuid=0b1c1324-8b77-31f0-b46c-b55529b0899a"]}],"mendeley":{"formattedCitation":"(Gross et al. 2013)","plainTextFormattedCitation":"(Gross et al. 2013)","previouslyFormattedCitation":"(Gross et al. 2013)"},"properties":{"noteIndex":0},"schema":"https://github.com/citation-style-language/schema/raw/master/csl-citation.json"}</w:instrText>
            </w:r>
            <w:r w:rsidRPr="00617ADF">
              <w:rPr>
                <w:rFonts w:ascii="Times New Roman" w:eastAsia="Calibri" w:hAnsi="Times New Roman" w:cs="Times New Roman"/>
                <w:sz w:val="20"/>
                <w:szCs w:val="20"/>
              </w:rPr>
              <w:fldChar w:fldCharType="separate"/>
            </w:r>
            <w:r w:rsidRPr="00617ADF">
              <w:rPr>
                <w:rFonts w:ascii="Times New Roman" w:eastAsia="Calibri" w:hAnsi="Times New Roman" w:cs="Times New Roman"/>
                <w:noProof/>
                <w:sz w:val="20"/>
                <w:szCs w:val="20"/>
              </w:rPr>
              <w:t>(Gross et al. 2013)</w:t>
            </w:r>
            <w:r w:rsidRPr="00617ADF">
              <w:rPr>
                <w:rFonts w:ascii="Times New Roman" w:eastAsia="Calibri" w:hAnsi="Times New Roman" w:cs="Times New Roman"/>
                <w:sz w:val="20"/>
                <w:szCs w:val="20"/>
              </w:rPr>
              <w:fldChar w:fldCharType="end"/>
            </w:r>
          </w:p>
        </w:tc>
      </w:tr>
      <w:tr w:rsidR="006B54E7" w:rsidRPr="009273A3" w:rsidTr="000E7014">
        <w:trPr>
          <w:trHeight w:val="20"/>
        </w:trPr>
        <w:tc>
          <w:tcPr>
            <w:tcW w:w="5490" w:type="dxa"/>
            <w:tcBorders>
              <w:top w:val="nil"/>
              <w:left w:val="nil"/>
              <w:bottom w:val="nil"/>
              <w:right w:val="nil"/>
            </w:tcBorders>
            <w:shd w:val="clear" w:color="auto" w:fill="auto"/>
            <w:vAlign w:val="center"/>
          </w:tcPr>
          <w:p w:rsidR="006B54E7" w:rsidRPr="00617ADF" w:rsidRDefault="006B54E7" w:rsidP="000E7014">
            <w:pPr>
              <w:spacing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 xml:space="preserve">   White-clawed Crayfish (</w:t>
            </w:r>
            <w:r w:rsidRPr="00617ADF">
              <w:rPr>
                <w:rFonts w:ascii="Times New Roman" w:eastAsia="Calibri" w:hAnsi="Times New Roman" w:cs="Times New Roman"/>
                <w:i/>
                <w:sz w:val="20"/>
                <w:szCs w:val="20"/>
              </w:rPr>
              <w:t>Austropotamobius pallipes</w:t>
            </w:r>
            <w:r w:rsidRPr="00617ADF">
              <w:rPr>
                <w:rFonts w:ascii="Times New Roman" w:eastAsia="Calibri" w:hAnsi="Times New Roman" w:cs="Times New Roman"/>
                <w:sz w:val="20"/>
                <w:szCs w:val="20"/>
              </w:rPr>
              <w:t>)</w:t>
            </w:r>
          </w:p>
        </w:tc>
        <w:tc>
          <w:tcPr>
            <w:tcW w:w="63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EN</w:t>
            </w: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2.02</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2.02</w:t>
            </w: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0.295</w:t>
            </w:r>
          </w:p>
        </w:tc>
        <w:tc>
          <w:tcPr>
            <w:tcW w:w="21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fldChar w:fldCharType="begin" w:fldLock="1"/>
            </w:r>
            <w:r w:rsidRPr="00617ADF">
              <w:rPr>
                <w:rFonts w:ascii="Times New Roman" w:eastAsia="Calibri" w:hAnsi="Times New Roman" w:cs="Times New Roman"/>
                <w:sz w:val="20"/>
                <w:szCs w:val="20"/>
              </w:rPr>
              <w:instrText>ADDIN CSL_CITATION {"citationItems":[{"id":"ITEM-1","itemData":{"DOI":"10.1111/j.1365-2427.2011.02629.x","ISSN":"13652427","abstract":"1. Habitat fragmentation of stream ecosystems often results in decreased connectivity between populations and lower population sizes. Hence, understanding how habitat fragmentation affects genetic erosion is important for the preservation of freshwater biodiversity, in particular, as small populations suffer from loss of genetic diversity through genetic drift and loss of fitness because of inbreeding, increasing the risk of extinction. 2. Here, we assess the impact of demographic factors on population differentiation in the endangered freshwater crayfish Austropotamobius pallipes by analysing population genetic structure, estimating effective population sizes and comparing levels of polymorphism at five microsatellite loci with density estimates of 10 populations within a small French catchment that has become progressively confined to headwaters over the last six decades. 3. Levels of expected heterozygosity and allelic richness per population were relatively low (0.214–0.396 and 1.6–2.6, respectively). We found strong genetic differentiation between these geographically close populations (FST = 0.283), with weak statistical evidence for a pattern of isolation by distance. Estimates of effective population size were low (&lt;150) in most populations, but potentially reached several thousands in three populations. 4. Population density and allelic richness were strongly positively correlated. A robust relationship between population density and heterozygosity values was also noted, but only after discarding two populations for which significant genetic signatures of a recent bottleneck were found; these two populations displayed high expected heterozygosity compared with a very low density. Populations with the highest densities of individuals had the highest effective population size estimates and vice versa. 5. Our results clearly show the importance of demographic factors and genetic drift on A. pallipes populations. Furthermore, analysis of genetic and population density data is a pragmatic and efficient approach to corroborate inferences from genetic data and can be particularly useful in the identification of populations experiencing a bottleneck and therefore in conservation genetics studies aiming at identifying priority populations for conservation.","author":[{"dropping-particle":"","family":"Gouin","given":"Nicolas","non-dropping-particle":"","parse-names":false,"suffix":""},{"dropping-particle":"","family":"Souty-Grosset","given":"Catherine","non-dropping-particle":"","parse-names":false,"suffix":""},{"dropping-particle":"","family":"Bórquez","given":"Jéssica","non-dropping-particle":"","parse-names":false,"suffix":""},{"dropping-particle":"","family":"Bertin","given":"Angéline","non-dropping-particle":"","parse-names":false,"suffix":""},{"dropping-particle":"","family":"Grandjean","given":"Frédéric","non-dropping-particle":"","parse-names":false,"suffix":""}],"container-title":"Freshwater Biology","id":"ITEM-1","issue":"10","issued":{"date-parts":[["2011"]]},"page":"2105-2118","title":"Disentangling the impact of demographic factors on population differentiation of an endangered freshwater crayfish (Austropotamobius pallipes) using population density and microsatellite data","type":"article-journal","volume":"56"},"uris":["http://www.mendeley.com/documents/?uuid=07ad7600-5844-4635-b54f-46d8f35abdf9"]}],"mendeley":{"formattedCitation":"(Gouin et al. 2011)","plainTextFormattedCitation":"(Gouin et al. 2011)","previouslyFormattedCitation":"(Gouin et al. 2011)"},"properties":{"noteIndex":0},"schema":"https://github.com/citation-style-language/schema/raw/master/csl-citation.json"}</w:instrText>
            </w:r>
            <w:r w:rsidRPr="00617ADF">
              <w:rPr>
                <w:rFonts w:ascii="Times New Roman" w:eastAsia="Calibri" w:hAnsi="Times New Roman" w:cs="Times New Roman"/>
                <w:sz w:val="20"/>
                <w:szCs w:val="20"/>
              </w:rPr>
              <w:fldChar w:fldCharType="separate"/>
            </w:r>
            <w:r w:rsidRPr="00617ADF">
              <w:rPr>
                <w:rFonts w:ascii="Times New Roman" w:eastAsia="Calibri" w:hAnsi="Times New Roman" w:cs="Times New Roman"/>
                <w:noProof/>
                <w:sz w:val="20"/>
                <w:szCs w:val="20"/>
              </w:rPr>
              <w:t>(Gouin et al. 2011)</w:t>
            </w:r>
            <w:r w:rsidRPr="00617ADF">
              <w:rPr>
                <w:rFonts w:ascii="Times New Roman" w:eastAsia="Calibri" w:hAnsi="Times New Roman" w:cs="Times New Roman"/>
                <w:sz w:val="20"/>
                <w:szCs w:val="20"/>
              </w:rPr>
              <w:fldChar w:fldCharType="end"/>
            </w:r>
          </w:p>
        </w:tc>
      </w:tr>
      <w:tr w:rsidR="006B54E7" w:rsidRPr="009273A3" w:rsidTr="000E7014">
        <w:trPr>
          <w:trHeight w:val="20"/>
        </w:trPr>
        <w:tc>
          <w:tcPr>
            <w:tcW w:w="5490" w:type="dxa"/>
            <w:tcBorders>
              <w:top w:val="nil"/>
              <w:left w:val="nil"/>
              <w:bottom w:val="nil"/>
              <w:right w:val="nil"/>
            </w:tcBorders>
            <w:shd w:val="clear" w:color="auto" w:fill="auto"/>
            <w:vAlign w:val="center"/>
          </w:tcPr>
          <w:p w:rsidR="006B54E7" w:rsidRPr="00617ADF" w:rsidRDefault="006B54E7" w:rsidP="000E7014">
            <w:pPr>
              <w:spacing w:line="276" w:lineRule="auto"/>
              <w:rPr>
                <w:rFonts w:ascii="Times New Roman" w:eastAsia="Calibri" w:hAnsi="Times New Roman" w:cs="Times New Roman"/>
                <w:sz w:val="20"/>
                <w:szCs w:val="20"/>
              </w:rPr>
            </w:pPr>
            <w:r w:rsidRPr="00617ADF">
              <w:rPr>
                <w:rFonts w:ascii="Times New Roman" w:eastAsia="Calibri" w:hAnsi="Times New Roman" w:cs="Times New Roman"/>
                <w:sz w:val="20"/>
                <w:szCs w:val="20"/>
              </w:rPr>
              <w:t xml:space="preserve">   Signal Crayfish (</w:t>
            </w:r>
            <w:r w:rsidRPr="00617ADF">
              <w:rPr>
                <w:rFonts w:ascii="Times New Roman" w:eastAsia="Calibri" w:hAnsi="Times New Roman" w:cs="Times New Roman"/>
                <w:i/>
                <w:sz w:val="20"/>
                <w:szCs w:val="20"/>
              </w:rPr>
              <w:t>Pacifastacus leniusculus</w:t>
            </w:r>
            <w:r w:rsidRPr="00617ADF">
              <w:rPr>
                <w:rFonts w:ascii="Times New Roman" w:eastAsia="Calibri" w:hAnsi="Times New Roman" w:cs="Times New Roman"/>
                <w:sz w:val="20"/>
                <w:szCs w:val="20"/>
              </w:rPr>
              <w:t>)</w:t>
            </w:r>
          </w:p>
        </w:tc>
        <w:tc>
          <w:tcPr>
            <w:tcW w:w="63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LC</w:t>
            </w: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4 - 33</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w:t>
            </w: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0.25–0.84</w:t>
            </w: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0.30–0.94</w:t>
            </w:r>
          </w:p>
        </w:tc>
        <w:tc>
          <w:tcPr>
            <w:tcW w:w="21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fldChar w:fldCharType="begin" w:fldLock="1"/>
            </w:r>
            <w:r w:rsidRPr="00617ADF">
              <w:rPr>
                <w:rFonts w:ascii="Times New Roman" w:eastAsia="Calibri" w:hAnsi="Times New Roman" w:cs="Times New Roman"/>
                <w:sz w:val="20"/>
                <w:szCs w:val="20"/>
              </w:rPr>
              <w:instrText>ADDIN CSL_CITATION {"citationItems":[{"id":"ITEM-1","itemData":{"abstract":"The signal crayfish Pacifastacus leniusculus, native to northwestern North America, is among the most\r\nproblematic invaders in freshwater systems of Europe and Japan. To provide an effective tool to analyze population genetics of this alien species, we have developed five polymorphic microsatellite DNA markers from the genome of this\r\nspecies. The number of alleles and expected heterozygosity in each locus ranged between 4–33 and 0.304–0.941, respectively, indicating the utility of the markers in population analysis. We analyzed 212 individuals of P. leniusculus\r\nfrom seven locations in Hokkaido and Honshu, Japan using these markers. When we used a Bayesian clustering analysis, the three clusters, Akashina, Tankai and Hokkaido, were discriminated from each other with different allele frequencies. In addition, a recently found population in Tone River in central Honshu appeared to have originated from\r\nHokkaido, consistent with a previous study using ectosymbiont worms. Thus, the new microsatellite markers are useful\r\nin identifying the population structure and genetic connectivity of P. leniusculus in Japan. We discuss potential applications of microsatellite analysis in tracking dispersal pathways and defining eradication units for this invasive crayfish.","author":[{"dropping-particle":"","family":"Azuma","given":"N.","non-dropping-particle":"","parse-names":false,"suffix":""},{"dropping-particle":"","family":"Usio","given":"N.","non-dropping-particle":"","parse-names":false,"suffix":""},{"dropping-particle":"","family":"Korenaga","given":"T.","non-dropping-particle":"","parse-names":false,"suffix":""},{"dropping-particle":"","family":"Koizumi","given":"I.","non-dropping-particle":"","parse-names":false,"suffix":""},{"dropping-particle":"","family":"Takamura","given":"N.","non-dropping-particle":"","parse-names":false,"suffix":""}],"container-title":"Plankton &amp; Benthos Research","id":"ITEM-1","issue":"4","issued":{"date-parts":[["2011"]]},"page":"187-194","title":"Genetic population structure of the invasive signal crayfish &lt;i&gt;Pacifastacus leniusculus&lt;/i&gt; in Japan inferred from newly developed microsatellite markers","type":"article-journal","volume":"6"},"uris":["http://www.mendeley.com/documents/?uuid=fd986f5d-eedb-30e0-bd41-466df86d24ae"]}],"mendeley":{"formattedCitation":"(Azuma et al. 2011)","plainTextFormattedCitation":"(Azuma et al. 2011)","previouslyFormattedCitation":"(Azuma et al. 2011)"},"properties":{"noteIndex":0},"schema":"https://github.com/citation-style-language/schema/raw/master/csl-citation.json"}</w:instrText>
            </w:r>
            <w:r w:rsidRPr="00617ADF">
              <w:rPr>
                <w:rFonts w:ascii="Times New Roman" w:eastAsia="Calibri" w:hAnsi="Times New Roman" w:cs="Times New Roman"/>
                <w:sz w:val="20"/>
                <w:szCs w:val="20"/>
              </w:rPr>
              <w:fldChar w:fldCharType="separate"/>
            </w:r>
            <w:r w:rsidRPr="00617ADF">
              <w:rPr>
                <w:rFonts w:ascii="Times New Roman" w:eastAsia="Calibri" w:hAnsi="Times New Roman" w:cs="Times New Roman"/>
                <w:noProof/>
                <w:sz w:val="20"/>
                <w:szCs w:val="20"/>
              </w:rPr>
              <w:t>(Azuma et al. 2011)</w:t>
            </w:r>
            <w:r w:rsidRPr="00617ADF">
              <w:rPr>
                <w:rFonts w:ascii="Times New Roman" w:eastAsia="Calibri" w:hAnsi="Times New Roman" w:cs="Times New Roman"/>
                <w:sz w:val="20"/>
                <w:szCs w:val="20"/>
              </w:rPr>
              <w:fldChar w:fldCharType="end"/>
            </w:r>
          </w:p>
        </w:tc>
      </w:tr>
      <w:tr w:rsidR="006B54E7" w:rsidRPr="009273A3" w:rsidTr="000E7014">
        <w:trPr>
          <w:trHeight w:val="20"/>
        </w:trPr>
        <w:tc>
          <w:tcPr>
            <w:tcW w:w="5490" w:type="dxa"/>
            <w:tcBorders>
              <w:top w:val="nil"/>
              <w:left w:val="nil"/>
              <w:bottom w:val="nil"/>
              <w:right w:val="nil"/>
            </w:tcBorders>
            <w:shd w:val="clear" w:color="auto" w:fill="auto"/>
            <w:vAlign w:val="center"/>
          </w:tcPr>
          <w:p w:rsidR="006B54E7" w:rsidRPr="00617ADF" w:rsidRDefault="006B54E7" w:rsidP="000E7014">
            <w:pPr>
              <w:spacing w:line="276" w:lineRule="auto"/>
              <w:rPr>
                <w:rFonts w:ascii="Times New Roman" w:eastAsia="Calibri" w:hAnsi="Times New Roman" w:cs="Times New Roman"/>
                <w:b/>
                <w:sz w:val="20"/>
                <w:szCs w:val="20"/>
              </w:rPr>
            </w:pPr>
            <w:r w:rsidRPr="00617ADF">
              <w:rPr>
                <w:rFonts w:ascii="Times New Roman" w:eastAsia="Calibri" w:hAnsi="Times New Roman" w:cs="Times New Roman"/>
                <w:b/>
                <w:sz w:val="20"/>
                <w:szCs w:val="20"/>
              </w:rPr>
              <w:t>Cambaroididae (Asia)</w:t>
            </w:r>
          </w:p>
        </w:tc>
        <w:tc>
          <w:tcPr>
            <w:tcW w:w="63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35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12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c>
          <w:tcPr>
            <w:tcW w:w="2160" w:type="dxa"/>
            <w:tcBorders>
              <w:top w:val="nil"/>
              <w:left w:val="nil"/>
              <w:bottom w:val="nil"/>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p>
        </w:tc>
      </w:tr>
      <w:tr w:rsidR="006B54E7" w:rsidRPr="009273A3" w:rsidTr="000E7014">
        <w:trPr>
          <w:trHeight w:val="20"/>
        </w:trPr>
        <w:tc>
          <w:tcPr>
            <w:tcW w:w="5490" w:type="dxa"/>
            <w:tcBorders>
              <w:top w:val="nil"/>
              <w:left w:val="nil"/>
              <w:bottom w:val="single" w:sz="4" w:space="0" w:color="auto"/>
              <w:right w:val="nil"/>
            </w:tcBorders>
            <w:shd w:val="clear" w:color="auto" w:fill="auto"/>
            <w:vAlign w:val="center"/>
          </w:tcPr>
          <w:p w:rsidR="006B54E7" w:rsidRPr="00617ADF" w:rsidRDefault="006B54E7" w:rsidP="000E7014">
            <w:pPr>
              <w:spacing w:line="276" w:lineRule="auto"/>
              <w:rPr>
                <w:rFonts w:ascii="Times New Roman" w:eastAsia="Calibri" w:hAnsi="Times New Roman" w:cs="Times New Roman"/>
                <w:sz w:val="20"/>
                <w:szCs w:val="20"/>
              </w:rPr>
            </w:pPr>
            <w:r w:rsidRPr="00617ADF">
              <w:rPr>
                <w:rFonts w:ascii="Times New Roman" w:eastAsia="Calibri" w:hAnsi="Times New Roman" w:cs="Times New Roman"/>
                <w:b/>
                <w:sz w:val="20"/>
                <w:szCs w:val="20"/>
              </w:rPr>
              <w:t xml:space="preserve">   </w:t>
            </w:r>
            <w:r w:rsidRPr="00617ADF">
              <w:rPr>
                <w:rFonts w:ascii="Times New Roman" w:eastAsia="Calibri" w:hAnsi="Times New Roman" w:cs="Times New Roman"/>
                <w:sz w:val="20"/>
                <w:szCs w:val="20"/>
              </w:rPr>
              <w:t>Korean Crayfish (</w:t>
            </w:r>
            <w:r w:rsidRPr="00617ADF">
              <w:rPr>
                <w:rFonts w:ascii="Times New Roman" w:eastAsia="Calibri" w:hAnsi="Times New Roman" w:cs="Times New Roman"/>
                <w:i/>
                <w:sz w:val="20"/>
                <w:szCs w:val="20"/>
              </w:rPr>
              <w:t>Cambaroides similis</w:t>
            </w:r>
            <w:r w:rsidRPr="00617ADF">
              <w:rPr>
                <w:rFonts w:ascii="Times New Roman" w:eastAsia="Calibri" w:hAnsi="Times New Roman" w:cs="Times New Roman"/>
                <w:sz w:val="20"/>
                <w:szCs w:val="20"/>
              </w:rPr>
              <w:t>)</w:t>
            </w:r>
          </w:p>
        </w:tc>
        <w:tc>
          <w:tcPr>
            <w:tcW w:w="630" w:type="dxa"/>
            <w:tcBorders>
              <w:top w:val="nil"/>
              <w:left w:val="nil"/>
              <w:bottom w:val="single" w:sz="4" w:space="0" w:color="auto"/>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DD</w:t>
            </w:r>
          </w:p>
        </w:tc>
        <w:tc>
          <w:tcPr>
            <w:tcW w:w="1350" w:type="dxa"/>
            <w:tcBorders>
              <w:top w:val="nil"/>
              <w:left w:val="nil"/>
              <w:bottom w:val="single" w:sz="4" w:space="0" w:color="auto"/>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4.3–8.1</w:t>
            </w:r>
          </w:p>
        </w:tc>
        <w:tc>
          <w:tcPr>
            <w:tcW w:w="1260" w:type="dxa"/>
            <w:tcBorders>
              <w:top w:val="nil"/>
              <w:left w:val="nil"/>
              <w:bottom w:val="single" w:sz="4" w:space="0" w:color="auto"/>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w:t>
            </w:r>
          </w:p>
        </w:tc>
        <w:tc>
          <w:tcPr>
            <w:tcW w:w="1350" w:type="dxa"/>
            <w:tcBorders>
              <w:top w:val="nil"/>
              <w:left w:val="nil"/>
              <w:bottom w:val="single" w:sz="4" w:space="0" w:color="auto"/>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0.33–0.47</w:t>
            </w:r>
          </w:p>
        </w:tc>
        <w:tc>
          <w:tcPr>
            <w:tcW w:w="1260" w:type="dxa"/>
            <w:tcBorders>
              <w:top w:val="nil"/>
              <w:left w:val="nil"/>
              <w:bottom w:val="single" w:sz="4" w:space="0" w:color="auto"/>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t>0.63–0.73</w:t>
            </w:r>
          </w:p>
        </w:tc>
        <w:tc>
          <w:tcPr>
            <w:tcW w:w="2160" w:type="dxa"/>
            <w:tcBorders>
              <w:top w:val="nil"/>
              <w:left w:val="nil"/>
              <w:bottom w:val="single" w:sz="4" w:space="0" w:color="auto"/>
              <w:right w:val="nil"/>
            </w:tcBorders>
            <w:shd w:val="clear" w:color="auto" w:fill="auto"/>
            <w:vAlign w:val="center"/>
          </w:tcPr>
          <w:p w:rsidR="006B54E7" w:rsidRPr="00617ADF" w:rsidRDefault="006B54E7" w:rsidP="000E7014">
            <w:pPr>
              <w:spacing w:line="276" w:lineRule="auto"/>
              <w:jc w:val="center"/>
              <w:rPr>
                <w:rFonts w:ascii="Times New Roman" w:eastAsia="Calibri" w:hAnsi="Times New Roman" w:cs="Times New Roman"/>
                <w:sz w:val="20"/>
                <w:szCs w:val="20"/>
              </w:rPr>
            </w:pPr>
            <w:r w:rsidRPr="00617ADF">
              <w:rPr>
                <w:rFonts w:ascii="Times New Roman" w:eastAsia="Calibri" w:hAnsi="Times New Roman" w:cs="Times New Roman"/>
                <w:sz w:val="20"/>
                <w:szCs w:val="20"/>
              </w:rPr>
              <w:fldChar w:fldCharType="begin" w:fldLock="1"/>
            </w:r>
            <w:r w:rsidRPr="00617ADF">
              <w:rPr>
                <w:rFonts w:ascii="Times New Roman" w:eastAsia="Calibri" w:hAnsi="Times New Roman" w:cs="Times New Roman"/>
                <w:sz w:val="20"/>
                <w:szCs w:val="20"/>
              </w:rPr>
              <w:instrText>ADDIN CSL_CITATION {"citationItems":[{"id":"ITEM-1","itemData":{"DOI":"10.1080/19768354.2011.555137","ISSN":"19768354","abstract":"The Korean freshwater crayfish, Cambaroides similis, has recently suffered from range reduction and habitat degradation caused by environmental changes and water pollution. For the conservation and restoration of this species, it is necessary to understand the current population structures of Korean C. similis using estimation of their genetic variation. In this study, eight microsatellite loci were developed and characterized from 49 individuals collected from four locations: one population from Mt. Bukhan (BH) and three populations from Mt. Gwanak (GA) in Seoul, Korea. As a result, the number of alleles per locus ranged from 2 to 12. The observed heterozygosities and expected heterozygosities ranged from 0.000 to 0.833 and from 0.125 to 0.943, respectively, and the former values were significantly lower than the latter ones expected under the Hardy-Weinberg equilibrium. No significant linkage disequilibrium was revealed between any of the locus pairs after Bonferroni correction. From the pairwise Fst results over all samples, higher differentiation between GA-BH population pairs (mean 0.1789) was observed than between GA population pairs (mean 0.0454). This was also supported by Mantel's test showing that the genetic distances of these crayfish populations were significantly correlated with geographic distances. This result may show the regional differentiation caused by restricted gene flow between northern (BH) and southern (GA) populations within Seoul. These microsatellite markers have the potential for use in analyses of the genetic diversity and population structure of C. similis species, with implications for its conservation and management plans. © 2011 Korean Society for Integrative Biology.","author":[{"dropping-particle":"","family":"Ahn","given":"Dong-Ha","non-dropping-particle":"","parse-names":false,"suffix":""},{"dropping-particle":"","family":"Park","given":"Mi-Hyun","non-dropping-particle":"","parse-names":false,"suffix":""},{"dropping-particle":"","family":"Jung","given":"Jae-Ho","non-dropping-particle":"","parse-names":false,"suffix":""},{"dropping-particle":"","family":"Oh","given":"Mi-Jin","non-dropping-particle":"","parse-names":false,"suffix":""},{"dropping-particle":"","family":"Kim","given":"Sanghee","non-dropping-particle":"","parse-names":false,"suffix":""},{"dropping-particle":"","family":"Jung","given":"Jongwoo","non-dropping-particle":"","parse-names":false,"suffix":""},{"dropping-particle":"","family":"Min","given":"Gi-Sik","non-dropping-particle":"","parse-names":false,"suffix":""}],"container-title":"Animal Cells and Systems","id":"ITEM-1","issue":"1","issued":{"date-parts":[["2011"]]},"page":"37-43","title":"Isolation and characterization of microsatellite loci in the Korean crayfish, &lt;i&gt;Cambaroides similis&lt;/i&gt; and application to natural population analysis","type":"article-journal","volume":"15"},"uris":["http://www.mendeley.com/documents/?uuid=58205ee1-dfe8-4518-97fc-e50631dce5e1"]}],"mendeley":{"formattedCitation":"(Ahn et al. 2011)","plainTextFormattedCitation":"(Ahn et al. 2011)","previouslyFormattedCitation":"(Ahn et al. 2011)"},"properties":{"noteIndex":0},"schema":"https://github.com/citation-style-language/schema/raw/master/csl-citation.json"}</w:instrText>
            </w:r>
            <w:r w:rsidRPr="00617ADF">
              <w:rPr>
                <w:rFonts w:ascii="Times New Roman" w:eastAsia="Calibri" w:hAnsi="Times New Roman" w:cs="Times New Roman"/>
                <w:sz w:val="20"/>
                <w:szCs w:val="20"/>
              </w:rPr>
              <w:fldChar w:fldCharType="separate"/>
            </w:r>
            <w:r w:rsidRPr="00617ADF">
              <w:rPr>
                <w:rFonts w:ascii="Times New Roman" w:eastAsia="Calibri" w:hAnsi="Times New Roman" w:cs="Times New Roman"/>
                <w:noProof/>
                <w:sz w:val="20"/>
                <w:szCs w:val="20"/>
              </w:rPr>
              <w:t>(Ahn et al. 2011)</w:t>
            </w:r>
            <w:r w:rsidRPr="00617ADF">
              <w:rPr>
                <w:rFonts w:ascii="Times New Roman" w:eastAsia="Calibri" w:hAnsi="Times New Roman" w:cs="Times New Roman"/>
                <w:sz w:val="20"/>
                <w:szCs w:val="20"/>
              </w:rPr>
              <w:fldChar w:fldCharType="end"/>
            </w:r>
          </w:p>
        </w:tc>
      </w:tr>
    </w:tbl>
    <w:p w:rsidR="006B54E7" w:rsidRPr="00617ADF" w:rsidRDefault="006B54E7" w:rsidP="006B54E7">
      <w:pPr>
        <w:spacing w:line="276" w:lineRule="auto"/>
        <w:rPr>
          <w:rFonts w:ascii="Times New Roman" w:hAnsi="Times New Roman" w:cs="Times New Roman"/>
          <w:sz w:val="24"/>
          <w:szCs w:val="24"/>
        </w:rPr>
      </w:pPr>
    </w:p>
    <w:p w:rsidR="00C10399" w:rsidRDefault="00C10399"/>
    <w:sectPr w:rsidR="00C10399" w:rsidSect="006B54E7">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4E7"/>
    <w:rsid w:val="006B54E7"/>
    <w:rsid w:val="00C103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60C8FE-249B-4782-AE78-87FC6D275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54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B54E7"/>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4267</Words>
  <Characters>24325</Characters>
  <Application>Microsoft Office Word</Application>
  <DocSecurity>0</DocSecurity>
  <Lines>202</Lines>
  <Paragraphs>57</Paragraphs>
  <ScaleCrop>false</ScaleCrop>
  <Company>Springer Nature</Company>
  <LinksUpToDate>false</LinksUpToDate>
  <CharactersWithSpaces>28535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2022-03-16T03:54:00Z</dcterms:created>
  <dcterms:modified xsi:type="dcterms:W3CDTF">2022-03-16T03:54:00Z</dcterms:modified>
</cp:coreProperties>
</file>