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80" w:type="dxa"/>
        <w:tblInd w:w="-1330" w:type="dxa"/>
        <w:tblLook w:val="04A0" w:firstRow="1" w:lastRow="0" w:firstColumn="1" w:lastColumn="0" w:noHBand="0" w:noVBand="1"/>
      </w:tblPr>
      <w:tblGrid>
        <w:gridCol w:w="5020"/>
        <w:gridCol w:w="2020"/>
        <w:gridCol w:w="1980"/>
        <w:gridCol w:w="1960"/>
      </w:tblGrid>
      <w:tr w:rsidR="0039743E" w:rsidRPr="0039743E" w:rsidTr="0039743E">
        <w:trPr>
          <w:trHeight w:val="285"/>
        </w:trPr>
        <w:tc>
          <w:tcPr>
            <w:tcW w:w="109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2"/>
              </w:rPr>
              <w:t>Supplementary Table S1, Clinical characteristics of IBD patients and control subjects</w:t>
            </w:r>
          </w:p>
        </w:tc>
      </w:tr>
      <w:tr w:rsidR="0039743E" w:rsidRPr="0039743E" w:rsidTr="0039743E">
        <w:trPr>
          <w:trHeight w:val="180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9743E" w:rsidRPr="0039743E" w:rsidTr="0039743E">
        <w:trPr>
          <w:trHeight w:val="285"/>
        </w:trPr>
        <w:tc>
          <w:tcPr>
            <w:tcW w:w="5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Control (</w:t>
            </w:r>
            <w:r w:rsidRPr="0039743E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n</w:t>
            </w: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=35)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CD (</w:t>
            </w:r>
            <w:r w:rsidRPr="0039743E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n</w:t>
            </w: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=37)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UC (</w:t>
            </w:r>
            <w:r w:rsidRPr="0039743E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n</w:t>
            </w: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=18)</w:t>
            </w:r>
          </w:p>
        </w:tc>
      </w:tr>
      <w:tr w:rsidR="0039743E" w:rsidRPr="0039743E" w:rsidTr="0039743E">
        <w:trPr>
          <w:trHeight w:val="285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Male/female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21/14 (60/40)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25/12 (68/32)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9/9 (50/50)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BMI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24 (21-26)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18 (17-20)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22 (18-24)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Median (IQR) age at sampling (years)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46 (39-54)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27 (19-34)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40 (27-54)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Median (IQR) age at diagnosis (years)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n/a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23 (18-29)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35 (23-48)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Median (IQR) disease duration (years)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n/a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 (1.5-6.5)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 (1-8)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Median (IQR) C-reaction protein (mg/l)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0.7 (0.4-1.8)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13.1 (1.3-39.9)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0.8 (0.5-7.0)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Median (IQR) peripheral blood leukocytes (10^9/l)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5.7 (5.0-7.0)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5.8 (4.7-7.4)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6.3 (4.9-8.1)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Current medication at sampling (%)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5-Aminosalicylates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 (30)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15 (83)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Corticosteroids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 (19)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 (22)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Purine pathway inhibitors (e.g. azathioprine)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 (35)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Infliximab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16 (43)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 (6)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Methothexate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 (8)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Antibiotic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 (16)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 (22)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Thalidomide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 (16)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Monotherapy</w:t>
            </w:r>
            <w:proofErr w:type="spellEnd"/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only (one of the above)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 (35)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 (50)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Combination of two or more of the above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16 (43)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 (39)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 treatment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35 (100)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 (8)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 (11)</w:t>
            </w:r>
          </w:p>
        </w:tc>
      </w:tr>
      <w:tr w:rsidR="0039743E" w:rsidRPr="0039743E" w:rsidTr="0039743E">
        <w:trPr>
          <w:trHeight w:val="278"/>
        </w:trPr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Unkown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 (8)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9743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9743E" w:rsidRPr="0039743E" w:rsidTr="0039743E">
        <w:trPr>
          <w:trHeight w:val="150"/>
        </w:trPr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9743E" w:rsidRPr="0039743E" w:rsidTr="0039743E">
        <w:trPr>
          <w:trHeight w:val="285"/>
        </w:trPr>
        <w:tc>
          <w:tcPr>
            <w:tcW w:w="109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743E" w:rsidRPr="0039743E" w:rsidRDefault="0039743E" w:rsidP="003974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9743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Data are median (IQR) or n (%). BMI, body mass index; IQR, interquartile range; n/a, not applicable.</w:t>
            </w:r>
          </w:p>
        </w:tc>
      </w:tr>
    </w:tbl>
    <w:p w:rsidR="003234C3" w:rsidRDefault="0039743E">
      <w:bookmarkStart w:id="0" w:name="_GoBack"/>
      <w:bookmarkEnd w:id="0"/>
    </w:p>
    <w:sectPr w:rsidR="003234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43E"/>
    <w:rsid w:val="0028763C"/>
    <w:rsid w:val="0039743E"/>
    <w:rsid w:val="00FC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DF3987-7227-4906-95F4-8677B8F9B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0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173</Words>
  <Characters>988</Characters>
  <Application>Microsoft Office Word</Application>
  <DocSecurity>0</DocSecurity>
  <Lines>8</Lines>
  <Paragraphs>2</Paragraphs>
  <ScaleCrop>false</ScaleCrop>
  <Company>University at Buffalo</Company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330-15</dc:creator>
  <cp:keywords/>
  <dc:description/>
  <cp:lastModifiedBy>330-15</cp:lastModifiedBy>
  <cp:revision>1</cp:revision>
  <dcterms:created xsi:type="dcterms:W3CDTF">2021-11-27T15:11:00Z</dcterms:created>
  <dcterms:modified xsi:type="dcterms:W3CDTF">2021-11-27T15:13:00Z</dcterms:modified>
</cp:coreProperties>
</file>