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8AA" w:rsidRPr="00F66BAB" w:rsidRDefault="00F12557" w:rsidP="002218AA">
      <w:pPr>
        <w:pStyle w:val="svarticle"/>
        <w:spacing w:before="0" w:beforeAutospacing="0" w:after="0" w:afterAutospacing="0"/>
        <w:jc w:val="both"/>
        <w:rPr>
          <w:rFonts w:ascii="Adobe Devanagari" w:hAnsi="Adobe Devanagari" w:cs="Adobe Devanagari"/>
        </w:rPr>
      </w:pPr>
      <w:r w:rsidRPr="00B63C9A">
        <w:rPr>
          <w:rFonts w:ascii="Adobe Devanagari" w:hAnsi="Adobe Devanagari" w:cs="Adobe Devanagari"/>
          <w:sz w:val="22"/>
          <w:szCs w:val="22"/>
        </w:rPr>
        <w:t xml:space="preserve">Supplementary Table S1: </w:t>
      </w:r>
      <w:r w:rsidR="002218AA" w:rsidRPr="00F66BAB">
        <w:rPr>
          <w:rFonts w:ascii="Adobe Devanagari" w:hAnsi="Adobe Devanagari" w:cs="Adobe Devanagari"/>
        </w:rPr>
        <w:t xml:space="preserve">Pearson’s correlation coefficients between </w:t>
      </w:r>
      <w:r w:rsidR="002218AA">
        <w:rPr>
          <w:rFonts w:ascii="Adobe Devanagari" w:hAnsi="Adobe Devanagari" w:cs="Adobe Devanagari"/>
        </w:rPr>
        <w:t xml:space="preserve">outcome, mediator variables </w:t>
      </w:r>
      <w:r w:rsidR="002218AA" w:rsidRPr="00F66BAB">
        <w:rPr>
          <w:rFonts w:ascii="Adobe Devanagari" w:hAnsi="Adobe Devanagari" w:cs="Adobe Devanagari"/>
        </w:rPr>
        <w:t>and REE</w:t>
      </w:r>
    </w:p>
    <w:p w:rsidR="00F12557" w:rsidRDefault="00F12557" w:rsidP="00F12557">
      <w:pPr>
        <w:pStyle w:val="svarticle"/>
        <w:spacing w:before="0" w:beforeAutospacing="0" w:after="0" w:afterAutospacing="0"/>
        <w:jc w:val="both"/>
        <w:rPr>
          <w:rFonts w:ascii="Adobe Devanagari" w:hAnsi="Adobe Devanagari" w:cs="Adobe Devanagari"/>
          <w:sz w:val="22"/>
          <w:szCs w:val="22"/>
        </w:rPr>
      </w:pPr>
    </w:p>
    <w:p w:rsidR="002218AA" w:rsidRPr="00B63C9A" w:rsidRDefault="002218AA" w:rsidP="00F12557">
      <w:pPr>
        <w:pStyle w:val="svarticle"/>
        <w:spacing w:before="0" w:beforeAutospacing="0" w:after="0" w:afterAutospacing="0"/>
        <w:jc w:val="both"/>
        <w:rPr>
          <w:rFonts w:ascii="Adobe Devanagari" w:hAnsi="Adobe Devanagari" w:cs="Adobe Devanagari"/>
          <w:sz w:val="22"/>
          <w:szCs w:val="22"/>
        </w:rPr>
      </w:pP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725"/>
        <w:gridCol w:w="2414"/>
        <w:gridCol w:w="2057"/>
        <w:gridCol w:w="1898"/>
        <w:gridCol w:w="2070"/>
        <w:gridCol w:w="1552"/>
        <w:gridCol w:w="1552"/>
      </w:tblGrid>
      <w:tr w:rsidR="00F12557" w:rsidRPr="00B63C9A" w:rsidTr="00560AC7">
        <w:trPr>
          <w:trHeight w:val="551"/>
        </w:trPr>
        <w:tc>
          <w:tcPr>
            <w:tcW w:w="1725" w:type="dxa"/>
            <w:vMerge w:val="restart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both"/>
              <w:rPr>
                <w:rFonts w:ascii="Adobe Devanagari" w:hAnsi="Adobe Devanagari" w:cs="Adobe Devanagari"/>
                <w:sz w:val="22"/>
                <w:szCs w:val="22"/>
              </w:rPr>
            </w:pPr>
          </w:p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both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Variable</w:t>
            </w:r>
          </w:p>
        </w:tc>
        <w:tc>
          <w:tcPr>
            <w:tcW w:w="2414" w:type="dxa"/>
            <w:vMerge w:val="restart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</w:p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Mean ± SD</w:t>
            </w:r>
          </w:p>
        </w:tc>
        <w:tc>
          <w:tcPr>
            <w:tcW w:w="9129" w:type="dxa"/>
            <w:gridSpan w:val="5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 xml:space="preserve">Pearson’s Correlation Coefficient r (p value) </w:t>
            </w:r>
          </w:p>
        </w:tc>
      </w:tr>
      <w:tr w:rsidR="00F12557" w:rsidRPr="00B63C9A" w:rsidTr="00560AC7">
        <w:trPr>
          <w:trHeight w:val="355"/>
        </w:trPr>
        <w:tc>
          <w:tcPr>
            <w:tcW w:w="1725" w:type="dxa"/>
            <w:vMerge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both"/>
              <w:rPr>
                <w:rFonts w:ascii="Adobe Devanagari" w:hAnsi="Adobe Devanagari" w:cs="Adobe Devanagari"/>
                <w:sz w:val="22"/>
                <w:szCs w:val="22"/>
              </w:rPr>
            </w:pPr>
          </w:p>
        </w:tc>
        <w:tc>
          <w:tcPr>
            <w:tcW w:w="2414" w:type="dxa"/>
            <w:vMerge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</w:p>
        </w:tc>
        <w:tc>
          <w:tcPr>
            <w:tcW w:w="2057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REE</w:t>
            </w:r>
          </w:p>
        </w:tc>
        <w:tc>
          <w:tcPr>
            <w:tcW w:w="1898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25OHD</w:t>
            </w:r>
          </w:p>
        </w:tc>
        <w:tc>
          <w:tcPr>
            <w:tcW w:w="2070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proofErr w:type="spellStart"/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McA</w:t>
            </w:r>
            <w:proofErr w:type="spellEnd"/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QUICKI</w:t>
            </w:r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TYG</w:t>
            </w:r>
          </w:p>
        </w:tc>
      </w:tr>
      <w:tr w:rsidR="00F12557" w:rsidRPr="00B63C9A" w:rsidTr="00560AC7">
        <w:trPr>
          <w:trHeight w:val="551"/>
        </w:trPr>
        <w:tc>
          <w:tcPr>
            <w:tcW w:w="1725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REE</w:t>
            </w:r>
          </w:p>
        </w:tc>
        <w:tc>
          <w:tcPr>
            <w:tcW w:w="2414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color w:val="010205"/>
                <w:sz w:val="22"/>
                <w:szCs w:val="22"/>
              </w:rPr>
              <w:t xml:space="preserve">6486.56 </w:t>
            </w: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 xml:space="preserve">± </w:t>
            </w:r>
            <w:r w:rsidRPr="00AF31E0">
              <w:rPr>
                <w:rFonts w:ascii="Adobe Devanagari" w:hAnsi="Adobe Devanagari" w:cs="Adobe Devanagari"/>
                <w:color w:val="010205"/>
                <w:sz w:val="22"/>
                <w:szCs w:val="22"/>
              </w:rPr>
              <w:t>1321.10</w:t>
            </w:r>
          </w:p>
        </w:tc>
        <w:tc>
          <w:tcPr>
            <w:tcW w:w="2057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1</w:t>
            </w:r>
          </w:p>
        </w:tc>
        <w:tc>
          <w:tcPr>
            <w:tcW w:w="1898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-</w:t>
            </w:r>
          </w:p>
        </w:tc>
        <w:tc>
          <w:tcPr>
            <w:tcW w:w="2070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-</w:t>
            </w:r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-</w:t>
            </w:r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-</w:t>
            </w:r>
          </w:p>
        </w:tc>
      </w:tr>
      <w:tr w:rsidR="00F12557" w:rsidRPr="00B63C9A" w:rsidTr="00560AC7">
        <w:trPr>
          <w:trHeight w:val="551"/>
        </w:trPr>
        <w:tc>
          <w:tcPr>
            <w:tcW w:w="1725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25OHD</w:t>
            </w:r>
          </w:p>
        </w:tc>
        <w:tc>
          <w:tcPr>
            <w:tcW w:w="2414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color w:val="010205"/>
                <w:sz w:val="22"/>
                <w:szCs w:val="22"/>
              </w:rPr>
              <w:t xml:space="preserve">62.53 </w:t>
            </w: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 xml:space="preserve">± </w:t>
            </w:r>
            <w:r w:rsidRPr="00AF31E0">
              <w:rPr>
                <w:rFonts w:ascii="Adobe Devanagari" w:hAnsi="Adobe Devanagari" w:cs="Adobe Devanagari"/>
                <w:color w:val="010205"/>
                <w:sz w:val="22"/>
                <w:szCs w:val="22"/>
              </w:rPr>
              <w:t>20.77</w:t>
            </w:r>
          </w:p>
        </w:tc>
        <w:tc>
          <w:tcPr>
            <w:tcW w:w="2057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-0.148 (0.067)</w:t>
            </w:r>
          </w:p>
        </w:tc>
        <w:tc>
          <w:tcPr>
            <w:tcW w:w="1898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1</w:t>
            </w:r>
          </w:p>
        </w:tc>
        <w:tc>
          <w:tcPr>
            <w:tcW w:w="2070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-</w:t>
            </w:r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-</w:t>
            </w:r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-</w:t>
            </w:r>
          </w:p>
        </w:tc>
      </w:tr>
      <w:tr w:rsidR="00F12557" w:rsidRPr="00B63C9A" w:rsidTr="00560AC7">
        <w:trPr>
          <w:trHeight w:val="551"/>
        </w:trPr>
        <w:tc>
          <w:tcPr>
            <w:tcW w:w="1725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proofErr w:type="spellStart"/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McA</w:t>
            </w:r>
            <w:proofErr w:type="spellEnd"/>
          </w:p>
        </w:tc>
        <w:tc>
          <w:tcPr>
            <w:tcW w:w="2414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color w:val="010205"/>
                <w:sz w:val="22"/>
                <w:szCs w:val="22"/>
              </w:rPr>
              <w:t xml:space="preserve">7.42 </w:t>
            </w: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 xml:space="preserve">± </w:t>
            </w:r>
            <w:r w:rsidRPr="00AF31E0">
              <w:rPr>
                <w:rFonts w:ascii="Adobe Devanagari" w:hAnsi="Adobe Devanagari" w:cs="Adobe Devanagari"/>
                <w:color w:val="010205"/>
                <w:sz w:val="22"/>
                <w:szCs w:val="22"/>
              </w:rPr>
              <w:t>2.07</w:t>
            </w:r>
          </w:p>
        </w:tc>
        <w:tc>
          <w:tcPr>
            <w:tcW w:w="2057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b/>
                <w:sz w:val="22"/>
                <w:szCs w:val="22"/>
              </w:rPr>
              <w:t>-0.473 (&lt;0.001)</w:t>
            </w:r>
          </w:p>
        </w:tc>
        <w:tc>
          <w:tcPr>
            <w:tcW w:w="1898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b/>
                <w:sz w:val="22"/>
                <w:szCs w:val="22"/>
              </w:rPr>
              <w:t>0.373 (&lt;0.001)</w:t>
            </w:r>
          </w:p>
        </w:tc>
        <w:tc>
          <w:tcPr>
            <w:tcW w:w="2070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1</w:t>
            </w:r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-</w:t>
            </w:r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-</w:t>
            </w:r>
          </w:p>
        </w:tc>
      </w:tr>
      <w:tr w:rsidR="00F12557" w:rsidRPr="00B63C9A" w:rsidTr="00560AC7">
        <w:trPr>
          <w:trHeight w:val="497"/>
        </w:trPr>
        <w:tc>
          <w:tcPr>
            <w:tcW w:w="1725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QUICKI</w:t>
            </w:r>
          </w:p>
        </w:tc>
        <w:tc>
          <w:tcPr>
            <w:tcW w:w="2414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sz w:val="22"/>
                <w:szCs w:val="22"/>
              </w:rPr>
              <w:t>0.35 (0.003)</w:t>
            </w:r>
          </w:p>
        </w:tc>
        <w:tc>
          <w:tcPr>
            <w:tcW w:w="2057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b/>
                <w:sz w:val="22"/>
                <w:szCs w:val="22"/>
              </w:rPr>
              <w:t>-0.458 (&lt;0.001)</w:t>
            </w:r>
          </w:p>
        </w:tc>
        <w:tc>
          <w:tcPr>
            <w:tcW w:w="1898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b/>
                <w:sz w:val="22"/>
                <w:szCs w:val="22"/>
              </w:rPr>
              <w:t>0.315 (&lt;0.001)</w:t>
            </w:r>
          </w:p>
        </w:tc>
        <w:tc>
          <w:tcPr>
            <w:tcW w:w="2070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b/>
                <w:sz w:val="22"/>
                <w:szCs w:val="22"/>
              </w:rPr>
              <w:t>0.856 (&lt;0.001)</w:t>
            </w:r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1</w:t>
            </w:r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sz w:val="22"/>
                <w:szCs w:val="22"/>
              </w:rPr>
              <w:t>-</w:t>
            </w:r>
          </w:p>
        </w:tc>
      </w:tr>
      <w:tr w:rsidR="00F12557" w:rsidRPr="00B63C9A" w:rsidTr="00560AC7">
        <w:trPr>
          <w:trHeight w:val="497"/>
        </w:trPr>
        <w:tc>
          <w:tcPr>
            <w:tcW w:w="1725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TYG</w:t>
            </w:r>
          </w:p>
        </w:tc>
        <w:tc>
          <w:tcPr>
            <w:tcW w:w="2414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sz w:val="22"/>
                <w:szCs w:val="22"/>
              </w:rPr>
              <w:t>8.75 (0.05)</w:t>
            </w:r>
          </w:p>
        </w:tc>
        <w:tc>
          <w:tcPr>
            <w:tcW w:w="2057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b/>
                <w:sz w:val="22"/>
                <w:szCs w:val="22"/>
              </w:rPr>
              <w:t>0.354 (&lt;0.001)</w:t>
            </w:r>
          </w:p>
        </w:tc>
        <w:tc>
          <w:tcPr>
            <w:tcW w:w="1898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b/>
                <w:sz w:val="22"/>
                <w:szCs w:val="22"/>
              </w:rPr>
              <w:t>-0.338 (&lt;0.001)</w:t>
            </w:r>
          </w:p>
        </w:tc>
        <w:tc>
          <w:tcPr>
            <w:tcW w:w="2070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b/>
                <w:sz w:val="22"/>
                <w:szCs w:val="22"/>
              </w:rPr>
              <w:t>- 0.843 (&lt;0.001)</w:t>
            </w:r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b/>
                <w:sz w:val="22"/>
                <w:szCs w:val="22"/>
              </w:rPr>
            </w:pPr>
            <w:r>
              <w:rPr>
                <w:rFonts w:ascii="Adobe Devanagari" w:hAnsi="Adobe Devanagari" w:cs="Adobe Devanagari"/>
                <w:b/>
                <w:sz w:val="22"/>
                <w:szCs w:val="22"/>
              </w:rPr>
              <w:t>-0.537 (&lt;0.001)</w:t>
            </w:r>
          </w:p>
        </w:tc>
        <w:tc>
          <w:tcPr>
            <w:tcW w:w="1552" w:type="dxa"/>
          </w:tcPr>
          <w:p w:rsidR="00F12557" w:rsidRPr="00AF31E0" w:rsidRDefault="00F12557" w:rsidP="00560AC7">
            <w:pPr>
              <w:pStyle w:val="svarticle"/>
              <w:spacing w:before="0" w:beforeAutospacing="0" w:after="0" w:afterAutospacing="0"/>
              <w:jc w:val="center"/>
              <w:rPr>
                <w:rFonts w:ascii="Adobe Devanagari" w:hAnsi="Adobe Devanagari" w:cs="Adobe Devanagari"/>
                <w:sz w:val="22"/>
                <w:szCs w:val="22"/>
              </w:rPr>
            </w:pPr>
            <w:r w:rsidRPr="00AF31E0">
              <w:rPr>
                <w:rFonts w:ascii="Adobe Devanagari" w:hAnsi="Adobe Devanagari" w:cs="Adobe Devanagari"/>
                <w:sz w:val="22"/>
                <w:szCs w:val="22"/>
              </w:rPr>
              <w:t>1</w:t>
            </w:r>
          </w:p>
        </w:tc>
      </w:tr>
    </w:tbl>
    <w:p w:rsidR="00AB6933" w:rsidRDefault="00AB6933"/>
    <w:p w:rsidR="002218AA" w:rsidRPr="00F66BAB" w:rsidRDefault="002218AA" w:rsidP="002218AA">
      <w:pPr>
        <w:suppressLineNumbers/>
        <w:shd w:val="clear" w:color="auto" w:fill="FFFFFF"/>
        <w:rPr>
          <w:rFonts w:ascii="Adobe Devanagari" w:hAnsi="Adobe Devanagari" w:cs="Adobe Devanagari"/>
          <w:sz w:val="24"/>
          <w:szCs w:val="24"/>
        </w:rPr>
      </w:pPr>
      <w:r w:rsidRPr="00F66BAB">
        <w:rPr>
          <w:rFonts w:ascii="Adobe Devanagari" w:hAnsi="Adobe Devanagari" w:cs="Adobe Devanagari"/>
          <w:color w:val="010205"/>
          <w:sz w:val="24"/>
          <w:szCs w:val="24"/>
        </w:rPr>
        <w:t xml:space="preserve">Legend:  25OHD, 25dihydroxycholecalciferol; </w:t>
      </w:r>
      <w:proofErr w:type="spellStart"/>
      <w:r w:rsidRPr="00F66BAB">
        <w:rPr>
          <w:rFonts w:ascii="Adobe Devanagari" w:hAnsi="Adobe Devanagari" w:cs="Adobe Devanagari"/>
          <w:color w:val="010205"/>
          <w:sz w:val="24"/>
          <w:szCs w:val="24"/>
        </w:rPr>
        <w:t>McA</w:t>
      </w:r>
      <w:proofErr w:type="spellEnd"/>
      <w:r w:rsidRPr="00F66BAB">
        <w:rPr>
          <w:rFonts w:ascii="Adobe Devanagari" w:hAnsi="Adobe Devanagari" w:cs="Adobe Devanagari"/>
          <w:color w:val="010205"/>
          <w:sz w:val="24"/>
          <w:szCs w:val="24"/>
        </w:rPr>
        <w:t xml:space="preserve">, </w:t>
      </w:r>
      <w:proofErr w:type="spellStart"/>
      <w:r w:rsidRPr="00F66BAB">
        <w:rPr>
          <w:rFonts w:ascii="Adobe Devanagari" w:hAnsi="Adobe Devanagari" w:cs="Adobe Devanagari"/>
          <w:color w:val="010205"/>
          <w:sz w:val="24"/>
          <w:szCs w:val="24"/>
        </w:rPr>
        <w:t>McAuleys</w:t>
      </w:r>
      <w:proofErr w:type="spellEnd"/>
      <w:r w:rsidRPr="00F66BAB">
        <w:rPr>
          <w:rFonts w:ascii="Adobe Devanagari" w:hAnsi="Adobe Devanagari" w:cs="Adobe Devanagari"/>
          <w:color w:val="010205"/>
          <w:sz w:val="24"/>
          <w:szCs w:val="24"/>
        </w:rPr>
        <w:t xml:space="preserve"> index; QUICKI, quantitative insulin insensitivity check index; SD, standard deviation; TYG, triglyceride and glucose index; REE, resting energy expenditure</w:t>
      </w:r>
    </w:p>
    <w:p w:rsidR="002218AA" w:rsidRPr="00F66BAB" w:rsidRDefault="002218AA" w:rsidP="002218AA">
      <w:pPr>
        <w:suppressLineNumbers/>
        <w:spacing w:after="0" w:line="240" w:lineRule="auto"/>
        <w:jc w:val="both"/>
        <w:rPr>
          <w:rFonts w:ascii="Adobe Devanagari" w:hAnsi="Adobe Devanagari" w:cs="Adobe Devanagari"/>
          <w:sz w:val="24"/>
          <w:szCs w:val="24"/>
        </w:rPr>
      </w:pPr>
    </w:p>
    <w:p w:rsidR="002218AA" w:rsidRDefault="002218AA">
      <w:bookmarkStart w:id="0" w:name="_GoBack"/>
      <w:bookmarkEnd w:id="0"/>
    </w:p>
    <w:sectPr w:rsidR="002218AA" w:rsidSect="00F51BF9">
      <w:pgSz w:w="16838" w:h="11906" w:orient="landscape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557"/>
    <w:rsid w:val="002218AA"/>
    <w:rsid w:val="00AB6933"/>
    <w:rsid w:val="00F12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8456A"/>
  <w15:chartTrackingRefBased/>
  <w15:docId w15:val="{982FEB72-A2DB-4041-BF4C-1EFACEB38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25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varticle">
    <w:name w:val="svarticle"/>
    <w:basedOn w:val="Normal"/>
    <w:rsid w:val="00F12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table" w:styleId="TableGrid">
    <w:name w:val="Table Grid"/>
    <w:basedOn w:val="TableNormal"/>
    <w:uiPriority w:val="39"/>
    <w:rsid w:val="00F125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12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Curtin University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Soares</dc:creator>
  <cp:keywords/>
  <dc:description/>
  <cp:lastModifiedBy>Mario Soares</cp:lastModifiedBy>
  <cp:revision>2</cp:revision>
  <dcterms:created xsi:type="dcterms:W3CDTF">2021-09-30T11:46:00Z</dcterms:created>
  <dcterms:modified xsi:type="dcterms:W3CDTF">2022-02-10T09:48:00Z</dcterms:modified>
</cp:coreProperties>
</file>