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88C" w:rsidRPr="00F76CB7" w:rsidRDefault="005C488C" w:rsidP="005C488C">
      <w:pPr>
        <w:spacing w:after="0" w:line="480" w:lineRule="auto"/>
        <w:rPr>
          <w:b/>
          <w:color w:val="000000"/>
          <w:sz w:val="28"/>
          <w:szCs w:val="28"/>
        </w:rPr>
      </w:pPr>
      <w:r>
        <w:rPr>
          <w:b/>
          <w:color w:val="000000"/>
          <w:sz w:val="28"/>
          <w:szCs w:val="28"/>
        </w:rPr>
        <w:t>Supplementary information</w:t>
      </w:r>
    </w:p>
    <w:p w:rsidR="005C488C" w:rsidRDefault="005C488C" w:rsidP="005C488C">
      <w:pPr>
        <w:spacing w:after="0" w:line="480" w:lineRule="auto"/>
        <w:rPr>
          <w:color w:val="000000"/>
          <w:sz w:val="24"/>
          <w:szCs w:val="24"/>
        </w:rPr>
      </w:pPr>
      <w:r>
        <w:rPr>
          <w:b/>
          <w:color w:val="000000"/>
          <w:sz w:val="24"/>
          <w:szCs w:val="24"/>
        </w:rPr>
        <w:t>Supplementary Figure 1.</w:t>
      </w:r>
      <w:r>
        <w:rPr>
          <w:color w:val="000000"/>
          <w:sz w:val="24"/>
          <w:szCs w:val="24"/>
        </w:rPr>
        <w:t xml:space="preserve"> </w:t>
      </w:r>
      <w:r w:rsidRPr="005F7C80">
        <w:rPr>
          <w:color w:val="000000"/>
          <w:sz w:val="24"/>
          <w:szCs w:val="24"/>
        </w:rPr>
        <w:t>Network of genetic interactions derived from GeneMANIA analysis of Random gene list 4</w:t>
      </w:r>
      <w:r>
        <w:rPr>
          <w:color w:val="000000"/>
          <w:sz w:val="24"/>
          <w:szCs w:val="24"/>
        </w:rPr>
        <w:t>, which was derived for comparison with the PGC gene dataset.  No additional genes were included to form this network.  Links between genes are indicated by green connecting lines.</w:t>
      </w:r>
    </w:p>
    <w:p w:rsidR="005C488C" w:rsidRPr="00917812" w:rsidRDefault="005C488C" w:rsidP="005C488C">
      <w:pPr>
        <w:spacing w:after="0" w:line="480" w:lineRule="auto"/>
        <w:rPr>
          <w:color w:val="000000"/>
          <w:sz w:val="24"/>
          <w:szCs w:val="24"/>
        </w:rPr>
      </w:pPr>
    </w:p>
    <w:p w:rsidR="005C488C" w:rsidRDefault="005C488C" w:rsidP="005C488C">
      <w:pPr>
        <w:spacing w:after="0" w:line="480" w:lineRule="auto"/>
        <w:rPr>
          <w:color w:val="000000"/>
          <w:sz w:val="24"/>
          <w:szCs w:val="24"/>
        </w:rPr>
      </w:pPr>
      <w:r>
        <w:rPr>
          <w:b/>
          <w:color w:val="000000"/>
          <w:sz w:val="24"/>
          <w:szCs w:val="24"/>
        </w:rPr>
        <w:t>Supplementary Figure 2.</w:t>
      </w:r>
      <w:r>
        <w:rPr>
          <w:color w:val="000000"/>
          <w:sz w:val="24"/>
          <w:szCs w:val="24"/>
        </w:rPr>
        <w:t xml:space="preserve"> </w:t>
      </w:r>
      <w:r w:rsidRPr="005F7C80">
        <w:rPr>
          <w:color w:val="000000"/>
          <w:sz w:val="24"/>
          <w:szCs w:val="24"/>
        </w:rPr>
        <w:t>Network of genetic interactions derived from GeneMANIA analysis of the PGC list of candidate risk genes for schizophrenia</w:t>
      </w:r>
      <w:r>
        <w:rPr>
          <w:color w:val="000000"/>
          <w:sz w:val="24"/>
          <w:szCs w:val="24"/>
        </w:rPr>
        <w:t>.  Links are indicated as before.  The density of interactions is higher than in Supplementary Figure 1 as quantified in Fig. 4.</w:t>
      </w:r>
    </w:p>
    <w:p w:rsidR="005C488C" w:rsidRDefault="005C488C" w:rsidP="005C488C">
      <w:pPr>
        <w:rPr>
          <w:color w:val="5B616B"/>
        </w:rPr>
      </w:pPr>
      <w:r>
        <w:rPr>
          <w:color w:val="5B616B"/>
        </w:rPr>
        <w:br w:type="page"/>
      </w:r>
    </w:p>
    <w:p w:rsidR="005C488C" w:rsidRDefault="005C488C" w:rsidP="005C488C">
      <w:bookmarkStart w:id="0" w:name="_GoBack"/>
      <w:bookmarkEnd w:id="0"/>
    </w:p>
    <w:p w:rsidR="005C488C" w:rsidRPr="00646F97" w:rsidRDefault="005C488C" w:rsidP="005C488C">
      <w:pPr>
        <w:rPr>
          <w:b/>
          <w:bCs/>
          <w:sz w:val="28"/>
          <w:szCs w:val="28"/>
        </w:rPr>
      </w:pPr>
      <w:r w:rsidRPr="00646F97">
        <w:rPr>
          <w:b/>
          <w:bCs/>
          <w:sz w:val="28"/>
          <w:szCs w:val="28"/>
        </w:rPr>
        <w:t>Supplemental Methods</w:t>
      </w:r>
    </w:p>
    <w:p w:rsidR="005C488C" w:rsidRPr="00D5230C" w:rsidRDefault="005C488C" w:rsidP="005C488C">
      <w:pPr>
        <w:rPr>
          <w:b/>
          <w:bCs/>
          <w:sz w:val="24"/>
          <w:szCs w:val="24"/>
        </w:rPr>
      </w:pPr>
      <w:r>
        <w:rPr>
          <w:b/>
          <w:bCs/>
          <w:sz w:val="24"/>
          <w:szCs w:val="24"/>
        </w:rPr>
        <w:t xml:space="preserve">Theoretical Background for Risk-gene Quantification and Derivation of Equations </w:t>
      </w:r>
    </w:p>
    <w:p w:rsidR="005C488C" w:rsidRPr="00D5230C" w:rsidRDefault="005C488C" w:rsidP="005C488C">
      <w:pPr>
        <w:spacing w:after="0" w:line="480" w:lineRule="auto"/>
        <w:rPr>
          <w:sz w:val="24"/>
          <w:szCs w:val="24"/>
        </w:rPr>
      </w:pPr>
      <w:r w:rsidRPr="00D5230C">
        <w:rPr>
          <w:sz w:val="24"/>
          <w:szCs w:val="24"/>
        </w:rPr>
        <w:t xml:space="preserve">According to polygenic threshold models (Wray and Visscher, 2010), multiple </w:t>
      </w:r>
      <w:r>
        <w:rPr>
          <w:sz w:val="24"/>
          <w:szCs w:val="24"/>
        </w:rPr>
        <w:t>variants affecting</w:t>
      </w:r>
      <w:r w:rsidRPr="00D5230C">
        <w:rPr>
          <w:sz w:val="24"/>
          <w:szCs w:val="24"/>
        </w:rPr>
        <w:t xml:space="preserve"> different risk genes are required to achieve </w:t>
      </w:r>
      <w:r>
        <w:rPr>
          <w:sz w:val="24"/>
          <w:szCs w:val="24"/>
        </w:rPr>
        <w:t xml:space="preserve">a </w:t>
      </w:r>
      <w:r w:rsidRPr="00D5230C">
        <w:rPr>
          <w:sz w:val="24"/>
          <w:szCs w:val="24"/>
        </w:rPr>
        <w:t xml:space="preserve">threshold </w:t>
      </w:r>
      <w:r>
        <w:rPr>
          <w:sz w:val="24"/>
          <w:szCs w:val="24"/>
        </w:rPr>
        <w:t>that predisposes to the development of</w:t>
      </w:r>
      <w:r w:rsidRPr="00D5230C">
        <w:rPr>
          <w:sz w:val="24"/>
          <w:szCs w:val="24"/>
        </w:rPr>
        <w:t xml:space="preserve"> schizophrenia.  Certain combinations of risk </w:t>
      </w:r>
      <w:r>
        <w:rPr>
          <w:sz w:val="24"/>
          <w:szCs w:val="24"/>
        </w:rPr>
        <w:t xml:space="preserve">and protective </w:t>
      </w:r>
      <w:r w:rsidRPr="00D5230C">
        <w:rPr>
          <w:sz w:val="24"/>
          <w:szCs w:val="24"/>
        </w:rPr>
        <w:t xml:space="preserve">genes will significantly elevate liability for disease.  </w:t>
      </w:r>
    </w:p>
    <w:p w:rsidR="005C488C" w:rsidRPr="00D5230C" w:rsidRDefault="005C488C" w:rsidP="005C488C">
      <w:pPr>
        <w:spacing w:after="0" w:line="480" w:lineRule="auto"/>
        <w:ind w:firstLine="720"/>
        <w:rPr>
          <w:b/>
          <w:sz w:val="28"/>
          <w:szCs w:val="28"/>
        </w:rPr>
      </w:pPr>
      <w:r w:rsidRPr="00D5230C">
        <w:rPr>
          <w:sz w:val="24"/>
          <w:szCs w:val="24"/>
        </w:rPr>
        <w:t>The probability of a particular combination of two possible choices or outcomes over a series of independent sites or events (</w:t>
      </w:r>
      <m:oMath>
        <m:r>
          <w:rPr>
            <w:rFonts w:ascii="Cambria Math" w:hAnsi="Cambria Math"/>
            <w:sz w:val="28"/>
            <w:szCs w:val="28"/>
          </w:rPr>
          <m:t>y</m:t>
        </m:r>
      </m:oMath>
      <w:r w:rsidRPr="00D5230C">
        <w:rPr>
          <w:sz w:val="24"/>
          <w:szCs w:val="24"/>
        </w:rPr>
        <w:t xml:space="preserve">) is derived from </w:t>
      </w:r>
      <w:r>
        <w:rPr>
          <w:sz w:val="24"/>
          <w:szCs w:val="24"/>
        </w:rPr>
        <w:t xml:space="preserve">the following </w:t>
      </w:r>
      <w:r w:rsidRPr="00D5230C">
        <w:rPr>
          <w:sz w:val="24"/>
          <w:szCs w:val="24"/>
        </w:rPr>
        <w:t>equation:</w:t>
      </w:r>
    </w:p>
    <w:p w:rsidR="005C488C" w:rsidRPr="00D5230C" w:rsidRDefault="005C488C" w:rsidP="005C488C">
      <w:pPr>
        <w:spacing w:after="0" w:line="480" w:lineRule="auto"/>
        <w:rPr>
          <w:sz w:val="24"/>
          <w:szCs w:val="24"/>
        </w:rPr>
      </w:pPr>
      <w:r w:rsidRPr="00D5230C">
        <w:rPr>
          <w:rFonts w:eastAsiaTheme="minorEastAsia"/>
          <w:sz w:val="32"/>
          <w:szCs w:val="24"/>
        </w:rPr>
        <w:t xml:space="preserve"> </w:t>
      </w:r>
      <m:oMath>
        <m:r>
          <w:rPr>
            <w:rFonts w:ascii="Cambria Math" w:hAnsi="Cambria Math"/>
            <w:sz w:val="28"/>
            <w:szCs w:val="28"/>
          </w:rPr>
          <m:t>P=</m:t>
        </m:r>
        <m:sSup>
          <m:sSupPr>
            <m:ctrlPr>
              <w:rPr>
                <w:rFonts w:ascii="Cambria Math" w:hAnsi="Cambria Math"/>
                <w:i/>
                <w:sz w:val="28"/>
                <w:szCs w:val="28"/>
              </w:rPr>
            </m:ctrlPr>
          </m:sSupPr>
          <m:e>
            <m:r>
              <w:rPr>
                <w:rFonts w:ascii="Cambria Math" w:hAnsi="Cambria Math"/>
                <w:sz w:val="28"/>
                <w:szCs w:val="28"/>
              </w:rPr>
              <m:t>0.5</m:t>
            </m:r>
          </m:e>
          <m:sup>
            <m:r>
              <w:rPr>
                <w:rFonts w:ascii="Cambria Math" w:hAnsi="Cambria Math"/>
                <w:sz w:val="28"/>
                <w:szCs w:val="28"/>
              </w:rPr>
              <m:t>y</m:t>
            </m:r>
          </m:sup>
        </m:sSup>
      </m:oMath>
      <w:r w:rsidRPr="00D5230C">
        <w:rPr>
          <w:sz w:val="24"/>
          <w:szCs w:val="24"/>
        </w:rPr>
        <w:t xml:space="preserve"> </w:t>
      </w:r>
    </w:p>
    <w:p w:rsidR="005C488C" w:rsidRPr="00D5230C" w:rsidRDefault="005C488C" w:rsidP="005C488C">
      <w:pPr>
        <w:spacing w:after="0" w:line="480" w:lineRule="auto"/>
        <w:rPr>
          <w:sz w:val="24"/>
          <w:szCs w:val="24"/>
        </w:rPr>
      </w:pPr>
      <w:r w:rsidRPr="00D5230C">
        <w:rPr>
          <w:sz w:val="24"/>
          <w:szCs w:val="24"/>
        </w:rPr>
        <w:t xml:space="preserve">Based on the population prevalence of schizophrenia, there is approximately a 1 in 100 chance of obtaining a combination of risk genes that meets threshold for this disorder.  Therefore, we ran the model calculations until </w:t>
      </w:r>
      <m:oMath>
        <m:r>
          <w:rPr>
            <w:rFonts w:ascii="Cambria Math" w:hAnsi="Cambria Math"/>
            <w:sz w:val="28"/>
            <w:szCs w:val="28"/>
          </w:rPr>
          <m:t>Pt</m:t>
        </m:r>
      </m:oMath>
      <w:r w:rsidRPr="00D5230C">
        <w:rPr>
          <w:sz w:val="24"/>
          <w:szCs w:val="24"/>
        </w:rPr>
        <w:t xml:space="preserve"> (probability of threshold risk-gene combination in the population) converged on 0.01.  Furthermore, we assumed that most common risk polymorphisms should produce modest effects on gene output compared to neutral polymorphisms.</w:t>
      </w:r>
    </w:p>
    <w:p w:rsidR="005C488C" w:rsidRPr="00D5230C" w:rsidRDefault="005C488C" w:rsidP="005C488C">
      <w:pPr>
        <w:spacing w:after="0" w:line="480" w:lineRule="auto"/>
        <w:ind w:firstLine="720"/>
        <w:rPr>
          <w:sz w:val="24"/>
          <w:szCs w:val="24"/>
        </w:rPr>
      </w:pPr>
      <w:r w:rsidRPr="00D5230C">
        <w:rPr>
          <w:sz w:val="24"/>
          <w:szCs w:val="24"/>
        </w:rPr>
        <w:t xml:space="preserve">In </w:t>
      </w:r>
      <w:r>
        <w:rPr>
          <w:sz w:val="24"/>
          <w:szCs w:val="24"/>
        </w:rPr>
        <w:t xml:space="preserve">this </w:t>
      </w:r>
      <w:r w:rsidRPr="00D5230C">
        <w:rPr>
          <w:sz w:val="24"/>
          <w:szCs w:val="24"/>
        </w:rPr>
        <w:t xml:space="preserve">equation, the 0.5 could be viewed as a 1 in 2 chance of obtaining by heredity a particular allele from a series of risk gene loci.  Alternatively, it could be considered the probability of inheriting the full activity from both alleles at a locus, where 1 is the value for homozygous reference (unaffected) alleles and 0.5 is the value when one allele is a null variant.  Most risk gene variants are not null alleles and inheritance is also a function of their allele frequency in the population.  To reflect this situation, we </w:t>
      </w:r>
      <w:r w:rsidRPr="00D5230C">
        <w:rPr>
          <w:sz w:val="24"/>
          <w:szCs w:val="24"/>
        </w:rPr>
        <w:lastRenderedPageBreak/>
        <w:t xml:space="preserve">replaced the 0.5 with </w:t>
      </w:r>
      <m:oMath>
        <m:r>
          <m:rPr>
            <m:sty m:val="bi"/>
          </m:rPr>
          <w:rPr>
            <w:rFonts w:ascii="Cambria Math" w:hAnsi="Cambria Math"/>
            <w:sz w:val="28"/>
            <w:szCs w:val="28"/>
          </w:rPr>
          <m:t>x</m:t>
        </m:r>
      </m:oMath>
      <w:r w:rsidRPr="00D5230C">
        <w:rPr>
          <w:sz w:val="24"/>
          <w:szCs w:val="24"/>
        </w:rPr>
        <w:t xml:space="preserve">, which we define as the </w:t>
      </w:r>
      <w:r w:rsidRPr="00D5230C">
        <w:rPr>
          <w:b/>
          <w:sz w:val="24"/>
          <w:szCs w:val="24"/>
        </w:rPr>
        <w:t>variant allele output (VAO)</w:t>
      </w:r>
      <w:r w:rsidRPr="00D5230C">
        <w:rPr>
          <w:sz w:val="24"/>
          <w:szCs w:val="24"/>
        </w:rPr>
        <w:t xml:space="preserve"> of a particular gene variant. </w:t>
      </w:r>
      <w:r w:rsidRPr="00D5230C">
        <w:rPr>
          <w:strike/>
          <w:sz w:val="24"/>
          <w:szCs w:val="24"/>
        </w:rPr>
        <w:t xml:space="preserve"> </w:t>
      </w:r>
    </w:p>
    <w:p w:rsidR="005C488C" w:rsidRPr="00D5230C" w:rsidRDefault="005C488C" w:rsidP="005C488C">
      <w:pPr>
        <w:spacing w:after="0" w:line="480" w:lineRule="auto"/>
        <w:ind w:firstLine="720"/>
        <w:rPr>
          <w:sz w:val="24"/>
          <w:szCs w:val="24"/>
        </w:rPr>
      </w:pPr>
      <w:r w:rsidRPr="00D5230C">
        <w:rPr>
          <w:sz w:val="24"/>
          <w:szCs w:val="24"/>
        </w:rPr>
        <w:t>Some genetic variants occur more frequently in the control population compared to cases and may qualify as protective alleles (Nishino et al., 2018). Because the odds ratio (OR) scores for these protective variants is still close to 1 (but &gt; 1), these variants must also be routinely found in the case population. Theoretically, protective variants may counterbalance the effects of risk variants on overall genetic susceptibility. Therefore, the model should account for the inevitable co-occurrence of protective variants in the genome.</w:t>
      </w:r>
    </w:p>
    <w:p w:rsidR="005C488C" w:rsidRPr="00D5230C" w:rsidRDefault="005C488C" w:rsidP="005C488C">
      <w:pPr>
        <w:spacing w:after="0" w:line="480" w:lineRule="auto"/>
        <w:ind w:firstLine="720"/>
        <w:rPr>
          <w:sz w:val="24"/>
          <w:szCs w:val="24"/>
        </w:rPr>
      </w:pPr>
      <w:r w:rsidRPr="00D5230C">
        <w:rPr>
          <w:sz w:val="24"/>
          <w:szCs w:val="24"/>
        </w:rPr>
        <w:t xml:space="preserve">Next, we </w:t>
      </w:r>
      <w:r>
        <w:rPr>
          <w:sz w:val="24"/>
          <w:szCs w:val="24"/>
        </w:rPr>
        <w:t>generated</w:t>
      </w:r>
      <w:r w:rsidRPr="00D5230C">
        <w:rPr>
          <w:sz w:val="24"/>
          <w:szCs w:val="24"/>
        </w:rPr>
        <w:t xml:space="preserve"> equation </w:t>
      </w:r>
      <w:r>
        <w:rPr>
          <w:sz w:val="24"/>
          <w:szCs w:val="24"/>
        </w:rPr>
        <w:t>(</w:t>
      </w:r>
      <w:r>
        <w:rPr>
          <w:b/>
          <w:bCs/>
          <w:sz w:val="24"/>
          <w:szCs w:val="24"/>
        </w:rPr>
        <w:t>1</w:t>
      </w:r>
      <w:r>
        <w:rPr>
          <w:sz w:val="24"/>
          <w:szCs w:val="24"/>
        </w:rPr>
        <w:t>) to</w:t>
      </w:r>
      <w:r w:rsidRPr="00D5230C">
        <w:rPr>
          <w:sz w:val="24"/>
          <w:szCs w:val="24"/>
        </w:rPr>
        <w:t xml:space="preserve"> </w:t>
      </w:r>
      <w:r>
        <w:rPr>
          <w:sz w:val="24"/>
          <w:szCs w:val="24"/>
        </w:rPr>
        <w:t>account for</w:t>
      </w:r>
      <w:r w:rsidRPr="00D5230C">
        <w:rPr>
          <w:sz w:val="24"/>
          <w:szCs w:val="24"/>
        </w:rPr>
        <w:t xml:space="preserve"> risk allele frequencies (RAFs) in the population:</w:t>
      </w:r>
    </w:p>
    <w:p w:rsidR="005C488C" w:rsidRPr="00D5230C" w:rsidRDefault="005C488C" w:rsidP="005C488C">
      <w:pPr>
        <w:spacing w:after="0" w:line="480" w:lineRule="auto"/>
        <w:rPr>
          <w:sz w:val="24"/>
          <w:szCs w:val="24"/>
        </w:rPr>
      </w:pPr>
      <w:r w:rsidRPr="00D5230C">
        <w:rPr>
          <w:rFonts w:eastAsiaTheme="minorEastAsia"/>
          <w:sz w:val="24"/>
          <w:szCs w:val="24"/>
        </w:rPr>
        <w:t>(</w:t>
      </w:r>
      <w:r>
        <w:rPr>
          <w:rFonts w:eastAsiaTheme="minorEastAsia"/>
          <w:b/>
          <w:sz w:val="24"/>
          <w:szCs w:val="24"/>
        </w:rPr>
        <w:t>1</w:t>
      </w:r>
      <w:r w:rsidRPr="00D5230C">
        <w:rPr>
          <w:rFonts w:eastAsiaTheme="minorEastAsia"/>
          <w:sz w:val="24"/>
          <w:szCs w:val="24"/>
        </w:rPr>
        <w:t>)</w:t>
      </w:r>
      <w:r w:rsidRPr="00D5230C">
        <w:rPr>
          <w:rFonts w:eastAsiaTheme="minorEastAsia"/>
          <w:sz w:val="32"/>
          <w:szCs w:val="32"/>
        </w:rPr>
        <w:t xml:space="preserve">  </w:t>
      </w:r>
      <m:oMath>
        <m:r>
          <m:rPr>
            <m:sty m:val="p"/>
          </m:rPr>
          <w:rPr>
            <w:rFonts w:ascii="Cambria Math" w:eastAsiaTheme="minorEastAsia" w:hAnsi="Cambria Math"/>
            <w:sz w:val="32"/>
            <w:szCs w:val="32"/>
          </w:rPr>
          <m:t>FLO</m:t>
        </m:r>
        <m:r>
          <w:rPr>
            <w:rFonts w:ascii="Cambria Math" w:eastAsiaTheme="minorEastAsia" w:hAnsi="Cambria Math"/>
            <w:sz w:val="32"/>
            <w:szCs w:val="32"/>
          </w:rPr>
          <m:t>=</m:t>
        </m:r>
        <m:r>
          <w:rPr>
            <w:rFonts w:ascii="Cambria Math" w:hAnsi="Cambria Math"/>
            <w:sz w:val="28"/>
            <w:szCs w:val="28"/>
          </w:rPr>
          <m:t>(</m:t>
        </m:r>
        <m:r>
          <m:rPr>
            <m:sty m:val="p"/>
          </m:rPr>
          <w:rPr>
            <w:rFonts w:ascii="Cambria Math" w:hAnsi="Cambria Math"/>
            <w:sz w:val="28"/>
            <w:szCs w:val="28"/>
          </w:rPr>
          <m:t>RAF</m:t>
        </m:r>
        <m:r>
          <w:rPr>
            <w:rFonts w:ascii="Cambria Math" w:hAnsi="Cambria Math"/>
            <w:sz w:val="28"/>
            <w:szCs w:val="28"/>
          </w:rPr>
          <m:t>(x)  + (1-</m:t>
        </m:r>
        <m:r>
          <m:rPr>
            <m:sty m:val="p"/>
          </m:rPr>
          <w:rPr>
            <w:rFonts w:ascii="Cambria Math" w:hAnsi="Cambria Math"/>
            <w:sz w:val="28"/>
            <w:szCs w:val="28"/>
          </w:rPr>
          <m:t>RAF</m:t>
        </m:r>
        <m:r>
          <w:rPr>
            <w:rFonts w:ascii="Cambria Math" w:hAnsi="Cambria Math"/>
            <w:sz w:val="28"/>
            <w:szCs w:val="28"/>
          </w:rPr>
          <m:t>))</m:t>
        </m:r>
      </m:oMath>
      <w:r w:rsidRPr="00D5230C">
        <w:rPr>
          <w:sz w:val="36"/>
          <w:szCs w:val="36"/>
        </w:rPr>
        <w:t xml:space="preserve"> </w:t>
      </w:r>
      <w:r w:rsidRPr="00D5230C">
        <w:rPr>
          <w:sz w:val="24"/>
          <w:szCs w:val="24"/>
        </w:rPr>
        <w:t xml:space="preserve">, </w:t>
      </w:r>
    </w:p>
    <w:p w:rsidR="005C488C" w:rsidRPr="00D5230C" w:rsidRDefault="005C488C" w:rsidP="005C488C">
      <w:pPr>
        <w:spacing w:after="0" w:line="480" w:lineRule="auto"/>
        <w:rPr>
          <w:sz w:val="24"/>
          <w:szCs w:val="24"/>
        </w:rPr>
      </w:pPr>
      <w:r w:rsidRPr="00D5230C">
        <w:rPr>
          <w:sz w:val="24"/>
          <w:szCs w:val="24"/>
        </w:rPr>
        <w:t xml:space="preserve">where </w:t>
      </w:r>
      <m:oMath>
        <m:r>
          <w:rPr>
            <w:rFonts w:ascii="Cambria Math" w:hAnsi="Cambria Math"/>
            <w:sz w:val="28"/>
            <w:szCs w:val="28"/>
          </w:rPr>
          <m:t>x</m:t>
        </m:r>
      </m:oMath>
      <w:r w:rsidRPr="00D5230C">
        <w:rPr>
          <w:sz w:val="24"/>
          <w:szCs w:val="24"/>
        </w:rPr>
        <w:t xml:space="preserve">  is the VAO (as </w:t>
      </w:r>
      <w:r>
        <w:rPr>
          <w:sz w:val="24"/>
          <w:szCs w:val="24"/>
        </w:rPr>
        <w:t xml:space="preserve">described </w:t>
      </w:r>
      <w:r w:rsidRPr="00D5230C">
        <w:rPr>
          <w:sz w:val="24"/>
          <w:szCs w:val="24"/>
        </w:rPr>
        <w:t xml:space="preserve">above) and RAF is the risk allele frequency in the population.  This term can be considered </w:t>
      </w:r>
      <w:r w:rsidRPr="00D5230C">
        <w:rPr>
          <w:b/>
          <w:sz w:val="24"/>
          <w:szCs w:val="24"/>
        </w:rPr>
        <w:t>the average functional locus output (FLO) from the two alleles of a gene</w:t>
      </w:r>
      <w:r w:rsidRPr="00D5230C">
        <w:rPr>
          <w:sz w:val="24"/>
          <w:szCs w:val="24"/>
        </w:rPr>
        <w:t xml:space="preserve"> affected by a risk polymorphism. In the equation, </w:t>
      </w:r>
      <m:oMath>
        <m:r>
          <w:rPr>
            <w:rFonts w:ascii="Cambria Math" w:hAnsi="Cambria Math"/>
            <w:sz w:val="28"/>
            <w:szCs w:val="28"/>
          </w:rPr>
          <m:t>x</m:t>
        </m:r>
      </m:oMath>
      <w:r w:rsidRPr="00D5230C">
        <w:rPr>
          <w:sz w:val="24"/>
          <w:szCs w:val="24"/>
        </w:rPr>
        <w:t xml:space="preserve"> will be &lt; 1 when reflecting the contributions of a risk variant, whereas </w:t>
      </w:r>
      <m:oMath>
        <m:r>
          <w:rPr>
            <w:rFonts w:ascii="Cambria Math" w:hAnsi="Cambria Math"/>
            <w:sz w:val="28"/>
            <w:szCs w:val="28"/>
          </w:rPr>
          <m:t>x&gt;1</m:t>
        </m:r>
      </m:oMath>
      <w:r w:rsidRPr="00D5230C">
        <w:rPr>
          <w:sz w:val="24"/>
          <w:szCs w:val="24"/>
        </w:rPr>
        <w:t xml:space="preserve"> for any protective variants. Finally, the different risk genes, </w:t>
      </w: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1…n</m:t>
            </m:r>
          </m:sub>
        </m:sSub>
      </m:oMath>
      <w:r w:rsidRPr="00D5230C">
        <w:rPr>
          <w:sz w:val="24"/>
          <w:szCs w:val="24"/>
        </w:rPr>
        <w:t xml:space="preserve"> will have different VAOs (</w:t>
      </w:r>
      <m:oMath>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1…n</m:t>
            </m:r>
          </m:sub>
        </m:sSub>
      </m:oMath>
      <w:r w:rsidRPr="00D5230C">
        <w:rPr>
          <w:sz w:val="24"/>
          <w:szCs w:val="24"/>
        </w:rPr>
        <w:t xml:space="preserve">) with their respective </w:t>
      </w:r>
      <m:oMath>
        <m:sSub>
          <m:sSubPr>
            <m:ctrlPr>
              <w:rPr>
                <w:rFonts w:ascii="Cambria Math" w:hAnsi="Cambria Math"/>
                <w:i/>
                <w:sz w:val="28"/>
                <w:szCs w:val="28"/>
              </w:rPr>
            </m:ctrlPr>
          </m:sSubPr>
          <m:e>
            <m:r>
              <m:rPr>
                <m:sty m:val="p"/>
              </m:rPr>
              <w:rPr>
                <w:rFonts w:ascii="Cambria Math" w:hAnsi="Cambria Math"/>
                <w:sz w:val="28"/>
                <w:szCs w:val="28"/>
              </w:rPr>
              <m:t>RAFs</m:t>
            </m:r>
          </m:e>
          <m:sub>
            <m:r>
              <w:rPr>
                <w:rFonts w:ascii="Cambria Math" w:hAnsi="Cambria Math"/>
                <w:sz w:val="28"/>
                <w:szCs w:val="28"/>
              </w:rPr>
              <m:t>1…n</m:t>
            </m:r>
          </m:sub>
        </m:sSub>
      </m:oMath>
      <w:r w:rsidRPr="00D5230C">
        <w:rPr>
          <w:sz w:val="24"/>
          <w:szCs w:val="24"/>
        </w:rPr>
        <w:t>, so the ultimate equation for evaluating the number of risk genes to reach threshold is:</w:t>
      </w:r>
    </w:p>
    <w:p w:rsidR="005C488C" w:rsidRPr="00D5230C" w:rsidRDefault="005C488C" w:rsidP="005C488C">
      <w:pPr>
        <w:spacing w:after="0" w:line="480" w:lineRule="auto"/>
        <w:rPr>
          <w:rFonts w:eastAsiaTheme="minorEastAsia"/>
          <w:sz w:val="24"/>
          <w:szCs w:val="24"/>
        </w:rPr>
      </w:pPr>
      <w:r w:rsidRPr="00D5230C">
        <w:rPr>
          <w:sz w:val="24"/>
          <w:szCs w:val="24"/>
        </w:rPr>
        <w:t>(</w:t>
      </w:r>
      <w:r>
        <w:rPr>
          <w:b/>
          <w:sz w:val="24"/>
          <w:szCs w:val="24"/>
        </w:rPr>
        <w:t>2</w:t>
      </w:r>
      <w:r w:rsidRPr="00D5230C">
        <w:rPr>
          <w:sz w:val="24"/>
          <w:szCs w:val="24"/>
        </w:rPr>
        <w:t xml:space="preserve">)  </w:t>
      </w:r>
      <m:oMath>
        <m:sSup>
          <m:sSupPr>
            <m:ctrlPr>
              <w:rPr>
                <w:rFonts w:ascii="Cambria Math" w:hAnsi="Cambria Math"/>
                <w:i/>
                <w:sz w:val="28"/>
                <w:szCs w:val="28"/>
              </w:rPr>
            </m:ctrlPr>
          </m:sSupPr>
          <m:e>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t</m:t>
                </m:r>
              </m:sub>
            </m:sSub>
            <m:r>
              <w:rPr>
                <w:rFonts w:ascii="Cambria Math" w:hAnsi="Cambria Math"/>
                <w:sz w:val="28"/>
                <w:szCs w:val="28"/>
              </w:rPr>
              <m:t>=</m:t>
            </m:r>
            <m:d>
              <m:dPr>
                <m:begChr m:val="["/>
                <m:endChr m:val="]"/>
                <m:ctrlPr>
                  <w:rPr>
                    <w:rFonts w:ascii="Cambria Math" w:hAnsi="Cambria Math"/>
                    <w:i/>
                    <w:sz w:val="28"/>
                    <w:szCs w:val="28"/>
                  </w:rPr>
                </m:ctrlPr>
              </m:dPr>
              <m:e>
                <m:r>
                  <m:rPr>
                    <m:sty m:val="p"/>
                  </m:rPr>
                  <w:rPr>
                    <w:rFonts w:ascii="Cambria Math" w:hAnsi="Cambria Math"/>
                    <w:sz w:val="28"/>
                    <w:szCs w:val="28"/>
                  </w:rPr>
                  <m:t>RAF1</m:t>
                </m:r>
                <m:d>
                  <m:dPr>
                    <m:ctrlPr>
                      <w:rPr>
                        <w:rFonts w:ascii="Cambria Math" w:hAnsi="Cambria Math"/>
                        <w:i/>
                        <w:sz w:val="28"/>
                        <w:szCs w:val="28"/>
                      </w:rPr>
                    </m:ctrlPr>
                  </m:dPr>
                  <m:e>
                    <m:r>
                      <w:rPr>
                        <w:rFonts w:ascii="Cambria Math" w:hAnsi="Cambria Math"/>
                        <w:sz w:val="28"/>
                        <w:szCs w:val="28"/>
                      </w:rPr>
                      <m:t>x1</m:t>
                    </m:r>
                  </m:e>
                </m:d>
                <m:r>
                  <w:rPr>
                    <w:rFonts w:ascii="Cambria Math" w:hAnsi="Cambria Math"/>
                    <w:sz w:val="28"/>
                    <w:szCs w:val="28"/>
                  </w:rPr>
                  <m:t>+</m:t>
                </m:r>
                <m:d>
                  <m:dPr>
                    <m:ctrlPr>
                      <w:rPr>
                        <w:rFonts w:ascii="Cambria Math" w:hAnsi="Cambria Math"/>
                        <w:i/>
                        <w:sz w:val="28"/>
                        <w:szCs w:val="28"/>
                      </w:rPr>
                    </m:ctrlPr>
                  </m:dPr>
                  <m:e>
                    <m:r>
                      <w:rPr>
                        <w:rFonts w:ascii="Cambria Math" w:hAnsi="Cambria Math"/>
                        <w:sz w:val="28"/>
                        <w:szCs w:val="28"/>
                      </w:rPr>
                      <m:t>1-</m:t>
                    </m:r>
                    <m:r>
                      <m:rPr>
                        <m:sty m:val="p"/>
                      </m:rPr>
                      <w:rPr>
                        <w:rFonts w:ascii="Cambria Math" w:hAnsi="Cambria Math"/>
                        <w:sz w:val="28"/>
                        <w:szCs w:val="28"/>
                      </w:rPr>
                      <m:t>RAF1</m:t>
                    </m:r>
                  </m:e>
                </m:d>
              </m:e>
            </m:d>
          </m:e>
          <m:sup>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sup>
        </m:sSup>
        <m:r>
          <w:rPr>
            <w:rFonts w:ascii="Cambria Math" w:hAnsi="Cambria Math"/>
            <w:sz w:val="28"/>
            <w:szCs w:val="28"/>
          </w:rPr>
          <m:t xml:space="preserve">× </m:t>
        </m:r>
        <m:sSup>
          <m:sSupPr>
            <m:ctrlPr>
              <w:rPr>
                <w:rFonts w:ascii="Cambria Math" w:hAnsi="Cambria Math"/>
                <w:i/>
                <w:sz w:val="28"/>
                <w:szCs w:val="28"/>
              </w:rPr>
            </m:ctrlPr>
          </m:sSupPr>
          <m:e>
            <m:d>
              <m:dPr>
                <m:begChr m:val="["/>
                <m:endChr m:val="]"/>
                <m:ctrlPr>
                  <w:rPr>
                    <w:rFonts w:ascii="Cambria Math" w:hAnsi="Cambria Math"/>
                    <w:i/>
                    <w:sz w:val="28"/>
                    <w:szCs w:val="28"/>
                  </w:rPr>
                </m:ctrlPr>
              </m:dPr>
              <m:e>
                <m:r>
                  <m:rPr>
                    <m:sty m:val="p"/>
                  </m:rPr>
                  <w:rPr>
                    <w:rFonts w:ascii="Cambria Math" w:hAnsi="Cambria Math"/>
                    <w:sz w:val="28"/>
                    <w:szCs w:val="28"/>
                  </w:rPr>
                  <m:t>RAF2</m:t>
                </m:r>
                <m:d>
                  <m:dPr>
                    <m:ctrlPr>
                      <w:rPr>
                        <w:rFonts w:ascii="Cambria Math" w:hAnsi="Cambria Math"/>
                        <w:i/>
                        <w:sz w:val="28"/>
                        <w:szCs w:val="28"/>
                      </w:rPr>
                    </m:ctrlPr>
                  </m:dPr>
                  <m:e>
                    <m:r>
                      <w:rPr>
                        <w:rFonts w:ascii="Cambria Math" w:hAnsi="Cambria Math"/>
                        <w:sz w:val="28"/>
                        <w:szCs w:val="28"/>
                      </w:rPr>
                      <m:t>x2</m:t>
                    </m:r>
                  </m:e>
                </m:d>
                <m:r>
                  <w:rPr>
                    <w:rFonts w:ascii="Cambria Math" w:hAnsi="Cambria Math"/>
                    <w:sz w:val="28"/>
                    <w:szCs w:val="28"/>
                  </w:rPr>
                  <m:t>+</m:t>
                </m:r>
                <m:d>
                  <m:dPr>
                    <m:ctrlPr>
                      <w:rPr>
                        <w:rFonts w:ascii="Cambria Math" w:hAnsi="Cambria Math"/>
                        <w:i/>
                        <w:sz w:val="28"/>
                        <w:szCs w:val="28"/>
                      </w:rPr>
                    </m:ctrlPr>
                  </m:dPr>
                  <m:e>
                    <m:r>
                      <w:rPr>
                        <w:rFonts w:ascii="Cambria Math" w:hAnsi="Cambria Math"/>
                        <w:sz w:val="28"/>
                        <w:szCs w:val="28"/>
                      </w:rPr>
                      <m:t>1-</m:t>
                    </m:r>
                    <m:r>
                      <m:rPr>
                        <m:sty m:val="p"/>
                      </m:rPr>
                      <w:rPr>
                        <w:rFonts w:ascii="Cambria Math" w:hAnsi="Cambria Math"/>
                        <w:sz w:val="28"/>
                        <w:szCs w:val="28"/>
                      </w:rPr>
                      <m:t>RAF2</m:t>
                    </m:r>
                  </m:e>
                </m:d>
              </m:e>
            </m:d>
          </m:e>
          <m:sup>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sup>
        </m:sSup>
        <m:r>
          <w:rPr>
            <w:rFonts w:ascii="Cambria Math" w:hAnsi="Cambria Math"/>
            <w:sz w:val="28"/>
            <w:szCs w:val="28"/>
          </w:rPr>
          <m:t>×⋯n</m:t>
        </m:r>
      </m:oMath>
    </w:p>
    <w:p w:rsidR="005C488C" w:rsidRPr="00D5230C" w:rsidRDefault="005C488C" w:rsidP="005C488C">
      <w:pPr>
        <w:spacing w:after="0" w:line="480" w:lineRule="auto"/>
        <w:rPr>
          <w:sz w:val="24"/>
          <w:szCs w:val="24"/>
        </w:rPr>
      </w:pPr>
      <w:r w:rsidRPr="00D5230C">
        <w:rPr>
          <w:rFonts w:eastAsiaTheme="minorEastAsia"/>
          <w:sz w:val="24"/>
          <w:szCs w:val="24"/>
        </w:rPr>
        <w:t xml:space="preserve">where </w:t>
      </w:r>
      <m:oMath>
        <m:r>
          <w:rPr>
            <w:rFonts w:ascii="Cambria Math" w:hAnsi="Cambria Math"/>
            <w:sz w:val="28"/>
            <w:szCs w:val="28"/>
          </w:rPr>
          <m:t>Pt</m:t>
        </m:r>
      </m:oMath>
      <w:r w:rsidRPr="00D5230C">
        <w:rPr>
          <w:sz w:val="24"/>
          <w:szCs w:val="24"/>
        </w:rPr>
        <w:t xml:space="preserve">, </w:t>
      </w:r>
      <m:oMath>
        <m:r>
          <m:rPr>
            <m:sty m:val="bi"/>
          </m:rPr>
          <w:rPr>
            <w:rFonts w:ascii="Cambria Math" w:hAnsi="Cambria Math"/>
            <w:sz w:val="28"/>
            <w:szCs w:val="28"/>
          </w:rPr>
          <m:t>x</m:t>
        </m:r>
      </m:oMath>
      <w:r w:rsidRPr="00D5230C">
        <w:rPr>
          <w:sz w:val="24"/>
          <w:szCs w:val="24"/>
        </w:rPr>
        <w:t xml:space="preserve"> and RAF correspond to above and </w:t>
      </w:r>
      <m:oMath>
        <m:r>
          <m:rPr>
            <m:sty m:val="bi"/>
          </m:rPr>
          <w:rPr>
            <w:rFonts w:ascii="Cambria Math" w:hAnsi="Cambria Math"/>
            <w:sz w:val="28"/>
            <w:szCs w:val="28"/>
          </w:rPr>
          <m:t>y</m:t>
        </m:r>
      </m:oMath>
      <w:r w:rsidRPr="00D5230C">
        <w:rPr>
          <w:sz w:val="24"/>
          <w:szCs w:val="24"/>
        </w:rPr>
        <w:t xml:space="preserve"> is the number of different risk genes associated with particular </w:t>
      </w:r>
      <m:oMath>
        <m:r>
          <m:rPr>
            <m:sty m:val="bi"/>
          </m:rPr>
          <w:rPr>
            <w:rFonts w:ascii="Cambria Math" w:hAnsi="Cambria Math"/>
            <w:sz w:val="28"/>
            <w:szCs w:val="28"/>
          </w:rPr>
          <m:t>x</m:t>
        </m:r>
      </m:oMath>
      <w:r w:rsidRPr="00D5230C">
        <w:rPr>
          <w:sz w:val="24"/>
          <w:szCs w:val="24"/>
        </w:rPr>
        <w:t xml:space="preserve"> and RAF values.  We can plug in estimates of </w:t>
      </w:r>
      <m:oMath>
        <m:r>
          <m:rPr>
            <m:sty m:val="bi"/>
          </m:rPr>
          <w:rPr>
            <w:rFonts w:ascii="Cambria Math" w:hAnsi="Cambria Math"/>
            <w:sz w:val="28"/>
            <w:szCs w:val="28"/>
          </w:rPr>
          <m:t>x</m:t>
        </m:r>
      </m:oMath>
      <w:r w:rsidRPr="00D5230C">
        <w:rPr>
          <w:sz w:val="24"/>
          <w:szCs w:val="24"/>
        </w:rPr>
        <w:t xml:space="preserve"> and RAF </w:t>
      </w:r>
      <w:r w:rsidRPr="00D5230C">
        <w:rPr>
          <w:sz w:val="24"/>
          <w:szCs w:val="24"/>
        </w:rPr>
        <w:lastRenderedPageBreak/>
        <w:t xml:space="preserve">and solve for </w:t>
      </w:r>
      <m:oMath>
        <m:r>
          <m:rPr>
            <m:sty m:val="bi"/>
          </m:rPr>
          <w:rPr>
            <w:rFonts w:ascii="Cambria Math" w:hAnsi="Cambria Math"/>
            <w:sz w:val="28"/>
            <w:szCs w:val="28"/>
          </w:rPr>
          <m:t>y</m:t>
        </m:r>
      </m:oMath>
      <w:r w:rsidRPr="00D5230C">
        <w:rPr>
          <w:sz w:val="24"/>
          <w:szCs w:val="24"/>
        </w:rPr>
        <w:t xml:space="preserve"> to calculate the number of risk genes needed to reach threshold for schizophrenia.   </w:t>
      </w:r>
      <w:r>
        <w:rPr>
          <w:sz w:val="24"/>
          <w:szCs w:val="24"/>
        </w:rPr>
        <w:t xml:space="preserve">  </w:t>
      </w:r>
    </w:p>
    <w:p w:rsidR="005C488C" w:rsidRPr="00D5230C" w:rsidRDefault="005C488C" w:rsidP="005C488C">
      <w:pPr>
        <w:spacing w:after="0" w:line="480" w:lineRule="auto"/>
        <w:rPr>
          <w:sz w:val="24"/>
          <w:szCs w:val="24"/>
          <w:highlight w:val="yellow"/>
        </w:rPr>
      </w:pPr>
      <w:r w:rsidRPr="00D5230C">
        <w:rPr>
          <w:sz w:val="24"/>
          <w:szCs w:val="24"/>
        </w:rPr>
        <w:tab/>
        <w:t xml:space="preserve">To address detrimental gain-of-function mutations, we used the more general term “fraction of expected output.”  A gain-of-function risk mutation that increases the functional output of a particular gene by 100% (for example, by gene duplication) would be </w:t>
      </w:r>
      <w:r w:rsidRPr="00D5230C">
        <w:rPr>
          <w:b/>
          <w:sz w:val="24"/>
          <w:szCs w:val="24"/>
        </w:rPr>
        <w:t xml:space="preserve">fractionally normal </w:t>
      </w:r>
      <w:r w:rsidRPr="00D5230C">
        <w:rPr>
          <w:sz w:val="24"/>
          <w:szCs w:val="24"/>
        </w:rPr>
        <w:t xml:space="preserve">equivalent to 0.5 (1/2) for that member of the pair. Thus, when the VAO of an adverse </w:t>
      </w:r>
      <w:r w:rsidRPr="00D5230C">
        <w:rPr>
          <w:b/>
          <w:sz w:val="24"/>
          <w:szCs w:val="24"/>
        </w:rPr>
        <w:t>risk allele</w:t>
      </w:r>
      <w:r w:rsidRPr="00D5230C">
        <w:rPr>
          <w:sz w:val="24"/>
          <w:szCs w:val="24"/>
        </w:rPr>
        <w:t xml:space="preserve"> is greater than 1, it is expressed as the ratio </w:t>
      </w:r>
      <m:oMath>
        <m:r>
          <w:rPr>
            <w:rFonts w:ascii="Cambria Math" w:hAnsi="Cambria Math"/>
            <w:sz w:val="32"/>
            <w:szCs w:val="32"/>
          </w:rPr>
          <m:t xml:space="preserve"> </m:t>
        </m:r>
        <m:f>
          <m:fPr>
            <m:ctrlPr>
              <w:rPr>
                <w:rFonts w:ascii="Cambria Math" w:hAnsi="Cambria Math"/>
                <w:i/>
                <w:sz w:val="32"/>
                <w:szCs w:val="32"/>
              </w:rPr>
            </m:ctrlPr>
          </m:fPr>
          <m:num>
            <m:r>
              <w:rPr>
                <w:rFonts w:ascii="Cambria Math" w:hAnsi="Cambria Math"/>
                <w:sz w:val="32"/>
                <w:szCs w:val="32"/>
              </w:rPr>
              <m:t>1</m:t>
            </m:r>
          </m:num>
          <m:den>
            <m:r>
              <w:rPr>
                <w:rFonts w:ascii="Cambria Math" w:hAnsi="Cambria Math"/>
                <w:sz w:val="32"/>
                <w:szCs w:val="32"/>
              </w:rPr>
              <m:t>x</m:t>
            </m:r>
          </m:den>
        </m:f>
      </m:oMath>
      <w:r w:rsidRPr="00D5230C">
        <w:rPr>
          <w:rFonts w:eastAsiaTheme="minorEastAsia"/>
          <w:sz w:val="32"/>
          <w:szCs w:val="32"/>
        </w:rPr>
        <w:t xml:space="preserve"> </w:t>
      </w:r>
      <w:r w:rsidRPr="00D5230C">
        <w:rPr>
          <w:rFonts w:eastAsiaTheme="minorEastAsia"/>
          <w:sz w:val="24"/>
          <w:szCs w:val="24"/>
        </w:rPr>
        <w:t>in equation (</w:t>
      </w:r>
      <w:r>
        <w:rPr>
          <w:rFonts w:eastAsiaTheme="minorEastAsia"/>
          <w:b/>
          <w:sz w:val="24"/>
          <w:szCs w:val="24"/>
        </w:rPr>
        <w:t>2</w:t>
      </w:r>
      <w:r w:rsidRPr="00D5230C">
        <w:rPr>
          <w:rFonts w:eastAsiaTheme="minorEastAsia"/>
          <w:sz w:val="24"/>
          <w:szCs w:val="24"/>
        </w:rPr>
        <w:t xml:space="preserve">). </w:t>
      </w:r>
      <w:r w:rsidRPr="00D5230C">
        <w:rPr>
          <w:sz w:val="24"/>
          <w:szCs w:val="24"/>
        </w:rPr>
        <w:t xml:space="preserve">By contrast, a </w:t>
      </w:r>
      <w:r w:rsidRPr="00D5230C">
        <w:rPr>
          <w:b/>
          <w:sz w:val="24"/>
          <w:szCs w:val="24"/>
        </w:rPr>
        <w:t>protective allele</w:t>
      </w:r>
      <w:r w:rsidRPr="00D5230C">
        <w:rPr>
          <w:sz w:val="24"/>
          <w:szCs w:val="24"/>
        </w:rPr>
        <w:t xml:space="preserve"> will retain a value of </w:t>
      </w:r>
      <m:oMath>
        <m:r>
          <w:rPr>
            <w:rFonts w:ascii="Cambria Math" w:hAnsi="Cambria Math"/>
            <w:sz w:val="28"/>
            <w:szCs w:val="28"/>
          </w:rPr>
          <m:t>x&gt;1</m:t>
        </m:r>
      </m:oMath>
      <w:r w:rsidRPr="00D5230C">
        <w:rPr>
          <w:sz w:val="24"/>
          <w:szCs w:val="24"/>
        </w:rPr>
        <w:t>, e.g., 1.035, in equation (</w:t>
      </w:r>
      <w:r>
        <w:rPr>
          <w:b/>
          <w:sz w:val="24"/>
          <w:szCs w:val="24"/>
        </w:rPr>
        <w:t>2</w:t>
      </w:r>
      <w:r w:rsidRPr="00D5230C">
        <w:rPr>
          <w:sz w:val="24"/>
          <w:szCs w:val="24"/>
        </w:rPr>
        <w:t>).</w:t>
      </w:r>
      <w:r w:rsidRPr="00D5230C">
        <w:rPr>
          <w:sz w:val="24"/>
          <w:szCs w:val="24"/>
          <w:highlight w:val="yellow"/>
        </w:rPr>
        <w:t xml:space="preserve"> </w:t>
      </w:r>
      <w:r w:rsidRPr="00D5230C">
        <w:rPr>
          <w:sz w:val="24"/>
          <w:szCs w:val="24"/>
        </w:rPr>
        <w:t xml:space="preserve"> </w:t>
      </w:r>
    </w:p>
    <w:p w:rsidR="005C488C" w:rsidRDefault="005C488C" w:rsidP="005C488C">
      <w:r>
        <w:br w:type="page"/>
      </w:r>
    </w:p>
    <w:p w:rsidR="005C488C" w:rsidRDefault="005C488C" w:rsidP="005C488C">
      <w:r>
        <w:lastRenderedPageBreak/>
        <w:t>Supplemental Figure 1</w:t>
      </w:r>
    </w:p>
    <w:p w:rsidR="005C488C" w:rsidRDefault="005C488C" w:rsidP="005C488C">
      <w:r w:rsidRPr="00646F97">
        <w:rPr>
          <w:noProof/>
        </w:rPr>
        <w:drawing>
          <wp:inline distT="0" distB="0" distL="0" distR="0" wp14:anchorId="31FF4B36" wp14:editId="29F5236C">
            <wp:extent cx="5943600" cy="60464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6046470"/>
                    </a:xfrm>
                    <a:prstGeom prst="rect">
                      <a:avLst/>
                    </a:prstGeom>
                    <a:noFill/>
                    <a:ln>
                      <a:noFill/>
                    </a:ln>
                  </pic:spPr>
                </pic:pic>
              </a:graphicData>
            </a:graphic>
          </wp:inline>
        </w:drawing>
      </w:r>
    </w:p>
    <w:p w:rsidR="005C488C" w:rsidRDefault="005C488C" w:rsidP="005C488C">
      <w:r>
        <w:br w:type="page"/>
      </w:r>
    </w:p>
    <w:p w:rsidR="005C488C" w:rsidRDefault="005C488C" w:rsidP="005C488C">
      <w:r>
        <w:lastRenderedPageBreak/>
        <w:t>Supplemental Figure 2</w:t>
      </w:r>
    </w:p>
    <w:p w:rsidR="00E81037" w:rsidRDefault="00E81037"/>
    <w:sectPr w:rsidR="00E810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88C"/>
    <w:rsid w:val="005C488C"/>
    <w:rsid w:val="00E81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84D1C9-CBB0-4BB0-A11A-D652410F6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488C"/>
    <w:pPr>
      <w:spacing w:after="200" w:line="276"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667</Words>
  <Characters>3806</Characters>
  <Application>Microsoft Office Word</Application>
  <DocSecurity>0</DocSecurity>
  <Lines>31</Lines>
  <Paragraphs>8</Paragraphs>
  <ScaleCrop>false</ScaleCrop>
  <Company>Springer Nature</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2022-03-07T08:35:00Z</dcterms:created>
  <dcterms:modified xsi:type="dcterms:W3CDTF">2022-03-07T08:35:00Z</dcterms:modified>
</cp:coreProperties>
</file>