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F870B1" w14:textId="63367803" w:rsidR="00205D98" w:rsidRPr="00205D98" w:rsidRDefault="00205D98" w:rsidP="00205D98">
      <w:pPr>
        <w:spacing w:line="480" w:lineRule="auto"/>
        <w:rPr>
          <w:rFonts w:ascii="Gill Sans MT" w:hAnsi="Gill Sans MT"/>
          <w:b/>
          <w:bCs/>
          <w:sz w:val="36"/>
          <w:szCs w:val="36"/>
        </w:rPr>
      </w:pPr>
      <w:r w:rsidRPr="00447F51">
        <w:rPr>
          <w:rFonts w:ascii="Gill Sans MT" w:hAnsi="Gill Sans MT"/>
          <w:b/>
          <w:bCs/>
          <w:sz w:val="36"/>
          <w:szCs w:val="36"/>
        </w:rPr>
        <w:t xml:space="preserve">Physician associate/assistant </w:t>
      </w:r>
      <w:r w:rsidRPr="007744F3">
        <w:rPr>
          <w:rFonts w:ascii="Gill Sans MT" w:hAnsi="Gill Sans MT"/>
          <w:b/>
          <w:bCs/>
          <w:sz w:val="36"/>
          <w:szCs w:val="36"/>
        </w:rPr>
        <w:t xml:space="preserve">impacts on cancer diagnosis in primary care: A systematic review </w:t>
      </w:r>
    </w:p>
    <w:p w14:paraId="37082C8A" w14:textId="77777777" w:rsidR="00205D98" w:rsidRPr="007744F3" w:rsidRDefault="00205D98" w:rsidP="00205D98">
      <w:pPr>
        <w:spacing w:line="480" w:lineRule="auto"/>
        <w:rPr>
          <w:rFonts w:ascii="Gill Sans MT" w:hAnsi="Gill Sans MT"/>
          <w:b/>
          <w:bCs/>
        </w:rPr>
      </w:pPr>
      <w:r w:rsidRPr="007744F3">
        <w:rPr>
          <w:rFonts w:ascii="Gill Sans MT" w:hAnsi="Gill Sans MT"/>
          <w:b/>
          <w:bCs/>
        </w:rPr>
        <w:t>AUTHORS</w:t>
      </w:r>
    </w:p>
    <w:p w14:paraId="4FA175BC" w14:textId="77777777" w:rsidR="00205D98" w:rsidRPr="007744F3" w:rsidRDefault="00205D98" w:rsidP="00205D98">
      <w:pPr>
        <w:spacing w:line="480" w:lineRule="auto"/>
        <w:rPr>
          <w:rFonts w:ascii="Gill Sans MT" w:hAnsi="Gill Sans MT"/>
        </w:rPr>
      </w:pPr>
      <w:r w:rsidRPr="007744F3">
        <w:rPr>
          <w:rFonts w:ascii="Gill Sans MT" w:hAnsi="Gill Sans MT"/>
        </w:rPr>
        <w:t xml:space="preserve">Jessica Sheringham, </w:t>
      </w:r>
      <w:r w:rsidRPr="007744F3">
        <w:rPr>
          <w:rFonts w:ascii="Gill Sans MT" w:eastAsia="Times New Roman" w:hAnsi="Gill Sans MT" w:cs="Times New Roman"/>
          <w:lang w:eastAsia="en-GB"/>
        </w:rPr>
        <w:t>Department of Applied Health Research, UCL, 1-19 Torrington Place, London, WC1E 7HB, UK</w:t>
      </w:r>
    </w:p>
    <w:p w14:paraId="002E91B4" w14:textId="65202DC2" w:rsidR="00205D98" w:rsidRPr="007744F3" w:rsidRDefault="00205D98" w:rsidP="00205D98">
      <w:pPr>
        <w:spacing w:line="480" w:lineRule="auto"/>
        <w:rPr>
          <w:rFonts w:ascii="Gill Sans MT" w:hAnsi="Gill Sans MT"/>
        </w:rPr>
      </w:pPr>
      <w:r w:rsidRPr="007744F3">
        <w:rPr>
          <w:rFonts w:ascii="Gill Sans MT" w:hAnsi="Gill Sans MT"/>
        </w:rPr>
        <w:t>Angela King, NIHR Cancer Awareness, Screening and Early Diagnosis Policy Research Unit</w:t>
      </w:r>
      <w:r w:rsidR="00DB2AA6">
        <w:rPr>
          <w:rFonts w:ascii="Gill Sans MT" w:hAnsi="Gill Sans MT"/>
        </w:rPr>
        <w:t xml:space="preserve">, </w:t>
      </w:r>
      <w:r w:rsidR="00DB2AA6">
        <w:rPr>
          <w:rFonts w:ascii="Gill Sans MT" w:hAnsi="Gill Sans MT"/>
        </w:rPr>
        <w:t>Queen Mary University of London</w:t>
      </w:r>
      <w:r w:rsidRPr="007744F3">
        <w:rPr>
          <w:rFonts w:ascii="Gill Sans MT" w:hAnsi="Gill Sans MT"/>
        </w:rPr>
        <w:t xml:space="preserve"> </w:t>
      </w:r>
    </w:p>
    <w:p w14:paraId="3FB30094" w14:textId="5129FD1D" w:rsidR="00DB2AA6" w:rsidRPr="00DB2AA6" w:rsidRDefault="00205D98" w:rsidP="00205D98">
      <w:pPr>
        <w:spacing w:line="480" w:lineRule="auto"/>
        <w:rPr>
          <w:rFonts w:ascii="Gill Sans MT" w:eastAsia="Times New Roman" w:hAnsi="Gill Sans MT" w:cs="Times New Roman"/>
          <w:lang w:eastAsia="en-GB"/>
        </w:rPr>
      </w:pPr>
      <w:r w:rsidRPr="007744F3">
        <w:rPr>
          <w:rFonts w:ascii="Gill Sans MT" w:hAnsi="Gill Sans MT"/>
        </w:rPr>
        <w:t xml:space="preserve">Ruth Plackett, </w:t>
      </w:r>
      <w:r w:rsidRPr="007744F3">
        <w:rPr>
          <w:rFonts w:ascii="Gill Sans MT" w:eastAsia="Times New Roman" w:hAnsi="Gill Sans MT" w:cs="Times New Roman"/>
          <w:lang w:eastAsia="en-GB"/>
        </w:rPr>
        <w:t>Department of Applied Health Research, UCL</w:t>
      </w:r>
    </w:p>
    <w:p w14:paraId="1306D0F1" w14:textId="77777777" w:rsidR="00205D98" w:rsidRPr="007744F3" w:rsidRDefault="00205D98" w:rsidP="00205D98">
      <w:pPr>
        <w:spacing w:line="480" w:lineRule="auto"/>
        <w:rPr>
          <w:rFonts w:ascii="Gill Sans MT" w:hAnsi="Gill Sans MT"/>
        </w:rPr>
      </w:pPr>
      <w:r w:rsidRPr="007744F3">
        <w:rPr>
          <w:rFonts w:ascii="Gill Sans MT" w:hAnsi="Gill Sans MT"/>
        </w:rPr>
        <w:t xml:space="preserve">Anwar Khan, </w:t>
      </w:r>
      <w:r w:rsidRPr="00447F51">
        <w:rPr>
          <w:rFonts w:ascii="Gill Sans MT" w:hAnsi="Gill Sans MT" w:cs="Arial"/>
          <w:shd w:val="clear" w:color="auto" w:fill="FFFFFF"/>
        </w:rPr>
        <w:t xml:space="preserve">Director </w:t>
      </w:r>
      <w:r w:rsidRPr="007744F3">
        <w:rPr>
          <w:rFonts w:ascii="Gill Sans MT" w:hAnsi="Gill Sans MT"/>
        </w:rPr>
        <w:t>of Research &amp; Education, Waltham Forest CCG</w:t>
      </w:r>
    </w:p>
    <w:p w14:paraId="078A723F" w14:textId="77777777" w:rsidR="00205D98" w:rsidRPr="007744F3" w:rsidRDefault="00205D98" w:rsidP="00205D98">
      <w:pPr>
        <w:spacing w:line="480" w:lineRule="auto"/>
        <w:rPr>
          <w:rFonts w:ascii="Gill Sans MT" w:hAnsi="Gill Sans MT"/>
        </w:rPr>
      </w:pPr>
      <w:r w:rsidRPr="007744F3">
        <w:rPr>
          <w:rFonts w:ascii="Gill Sans MT" w:hAnsi="Gill Sans MT"/>
        </w:rPr>
        <w:t>Michelle Cornes, NIHR Health &amp; Social Care Workforce Research Unit, King’s College London</w:t>
      </w:r>
    </w:p>
    <w:p w14:paraId="654D8580" w14:textId="7C950BE0" w:rsidR="00205D98" w:rsidRDefault="00205D98" w:rsidP="00205D98">
      <w:pPr>
        <w:spacing w:line="480" w:lineRule="auto"/>
        <w:rPr>
          <w:rFonts w:ascii="Gill Sans MT" w:eastAsia="Times New Roman" w:hAnsi="Gill Sans MT" w:cs="Times New Roman"/>
          <w:lang w:eastAsia="en-GB"/>
        </w:rPr>
      </w:pPr>
      <w:r w:rsidRPr="007744F3">
        <w:rPr>
          <w:rFonts w:ascii="Gill Sans MT" w:hAnsi="Gill Sans MT"/>
        </w:rPr>
        <w:t xml:space="preserve">Angelos </w:t>
      </w:r>
      <w:r>
        <w:rPr>
          <w:rFonts w:ascii="Gill Sans MT" w:hAnsi="Gill Sans MT"/>
        </w:rPr>
        <w:t xml:space="preserve">P </w:t>
      </w:r>
      <w:r w:rsidRPr="007744F3">
        <w:rPr>
          <w:rFonts w:ascii="Gill Sans MT" w:hAnsi="Gill Sans MT"/>
        </w:rPr>
        <w:t xml:space="preserve">Kassianos, </w:t>
      </w:r>
      <w:r w:rsidRPr="007744F3">
        <w:rPr>
          <w:rFonts w:ascii="Gill Sans MT" w:eastAsia="Times New Roman" w:hAnsi="Gill Sans MT" w:cs="Times New Roman"/>
          <w:lang w:eastAsia="en-GB"/>
        </w:rPr>
        <w:t>Department of Applied Health Research, UCL</w:t>
      </w:r>
    </w:p>
    <w:p w14:paraId="7CF59D3D" w14:textId="77777777" w:rsidR="00DB2AA6" w:rsidRPr="007744F3" w:rsidRDefault="00DB2AA6" w:rsidP="00205D98">
      <w:pPr>
        <w:spacing w:line="480" w:lineRule="auto"/>
        <w:rPr>
          <w:rFonts w:ascii="Gill Sans MT" w:hAnsi="Gill Sans MT"/>
        </w:rPr>
      </w:pPr>
    </w:p>
    <w:p w14:paraId="6A076EBF" w14:textId="77777777" w:rsidR="00205D98" w:rsidRPr="007744F3" w:rsidRDefault="00205D98" w:rsidP="00205D98">
      <w:pPr>
        <w:spacing w:line="480" w:lineRule="auto"/>
        <w:rPr>
          <w:rFonts w:ascii="Gill Sans MT" w:hAnsi="Gill Sans MT" w:cstheme="minorHAnsi"/>
          <w:b/>
        </w:rPr>
      </w:pPr>
    </w:p>
    <w:p w14:paraId="3A309358" w14:textId="77777777" w:rsidR="00205D98" w:rsidRPr="007744F3" w:rsidRDefault="00205D98" w:rsidP="00205D98">
      <w:pPr>
        <w:spacing w:after="0" w:line="480" w:lineRule="auto"/>
        <w:rPr>
          <w:rFonts w:ascii="Gill Sans MT" w:hAnsi="Gill Sans MT"/>
        </w:rPr>
      </w:pPr>
      <w:r w:rsidRPr="007744F3">
        <w:rPr>
          <w:rFonts w:ascii="Gill Sans MT" w:hAnsi="Gill Sans MT"/>
          <w:b/>
          <w:bCs/>
        </w:rPr>
        <w:t>Corresponding author:</w:t>
      </w:r>
      <w:r w:rsidRPr="007744F3">
        <w:rPr>
          <w:rFonts w:ascii="Gill Sans MT" w:hAnsi="Gill Sans MT"/>
        </w:rPr>
        <w:t xml:space="preserve"> Jessica Sheringham</w:t>
      </w:r>
    </w:p>
    <w:p w14:paraId="74915767" w14:textId="77777777" w:rsidR="00205D98" w:rsidRPr="007744F3" w:rsidRDefault="00205D98" w:rsidP="00205D98">
      <w:pPr>
        <w:spacing w:after="0" w:line="480" w:lineRule="auto"/>
        <w:rPr>
          <w:rFonts w:ascii="Gill Sans MT" w:hAnsi="Gill Sans MT"/>
        </w:rPr>
      </w:pPr>
      <w:r w:rsidRPr="007744F3">
        <w:rPr>
          <w:rFonts w:ascii="Gill Sans MT" w:hAnsi="Gill Sans MT"/>
        </w:rPr>
        <w:t>Department of Applied Health Research, UCL, 1-19 Torrington Place,</w:t>
      </w:r>
    </w:p>
    <w:p w14:paraId="06D312B7" w14:textId="77777777" w:rsidR="00205D98" w:rsidRPr="007744F3" w:rsidRDefault="00205D98" w:rsidP="00205D98">
      <w:pPr>
        <w:spacing w:after="0" w:line="480" w:lineRule="auto"/>
        <w:rPr>
          <w:rFonts w:ascii="Gill Sans MT" w:hAnsi="Gill Sans MT"/>
        </w:rPr>
      </w:pPr>
      <w:r w:rsidRPr="007744F3">
        <w:rPr>
          <w:rFonts w:ascii="Gill Sans MT" w:hAnsi="Gill Sans MT"/>
        </w:rPr>
        <w:t>14 London WC1E 7HB. Phone: +44 7919444064</w:t>
      </w:r>
    </w:p>
    <w:p w14:paraId="4893A53A" w14:textId="77777777" w:rsidR="00205D98" w:rsidRDefault="00205D98" w:rsidP="00205D98">
      <w:pPr>
        <w:spacing w:after="0" w:line="480" w:lineRule="auto"/>
        <w:rPr>
          <w:rFonts w:ascii="Gill Sans MT" w:hAnsi="Gill Sans MT"/>
        </w:rPr>
      </w:pPr>
      <w:r w:rsidRPr="007744F3">
        <w:rPr>
          <w:rFonts w:ascii="Gill Sans MT" w:hAnsi="Gill Sans MT"/>
        </w:rPr>
        <w:t xml:space="preserve">Email: j.sheringham@ucl.ac.uk </w:t>
      </w:r>
    </w:p>
    <w:p w14:paraId="37A4A236" w14:textId="1EEEC1F5" w:rsidR="00FC2518" w:rsidRPr="00205D98" w:rsidRDefault="00205D98" w:rsidP="00205D98">
      <w:pPr>
        <w:spacing w:after="0" w:line="480" w:lineRule="auto"/>
        <w:rPr>
          <w:rFonts w:ascii="Gill Sans MT" w:hAnsi="Gill Sans MT"/>
        </w:rPr>
      </w:pPr>
      <w:proofErr w:type="spellStart"/>
      <w:r w:rsidRPr="007744F3">
        <w:rPr>
          <w:rFonts w:ascii="Gill Sans MT" w:hAnsi="Gill Sans MT"/>
          <w:b/>
          <w:bCs/>
        </w:rPr>
        <w:t>MeSH</w:t>
      </w:r>
      <w:proofErr w:type="spellEnd"/>
      <w:r w:rsidRPr="007744F3">
        <w:rPr>
          <w:rFonts w:ascii="Gill Sans MT" w:hAnsi="Gill Sans MT"/>
          <w:b/>
          <w:bCs/>
        </w:rPr>
        <w:t xml:space="preserve"> terms:</w:t>
      </w:r>
      <w:r w:rsidRPr="007744F3">
        <w:rPr>
          <w:rFonts w:ascii="Gill Sans MT" w:hAnsi="Gill Sans MT"/>
        </w:rPr>
        <w:t xml:space="preserve"> Physician assistants; Early Detection of Cancer; General Practice; Primary Care; primary care physician</w:t>
      </w:r>
      <w:r>
        <w:rPr>
          <w:rFonts w:ascii="Gill Sans MT" w:hAnsi="Gill Sans MT" w:cstheme="minorHAnsi"/>
          <w:b/>
        </w:rPr>
        <w:t>s</w:t>
      </w:r>
    </w:p>
    <w:p w14:paraId="75BBB12B" w14:textId="77777777" w:rsidR="00205D98" w:rsidRDefault="00205D98" w:rsidP="00E84A6A">
      <w:pPr>
        <w:pStyle w:val="Heading2"/>
        <w:jc w:val="center"/>
      </w:pPr>
    </w:p>
    <w:p w14:paraId="60F165BB" w14:textId="77777777" w:rsidR="00205D98" w:rsidRDefault="00205D98" w:rsidP="00E84A6A">
      <w:pPr>
        <w:pStyle w:val="Heading2"/>
        <w:jc w:val="center"/>
      </w:pPr>
    </w:p>
    <w:p w14:paraId="3D028D66" w14:textId="77777777" w:rsidR="00205D98" w:rsidRDefault="00205D98" w:rsidP="00E84A6A">
      <w:pPr>
        <w:pStyle w:val="Heading2"/>
        <w:jc w:val="center"/>
      </w:pPr>
    </w:p>
    <w:p w14:paraId="449BFCB3" w14:textId="27D8A36E" w:rsidR="00537F37" w:rsidRPr="00205D98" w:rsidRDefault="0048365D" w:rsidP="00E84A6A">
      <w:pPr>
        <w:pStyle w:val="Heading2"/>
        <w:jc w:val="center"/>
        <w:rPr>
          <w:b/>
          <w:bCs/>
        </w:rPr>
      </w:pPr>
      <w:r w:rsidRPr="00205D98">
        <w:rPr>
          <w:b/>
          <w:bCs/>
        </w:rPr>
        <w:t>Supplementary data</w:t>
      </w:r>
    </w:p>
    <w:p w14:paraId="689023B7" w14:textId="51DCC738" w:rsidR="00537F37" w:rsidRDefault="00537F37" w:rsidP="00537F37">
      <w:pPr>
        <w:pStyle w:val="Heading2"/>
      </w:pPr>
    </w:p>
    <w:p w14:paraId="7CB70436" w14:textId="70973D2F" w:rsidR="00537F37" w:rsidRPr="00022387" w:rsidRDefault="00537F37" w:rsidP="00E84A6A">
      <w:pPr>
        <w:pStyle w:val="Heading3"/>
      </w:pPr>
      <w:r w:rsidRPr="00022387">
        <w:t xml:space="preserve">Search strategy </w:t>
      </w:r>
    </w:p>
    <w:p w14:paraId="1DC3C399" w14:textId="77777777" w:rsidR="00FC2518" w:rsidRPr="00137EA6" w:rsidRDefault="00FC2518" w:rsidP="00FC2518">
      <w:r>
        <w:t xml:space="preserve">V 1.6 </w:t>
      </w:r>
    </w:p>
    <w:p w14:paraId="14297891" w14:textId="3C400D67" w:rsidR="00537F37" w:rsidRDefault="00537F37" w:rsidP="00537F37">
      <w:r>
        <w:t xml:space="preserve">Run on OVID, </w:t>
      </w:r>
      <w:r w:rsidR="00FC2518">
        <w:t>11 November 2019,</w:t>
      </w:r>
      <w:r>
        <w:t xml:space="preserve"> repeated on EMBASE, </w:t>
      </w:r>
      <w:proofErr w:type="spellStart"/>
      <w:r>
        <w:t>WoS</w:t>
      </w:r>
      <w:proofErr w:type="spellEnd"/>
      <w:r>
        <w:t xml:space="preserve">, </w:t>
      </w:r>
      <w:r w:rsidR="00FC2518">
        <w:t xml:space="preserve">and </w:t>
      </w:r>
      <w:r>
        <w:t xml:space="preserve">CINAHL. </w:t>
      </w:r>
    </w:p>
    <w:p w14:paraId="16030A5A" w14:textId="77777777" w:rsidR="00537F37" w:rsidRDefault="00537F37" w:rsidP="00537F37">
      <w:r>
        <w:t xml:space="preserve">Database: Ovid MEDLINE(R) and </w:t>
      </w:r>
      <w:proofErr w:type="spellStart"/>
      <w:r>
        <w:t>Epub</w:t>
      </w:r>
      <w:proofErr w:type="spellEnd"/>
      <w:r>
        <w:t xml:space="preserve"> Ahead of Print, In-Process &amp; Other Non-Indexed Citations and Daily &lt;1946 to September 30, 2019&gt;</w:t>
      </w:r>
    </w:p>
    <w:p w14:paraId="0DB0D09A" w14:textId="77777777" w:rsidR="00537F37" w:rsidRDefault="00537F37" w:rsidP="00537F37">
      <w:r>
        <w:t>--------------------------------------------------------------------------------</w:t>
      </w:r>
    </w:p>
    <w:p w14:paraId="533F565F" w14:textId="77777777" w:rsidR="00537F37" w:rsidRDefault="00537F37" w:rsidP="00537F37">
      <w:r>
        <w:t>1     diagnosis/ or clinical decision-making/ or delayed diagnosis/ or diagnostic errors/ or diagnostic imaging/ or diagnostic techniques, cardiovascular/ or diagnostic techniques, digestive system/ or diagnostic techniques, respiratory system/ or diagnostic tests, routine/ or mass screening/ or medical history taking/ or physical examination/ or symptom assessment/ or early diagnosis/ or incidental findings/ (299333)</w:t>
      </w:r>
    </w:p>
    <w:p w14:paraId="3FE15DB8" w14:textId="77777777" w:rsidR="00537F37" w:rsidRDefault="00537F37" w:rsidP="00537F37">
      <w:r>
        <w:t>2     Mammography/ (28995)</w:t>
      </w:r>
    </w:p>
    <w:p w14:paraId="43D52234" w14:textId="77777777" w:rsidR="00537F37" w:rsidRDefault="00537F37" w:rsidP="00537F37">
      <w:r>
        <w:t>3     (digital rectal examination or prostate specific antigen test or PSA test).</w:t>
      </w:r>
      <w:proofErr w:type="spellStart"/>
      <w:r>
        <w:t>tw</w:t>
      </w:r>
      <w:proofErr w:type="spellEnd"/>
      <w:r>
        <w:t>. (4747)</w:t>
      </w:r>
    </w:p>
    <w:p w14:paraId="628DEDDE" w14:textId="77777777" w:rsidR="00537F37" w:rsidRDefault="00537F37" w:rsidP="00537F37">
      <w:r>
        <w:t xml:space="preserve">4     (rectal palpations or rectal palpation or palpation rectal examinations or digital rectal examination or digital rectal or digital rectal examinations or </w:t>
      </w:r>
      <w:proofErr w:type="spellStart"/>
      <w:r>
        <w:t>dre</w:t>
      </w:r>
      <w:proofErr w:type="spellEnd"/>
      <w:r>
        <w:t>).</w:t>
      </w:r>
      <w:proofErr w:type="spellStart"/>
      <w:r>
        <w:t>mp</w:t>
      </w:r>
      <w:proofErr w:type="spellEnd"/>
      <w:r>
        <w:t>. [</w:t>
      </w:r>
      <w:proofErr w:type="spellStart"/>
      <w:r>
        <w:t>mp</w:t>
      </w:r>
      <w:proofErr w:type="spellEnd"/>
      <w:r>
        <w:t>=title, abstract, original title, name of substance word, subject heading word, floating sub-heading word, keyword heading word, organism supplementary concept word, protocol supplementary concept word, rare disease supplementary concept word, unique identifier, synonyms] (6665)</w:t>
      </w:r>
    </w:p>
    <w:p w14:paraId="79EB5AB3" w14:textId="77777777" w:rsidR="00537F37" w:rsidRDefault="00537F37" w:rsidP="00537F37">
      <w:r>
        <w:t>5     (((</w:t>
      </w:r>
      <w:proofErr w:type="spellStart"/>
      <w:r>
        <w:t>fecal</w:t>
      </w:r>
      <w:proofErr w:type="spellEnd"/>
      <w:r>
        <w:t xml:space="preserve"> or faecal) and (immunochemical or occult)) or FOBT).</w:t>
      </w:r>
      <w:proofErr w:type="spellStart"/>
      <w:r>
        <w:t>tw</w:t>
      </w:r>
      <w:proofErr w:type="spellEnd"/>
      <w:r>
        <w:t>. (4958)</w:t>
      </w:r>
    </w:p>
    <w:p w14:paraId="55038B4C" w14:textId="77777777" w:rsidR="00537F37" w:rsidRDefault="00537F37" w:rsidP="00537F37">
      <w:r>
        <w:t>6     immunoassay/ or enzyme-linked immunosorbent assay/ or enzyme multiplied immunoassay technique/ (173008)</w:t>
      </w:r>
    </w:p>
    <w:p w14:paraId="0403CFA2" w14:textId="77777777" w:rsidR="00537F37" w:rsidRDefault="00537F37" w:rsidP="00537F37">
      <w:r>
        <w:t>7     (</w:t>
      </w:r>
      <w:proofErr w:type="spellStart"/>
      <w:r>
        <w:t>fecal</w:t>
      </w:r>
      <w:proofErr w:type="spellEnd"/>
      <w:r>
        <w:t xml:space="preserve"> or faecal).</w:t>
      </w:r>
      <w:proofErr w:type="spellStart"/>
      <w:r>
        <w:t>tw</w:t>
      </w:r>
      <w:proofErr w:type="spellEnd"/>
      <w:r>
        <w:t>. (78349)</w:t>
      </w:r>
    </w:p>
    <w:p w14:paraId="21413858" w14:textId="77777777" w:rsidR="00537F37" w:rsidRDefault="00537F37" w:rsidP="00537F37">
      <w:r>
        <w:t>8     6 and 7 (2016)</w:t>
      </w:r>
    </w:p>
    <w:p w14:paraId="5E1B4E2D" w14:textId="77777777" w:rsidR="00537F37" w:rsidRDefault="00537F37" w:rsidP="00537F37">
      <w:r>
        <w:t>9     5 or 8 (6904)</w:t>
      </w:r>
    </w:p>
    <w:p w14:paraId="5892F5C1" w14:textId="77777777" w:rsidR="00537F37" w:rsidRDefault="00537F37" w:rsidP="00537F37">
      <w:r>
        <w:t xml:space="preserve">10     (screening* or screen* or </w:t>
      </w:r>
      <w:proofErr w:type="spellStart"/>
      <w:r>
        <w:t>diagnos</w:t>
      </w:r>
      <w:proofErr w:type="spellEnd"/>
      <w:r>
        <w:t xml:space="preserve">* or detect* or work up or assessment or evaluation or workup or recognise or </w:t>
      </w:r>
      <w:proofErr w:type="spellStart"/>
      <w:r>
        <w:t>recogniz</w:t>
      </w:r>
      <w:proofErr w:type="spellEnd"/>
      <w:r>
        <w:t>*).</w:t>
      </w:r>
      <w:proofErr w:type="spellStart"/>
      <w:r>
        <w:t>tw</w:t>
      </w:r>
      <w:proofErr w:type="spellEnd"/>
      <w:r>
        <w:t>. (6250063)</w:t>
      </w:r>
    </w:p>
    <w:p w14:paraId="18EACC0D" w14:textId="77777777" w:rsidR="00537F37" w:rsidRDefault="00537F37" w:rsidP="00537F37">
      <w:r>
        <w:t>11     "Referral and Consultation"/ (64012)</w:t>
      </w:r>
    </w:p>
    <w:p w14:paraId="02A2C786" w14:textId="77777777" w:rsidR="00537F37" w:rsidRDefault="00537F37" w:rsidP="00537F37">
      <w:r>
        <w:t>12     (consultation* or clinical decision making or clinical reasoning or clinical judgement or clinical consulting).</w:t>
      </w:r>
      <w:proofErr w:type="spellStart"/>
      <w:r>
        <w:t>tw</w:t>
      </w:r>
      <w:proofErr w:type="spellEnd"/>
      <w:r>
        <w:t>. (91126)</w:t>
      </w:r>
    </w:p>
    <w:p w14:paraId="39CD0705" w14:textId="77777777" w:rsidR="00537F37" w:rsidRDefault="00537F37" w:rsidP="00537F37">
      <w:r>
        <w:t>13     (</w:t>
      </w:r>
      <w:proofErr w:type="spellStart"/>
      <w:r>
        <w:t>endoscop</w:t>
      </w:r>
      <w:proofErr w:type="spellEnd"/>
      <w:r>
        <w:t xml:space="preserve">* or </w:t>
      </w:r>
      <w:proofErr w:type="spellStart"/>
      <w:r>
        <w:t>colonoscop</w:t>
      </w:r>
      <w:proofErr w:type="spellEnd"/>
      <w:r>
        <w:t xml:space="preserve">* or </w:t>
      </w:r>
      <w:proofErr w:type="spellStart"/>
      <w:r>
        <w:t>sigmoidoscop</w:t>
      </w:r>
      <w:proofErr w:type="spellEnd"/>
      <w:r>
        <w:t xml:space="preserve">* or </w:t>
      </w:r>
      <w:proofErr w:type="spellStart"/>
      <w:r>
        <w:t>mammogra</w:t>
      </w:r>
      <w:proofErr w:type="spellEnd"/>
      <w:r>
        <w:t>*).</w:t>
      </w:r>
      <w:proofErr w:type="spellStart"/>
      <w:r>
        <w:t>tw</w:t>
      </w:r>
      <w:proofErr w:type="spellEnd"/>
      <w:r>
        <w:t>. (247298)</w:t>
      </w:r>
    </w:p>
    <w:p w14:paraId="09930C29" w14:textId="77777777" w:rsidR="00537F37" w:rsidRDefault="00537F37" w:rsidP="00537F37">
      <w:r>
        <w:t>14     (</w:t>
      </w:r>
      <w:proofErr w:type="spellStart"/>
      <w:r>
        <w:t>xray</w:t>
      </w:r>
      <w:proofErr w:type="spellEnd"/>
      <w:r>
        <w:t xml:space="preserve"> or x ray or x-ray).</w:t>
      </w:r>
      <w:proofErr w:type="spellStart"/>
      <w:r>
        <w:t>tw</w:t>
      </w:r>
      <w:proofErr w:type="spellEnd"/>
      <w:r>
        <w:t>. (311894)</w:t>
      </w:r>
    </w:p>
    <w:p w14:paraId="694633FE" w14:textId="77777777" w:rsidR="00537F37" w:rsidRDefault="00537F37" w:rsidP="00537F37">
      <w:r>
        <w:lastRenderedPageBreak/>
        <w:t>15     (history taking or referral* or physical examination).</w:t>
      </w:r>
      <w:proofErr w:type="spellStart"/>
      <w:r>
        <w:t>tw</w:t>
      </w:r>
      <w:proofErr w:type="spellEnd"/>
      <w:r>
        <w:t>. (161318)</w:t>
      </w:r>
    </w:p>
    <w:p w14:paraId="454592D5" w14:textId="77777777" w:rsidR="00537F37" w:rsidRDefault="00537F37" w:rsidP="00537F37">
      <w:r>
        <w:t xml:space="preserve">16     (computed </w:t>
      </w:r>
      <w:proofErr w:type="spellStart"/>
      <w:r>
        <w:t>tomograph</w:t>
      </w:r>
      <w:proofErr w:type="spellEnd"/>
      <w:r>
        <w:t xml:space="preserve">* or CT scan or </w:t>
      </w:r>
      <w:proofErr w:type="spellStart"/>
      <w:r>
        <w:t>ct</w:t>
      </w:r>
      <w:proofErr w:type="spellEnd"/>
      <w:r>
        <w:t xml:space="preserve"> scan or computerized tomography).</w:t>
      </w:r>
      <w:proofErr w:type="spellStart"/>
      <w:r>
        <w:t>tw</w:t>
      </w:r>
      <w:proofErr w:type="spellEnd"/>
      <w:r>
        <w:t>. (305186)</w:t>
      </w:r>
    </w:p>
    <w:p w14:paraId="191EBD03" w14:textId="77777777" w:rsidR="00537F37" w:rsidRDefault="00537F37" w:rsidP="00537F37">
      <w:r>
        <w:t>17     early diagnosis/ or "early detection of cancer"/ (47177)</w:t>
      </w:r>
    </w:p>
    <w:p w14:paraId="4B45E871" w14:textId="77777777" w:rsidR="00537F37" w:rsidRDefault="00537F37" w:rsidP="00537F37">
      <w:r>
        <w:t>18     ((detect* or diagnosis) and earl*).</w:t>
      </w:r>
      <w:proofErr w:type="spellStart"/>
      <w:r>
        <w:t>tw</w:t>
      </w:r>
      <w:proofErr w:type="spellEnd"/>
      <w:r>
        <w:t>. (431217)</w:t>
      </w:r>
    </w:p>
    <w:p w14:paraId="53F31469" w14:textId="77777777" w:rsidR="00537F37" w:rsidRDefault="00537F37" w:rsidP="00537F37">
      <w:r>
        <w:t>19     (endoscopy or sigmoidoscopy or colonoscopy or mammography or x ray).sh. (107613)</w:t>
      </w:r>
    </w:p>
    <w:p w14:paraId="2F62E66C" w14:textId="77777777" w:rsidR="00537F37" w:rsidRDefault="00537F37" w:rsidP="00537F37">
      <w:r>
        <w:t>20     1 or 2 or 3 or 4 or 5 or 6 or 7 or 8 or 9 or 10 or 11 or 12 or 13 or 14 or 15 or 16 or 17 or 18 or 19 (7073977)</w:t>
      </w:r>
    </w:p>
    <w:p w14:paraId="002E94C1" w14:textId="77777777" w:rsidR="00537F37" w:rsidRDefault="00537F37" w:rsidP="00537F37">
      <w:r>
        <w:t>21     physician assistant {Including Related Terms} (5653)</w:t>
      </w:r>
    </w:p>
    <w:p w14:paraId="160D6996" w14:textId="77777777" w:rsidR="00537F37" w:rsidRDefault="00537F37" w:rsidP="00537F37">
      <w:r>
        <w:t>22     Physician Assistants/ (5437)</w:t>
      </w:r>
    </w:p>
    <w:p w14:paraId="1B985F2F" w14:textId="77777777" w:rsidR="00537F37" w:rsidRDefault="00537F37" w:rsidP="00537F37">
      <w:r>
        <w:t>23     ((assistant or associate) and physician).</w:t>
      </w:r>
      <w:proofErr w:type="spellStart"/>
      <w:r>
        <w:t>tw</w:t>
      </w:r>
      <w:proofErr w:type="spellEnd"/>
      <w:r>
        <w:t>. (2282)</w:t>
      </w:r>
    </w:p>
    <w:p w14:paraId="3F885F0E" w14:textId="77777777" w:rsidR="00537F37" w:rsidRDefault="00537F37" w:rsidP="00537F37">
      <w:r>
        <w:t>24     ((medical or doctor*) and assistant).</w:t>
      </w:r>
      <w:proofErr w:type="spellStart"/>
      <w:r>
        <w:t>tw</w:t>
      </w:r>
      <w:proofErr w:type="spellEnd"/>
      <w:r>
        <w:t>. (3013)</w:t>
      </w:r>
    </w:p>
    <w:p w14:paraId="20E91C90" w14:textId="0CB80392" w:rsidR="00537F37" w:rsidRDefault="00FC2518" w:rsidP="00FC2518">
      <w:r>
        <w:t>25</w:t>
      </w:r>
      <w:r w:rsidR="00537F37">
        <w:t xml:space="preserve">     (feldsher or physician extender or physician's extender).</w:t>
      </w:r>
      <w:proofErr w:type="spellStart"/>
      <w:r w:rsidR="00537F37">
        <w:t>tw</w:t>
      </w:r>
      <w:proofErr w:type="spellEnd"/>
      <w:r w:rsidR="00537F37">
        <w:t>. (434)</w:t>
      </w:r>
    </w:p>
    <w:p w14:paraId="29F9797C" w14:textId="1AA249F7" w:rsidR="00537F37" w:rsidRDefault="00FC2518" w:rsidP="00FC2518">
      <w:r>
        <w:t>26     21</w:t>
      </w:r>
      <w:r w:rsidR="00537F37">
        <w:t xml:space="preserve"> or </w:t>
      </w:r>
      <w:r>
        <w:t>22 or 23 or 24 or 25</w:t>
      </w:r>
      <w:r w:rsidR="00537F37">
        <w:t xml:space="preserve"> (9138)</w:t>
      </w:r>
    </w:p>
    <w:p w14:paraId="62B65439" w14:textId="7D425B5C" w:rsidR="00537F37" w:rsidRDefault="00FC2518" w:rsidP="00FC2518">
      <w:r>
        <w:t>27</w:t>
      </w:r>
      <w:r w:rsidR="00537F37">
        <w:t xml:space="preserve">     20 and </w:t>
      </w:r>
      <w:r>
        <w:t>26</w:t>
      </w:r>
      <w:r w:rsidR="00537F37">
        <w:t xml:space="preserve"> (419)</w:t>
      </w:r>
    </w:p>
    <w:p w14:paraId="07CA082B" w14:textId="0426BA44" w:rsidR="00537F37" w:rsidRDefault="00FC2518" w:rsidP="00FC2518">
      <w:r>
        <w:t xml:space="preserve">28    </w:t>
      </w:r>
      <w:r w:rsidR="00537F37">
        <w:t>(sign or symptom or red flag).</w:t>
      </w:r>
      <w:proofErr w:type="spellStart"/>
      <w:r w:rsidR="00537F37">
        <w:t>tw</w:t>
      </w:r>
      <w:proofErr w:type="spellEnd"/>
      <w:r w:rsidR="00537F37">
        <w:t>. (274091)</w:t>
      </w:r>
    </w:p>
    <w:p w14:paraId="6CA81DF4" w14:textId="75CBCD57" w:rsidR="00537F37" w:rsidRDefault="00FC2518" w:rsidP="00FC2518">
      <w:r>
        <w:t xml:space="preserve">29    </w:t>
      </w:r>
      <w:r w:rsidR="00537F37">
        <w:t xml:space="preserve">(cancer or </w:t>
      </w:r>
      <w:proofErr w:type="spellStart"/>
      <w:r w:rsidR="00537F37">
        <w:t>malignan</w:t>
      </w:r>
      <w:proofErr w:type="spellEnd"/>
      <w:r w:rsidR="00537F37">
        <w:t>*).</w:t>
      </w:r>
      <w:proofErr w:type="spellStart"/>
      <w:r w:rsidR="00537F37">
        <w:t>tw</w:t>
      </w:r>
      <w:proofErr w:type="spellEnd"/>
      <w:r w:rsidR="00537F37">
        <w:t>. (1958447)</w:t>
      </w:r>
    </w:p>
    <w:p w14:paraId="08920CA9" w14:textId="3F034093" w:rsidR="00537F37" w:rsidRDefault="00FC2518" w:rsidP="00FC2518">
      <w:r>
        <w:t>30</w:t>
      </w:r>
      <w:r w:rsidR="00537F37">
        <w:t xml:space="preserve">     33 or 34 (2205746)</w:t>
      </w:r>
    </w:p>
    <w:p w14:paraId="65FC5BFA" w14:textId="6B4AC724" w:rsidR="00537F37" w:rsidRDefault="00537F37" w:rsidP="00E84A6A">
      <w:pPr>
        <w:pStyle w:val="ListParagraph"/>
        <w:numPr>
          <w:ilvl w:val="0"/>
          <w:numId w:val="5"/>
        </w:numPr>
      </w:pPr>
      <w:r>
        <w:t xml:space="preserve"> </w:t>
      </w:r>
      <w:r w:rsidR="00FC2518">
        <w:t xml:space="preserve">  27 and 30</w:t>
      </w:r>
      <w:r>
        <w:t xml:space="preserve"> (54)</w:t>
      </w:r>
    </w:p>
    <w:p w14:paraId="1D616295" w14:textId="36EF42D2" w:rsidR="00A3158A" w:rsidRDefault="00A3158A">
      <w:pPr>
        <w:jc w:val="left"/>
      </w:pPr>
      <w:r>
        <w:br w:type="page"/>
      </w:r>
    </w:p>
    <w:p w14:paraId="2E55E41F" w14:textId="77777777" w:rsidR="00A3158A" w:rsidRDefault="00A3158A" w:rsidP="00A3158A">
      <w:pPr>
        <w:pStyle w:val="Heading3"/>
        <w:numPr>
          <w:ilvl w:val="0"/>
          <w:numId w:val="2"/>
        </w:numPr>
        <w:sectPr w:rsidR="00A3158A" w:rsidSect="00A3158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EA47711" w14:textId="2D5310BD" w:rsidR="00A3158A" w:rsidRDefault="00A3158A" w:rsidP="00E84A6A">
      <w:pPr>
        <w:pStyle w:val="Heading3"/>
      </w:pPr>
    </w:p>
    <w:p w14:paraId="5A39D882" w14:textId="30A054F6" w:rsidR="00E84A6A" w:rsidRDefault="00E84A6A" w:rsidP="00E84A6A">
      <w:pPr>
        <w:pStyle w:val="Heading2"/>
      </w:pPr>
      <w:r>
        <w:t>Risk of bias and other concerns that limit studies’ applicability to this review</w:t>
      </w:r>
    </w:p>
    <w:p w14:paraId="7833E9FC" w14:textId="77777777" w:rsidR="00E84A6A" w:rsidRDefault="00E84A6A" w:rsidP="00E84A6A">
      <w:r>
        <w:t xml:space="preserve">During critical appraisal, limitations in study design and conduct were recorded. Studies deemed to have a high risk of bias were excluded from a quantitative summary of study findings. </w:t>
      </w:r>
    </w:p>
    <w:p w14:paraId="1372DB80" w14:textId="77777777" w:rsidR="00A3158A" w:rsidRDefault="00A3158A" w:rsidP="00A3158A"/>
    <w:tbl>
      <w:tblPr>
        <w:tblStyle w:val="TableGrid"/>
        <w:tblW w:w="4876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1556"/>
        <w:gridCol w:w="5242"/>
        <w:gridCol w:w="993"/>
        <w:gridCol w:w="3118"/>
        <w:gridCol w:w="2693"/>
      </w:tblGrid>
      <w:tr w:rsidR="00A3158A" w:rsidRPr="005968C0" w14:paraId="2DFB8696" w14:textId="77777777" w:rsidTr="002A3013">
        <w:trPr>
          <w:trHeight w:val="300"/>
        </w:trPr>
        <w:tc>
          <w:tcPr>
            <w:tcW w:w="572" w:type="pct"/>
            <w:noWrap/>
            <w:vAlign w:val="center"/>
          </w:tcPr>
          <w:p w14:paraId="385B832F" w14:textId="77777777" w:rsidR="00A3158A" w:rsidRPr="005968C0" w:rsidRDefault="00A3158A" w:rsidP="002A3013">
            <w:pP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5968C0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Auth, date</w:t>
            </w:r>
          </w:p>
        </w:tc>
        <w:tc>
          <w:tcPr>
            <w:tcW w:w="1927" w:type="pct"/>
            <w:noWrap/>
            <w:vAlign w:val="center"/>
          </w:tcPr>
          <w:p w14:paraId="29C47911" w14:textId="77777777" w:rsidR="00A3158A" w:rsidRPr="005968C0" w:rsidRDefault="00A3158A" w:rsidP="002A3013">
            <w:pP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5968C0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Study objective </w:t>
            </w:r>
          </w:p>
        </w:tc>
        <w:tc>
          <w:tcPr>
            <w:tcW w:w="365" w:type="pct"/>
            <w:noWrap/>
            <w:vAlign w:val="center"/>
          </w:tcPr>
          <w:p w14:paraId="71655697" w14:textId="77777777" w:rsidR="00A3158A" w:rsidRPr="005968C0" w:rsidRDefault="00A3158A" w:rsidP="002A3013">
            <w:pP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5968C0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Location</w:t>
            </w:r>
          </w:p>
        </w:tc>
        <w:tc>
          <w:tcPr>
            <w:tcW w:w="1146" w:type="pct"/>
          </w:tcPr>
          <w:p w14:paraId="57B7E1C1" w14:textId="77777777" w:rsidR="00A3158A" w:rsidRPr="005968C0" w:rsidRDefault="00A3158A" w:rsidP="002A3013">
            <w:pP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Risk of bias (</w:t>
            </w:r>
            <w:r w:rsidRPr="004B34AD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High</w:t>
            </w: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, </w:t>
            </w:r>
            <w:r w:rsidRPr="004B34AD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Medium</w:t>
            </w: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/low): </w:t>
            </w:r>
            <w:r w:rsidRPr="002800F5">
              <w:rPr>
                <w:rFonts w:eastAsia="Times New Roman" w:cstheme="minorHAnsi"/>
                <w:sz w:val="20"/>
                <w:szCs w:val="20"/>
                <w:lang w:eastAsia="en-GB"/>
              </w:rPr>
              <w:t>notes</w:t>
            </w:r>
          </w:p>
        </w:tc>
        <w:tc>
          <w:tcPr>
            <w:tcW w:w="990" w:type="pct"/>
          </w:tcPr>
          <w:p w14:paraId="445C8F8A" w14:textId="77777777" w:rsidR="00A3158A" w:rsidRDefault="00A3158A" w:rsidP="002A3013">
            <w:pP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Other significant quality/ relevance limitations</w:t>
            </w:r>
          </w:p>
        </w:tc>
      </w:tr>
      <w:tr w:rsidR="00A3158A" w:rsidRPr="005968C0" w14:paraId="40801C65" w14:textId="77777777" w:rsidTr="002A3013">
        <w:trPr>
          <w:trHeight w:val="300"/>
        </w:trPr>
        <w:tc>
          <w:tcPr>
            <w:tcW w:w="572" w:type="pct"/>
            <w:noWrap/>
            <w:vAlign w:val="center"/>
            <w:hideMark/>
          </w:tcPr>
          <w:p w14:paraId="25670016" w14:textId="77777777" w:rsidR="00A3158A" w:rsidRPr="005968C0" w:rsidRDefault="00A3158A" w:rsidP="00A3158A">
            <w:pPr>
              <w:pStyle w:val="ListParagraph"/>
              <w:numPr>
                <w:ilvl w:val="0"/>
                <w:numId w:val="3"/>
              </w:numPr>
              <w:jc w:val="lef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proofErr w:type="spellStart"/>
            <w:r w:rsidRPr="005968C0">
              <w:rPr>
                <w:rFonts w:eastAsia="Times New Roman" w:cstheme="minorHAnsi"/>
                <w:sz w:val="20"/>
                <w:szCs w:val="20"/>
                <w:lang w:eastAsia="en-GB"/>
              </w:rPr>
              <w:t>Blaes</w:t>
            </w:r>
            <w:proofErr w:type="spellEnd"/>
            <w:r w:rsidRPr="005968C0">
              <w:rPr>
                <w:rFonts w:eastAsia="Times New Roman" w:cstheme="minorHAnsi"/>
                <w:sz w:val="20"/>
                <w:szCs w:val="20"/>
                <w:lang w:eastAsia="en-GB"/>
              </w:rPr>
              <w:t>, et al, 2019</w:t>
            </w:r>
          </w:p>
        </w:tc>
        <w:tc>
          <w:tcPr>
            <w:tcW w:w="1927" w:type="pct"/>
            <w:noWrap/>
            <w:vAlign w:val="center"/>
            <w:hideMark/>
          </w:tcPr>
          <w:p w14:paraId="7B7B0C6D" w14:textId="77777777" w:rsidR="00A3158A" w:rsidRPr="005968C0" w:rsidRDefault="00A3158A" w:rsidP="002A3013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5968C0">
              <w:rPr>
                <w:rFonts w:eastAsia="Times New Roman" w:cstheme="minorHAnsi"/>
                <w:sz w:val="20"/>
                <w:szCs w:val="20"/>
                <w:lang w:eastAsia="en-GB"/>
              </w:rPr>
              <w:t>Determine primar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y care providers’ breast cancer </w:t>
            </w:r>
            <w:r w:rsidRPr="005968C0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screening practices for women at high risk of breast cancer, 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&amp; </w:t>
            </w:r>
            <w:r w:rsidRPr="005968C0">
              <w:rPr>
                <w:rFonts w:eastAsia="Times New Roman" w:cstheme="minorHAnsi"/>
                <w:sz w:val="20"/>
                <w:szCs w:val="20"/>
                <w:lang w:eastAsia="en-GB"/>
              </w:rPr>
              <w:t>exami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ne differences in practices and </w:t>
            </w:r>
            <w:r w:rsidRPr="005968C0">
              <w:rPr>
                <w:rFonts w:eastAsia="Times New Roman" w:cstheme="minorHAnsi"/>
                <w:sz w:val="20"/>
                <w:szCs w:val="20"/>
                <w:lang w:eastAsia="en-GB"/>
              </w:rPr>
              <w:t>knowledge of recommendations across provider characteristics</w:t>
            </w:r>
          </w:p>
        </w:tc>
        <w:tc>
          <w:tcPr>
            <w:tcW w:w="365" w:type="pct"/>
            <w:noWrap/>
            <w:vAlign w:val="center"/>
            <w:hideMark/>
          </w:tcPr>
          <w:p w14:paraId="3A98B9E5" w14:textId="77777777" w:rsidR="00A3158A" w:rsidRPr="005968C0" w:rsidRDefault="00A3158A" w:rsidP="002A3013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5968C0">
              <w:rPr>
                <w:rFonts w:eastAsia="Times New Roman" w:cstheme="minorHAnsi"/>
                <w:sz w:val="20"/>
                <w:szCs w:val="20"/>
                <w:lang w:eastAsia="en-GB"/>
              </w:rPr>
              <w:t>USA</w:t>
            </w:r>
          </w:p>
        </w:tc>
        <w:tc>
          <w:tcPr>
            <w:tcW w:w="1146" w:type="pct"/>
          </w:tcPr>
          <w:p w14:paraId="10204941" w14:textId="77777777" w:rsidR="00A3158A" w:rsidRPr="005968C0" w:rsidRDefault="00A3158A" w:rsidP="002A301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B34AD">
              <w:rPr>
                <w:rFonts w:cstheme="minorHAnsi"/>
                <w:b/>
                <w:color w:val="000000"/>
                <w:sz w:val="20"/>
                <w:szCs w:val="20"/>
              </w:rPr>
              <w:t>High</w:t>
            </w:r>
            <w:r>
              <w:rPr>
                <w:rFonts w:cstheme="minorHAnsi"/>
                <w:color w:val="000000"/>
                <w:sz w:val="20"/>
                <w:szCs w:val="20"/>
              </w:rPr>
              <w:t>: very low (7.7%) response rate from PAs</w:t>
            </w:r>
          </w:p>
        </w:tc>
        <w:tc>
          <w:tcPr>
            <w:tcW w:w="990" w:type="pct"/>
          </w:tcPr>
          <w:p w14:paraId="41A70BE5" w14:textId="77777777" w:rsidR="00A3158A" w:rsidRDefault="00A3158A" w:rsidP="002A301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47B52">
              <w:rPr>
                <w:rFonts w:cstheme="minorHAnsi"/>
                <w:b/>
                <w:color w:val="000000"/>
                <w:sz w:val="20"/>
                <w:szCs w:val="20"/>
              </w:rPr>
              <w:t>Relevance</w:t>
            </w:r>
            <w:r>
              <w:rPr>
                <w:rFonts w:cstheme="minorHAnsi"/>
                <w:color w:val="000000"/>
                <w:sz w:val="20"/>
                <w:szCs w:val="20"/>
              </w:rPr>
              <w:t>: screening responsibilities in primary care in UK and USA differ</w:t>
            </w:r>
          </w:p>
        </w:tc>
      </w:tr>
      <w:tr w:rsidR="00A3158A" w:rsidRPr="005968C0" w14:paraId="4FE506EA" w14:textId="77777777" w:rsidTr="002A3013">
        <w:trPr>
          <w:trHeight w:val="300"/>
        </w:trPr>
        <w:tc>
          <w:tcPr>
            <w:tcW w:w="572" w:type="pct"/>
            <w:noWrap/>
            <w:vAlign w:val="center"/>
            <w:hideMark/>
          </w:tcPr>
          <w:p w14:paraId="0DCE1E1E" w14:textId="77777777" w:rsidR="00A3158A" w:rsidRPr="005968C0" w:rsidRDefault="00A3158A" w:rsidP="00A3158A">
            <w:pPr>
              <w:pStyle w:val="ListParagraph"/>
              <w:numPr>
                <w:ilvl w:val="0"/>
                <w:numId w:val="3"/>
              </w:numPr>
              <w:jc w:val="lef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5968C0">
              <w:rPr>
                <w:rFonts w:eastAsia="Times New Roman" w:cstheme="minorHAnsi"/>
                <w:sz w:val="20"/>
                <w:szCs w:val="20"/>
                <w:lang w:eastAsia="en-GB"/>
              </w:rPr>
              <w:t>Boone, et al, 2016</w:t>
            </w:r>
          </w:p>
        </w:tc>
        <w:tc>
          <w:tcPr>
            <w:tcW w:w="1927" w:type="pct"/>
            <w:noWrap/>
            <w:vAlign w:val="center"/>
            <w:hideMark/>
          </w:tcPr>
          <w:p w14:paraId="37662D0E" w14:textId="77777777" w:rsidR="00A3158A" w:rsidRPr="005968C0" w:rsidRDefault="00A3158A" w:rsidP="002A3013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5968C0">
              <w:rPr>
                <w:rFonts w:eastAsia="Times New Roman" w:cstheme="minorHAnsi"/>
                <w:sz w:val="20"/>
                <w:szCs w:val="20"/>
                <w:lang w:eastAsia="en-GB"/>
              </w:rPr>
              <w:t>Understand what may limit the adherence to  new screening policies</w:t>
            </w:r>
          </w:p>
        </w:tc>
        <w:tc>
          <w:tcPr>
            <w:tcW w:w="365" w:type="pct"/>
            <w:noWrap/>
            <w:vAlign w:val="center"/>
            <w:hideMark/>
          </w:tcPr>
          <w:p w14:paraId="65DB48DA" w14:textId="77777777" w:rsidR="00A3158A" w:rsidRPr="005968C0" w:rsidRDefault="00A3158A" w:rsidP="002A3013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5968C0">
              <w:rPr>
                <w:rFonts w:eastAsia="Times New Roman" w:cstheme="minorHAnsi"/>
                <w:sz w:val="20"/>
                <w:szCs w:val="20"/>
                <w:lang w:eastAsia="en-GB"/>
              </w:rPr>
              <w:t>USA</w:t>
            </w:r>
          </w:p>
        </w:tc>
        <w:tc>
          <w:tcPr>
            <w:tcW w:w="1146" w:type="pct"/>
          </w:tcPr>
          <w:p w14:paraId="2886BA13" w14:textId="77777777" w:rsidR="00A3158A" w:rsidRPr="005968C0" w:rsidRDefault="00A3158A" w:rsidP="002A301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B34AD">
              <w:rPr>
                <w:rFonts w:cstheme="minorHAnsi"/>
                <w:b/>
                <w:color w:val="000000"/>
                <w:sz w:val="20"/>
                <w:szCs w:val="20"/>
              </w:rPr>
              <w:t>Medium</w:t>
            </w:r>
            <w:r>
              <w:rPr>
                <w:rFonts w:cstheme="minorHAnsi"/>
                <w:color w:val="000000"/>
                <w:sz w:val="20"/>
                <w:szCs w:val="20"/>
              </w:rPr>
              <w:t>: low (28%) response rate from PAs</w:t>
            </w:r>
          </w:p>
        </w:tc>
        <w:tc>
          <w:tcPr>
            <w:tcW w:w="990" w:type="pct"/>
          </w:tcPr>
          <w:p w14:paraId="539D2D70" w14:textId="77777777" w:rsidR="00A3158A" w:rsidRDefault="00A3158A" w:rsidP="002A301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47B52">
              <w:rPr>
                <w:rFonts w:cstheme="minorHAnsi"/>
                <w:b/>
                <w:color w:val="000000"/>
                <w:sz w:val="20"/>
                <w:szCs w:val="20"/>
              </w:rPr>
              <w:t>Relevance</w:t>
            </w:r>
            <w:r>
              <w:rPr>
                <w:rFonts w:cstheme="minorHAnsi"/>
                <w:color w:val="000000"/>
                <w:sz w:val="20"/>
                <w:szCs w:val="20"/>
              </w:rPr>
              <w:t>: screening responsibilities in primary care in UK and USA differ</w:t>
            </w:r>
          </w:p>
        </w:tc>
      </w:tr>
      <w:tr w:rsidR="00A3158A" w14:paraId="5B025FE8" w14:textId="77777777" w:rsidTr="002A3013">
        <w:trPr>
          <w:trHeight w:val="300"/>
        </w:trPr>
        <w:tc>
          <w:tcPr>
            <w:tcW w:w="572" w:type="pct"/>
            <w:noWrap/>
            <w:vAlign w:val="center"/>
            <w:hideMark/>
          </w:tcPr>
          <w:p w14:paraId="2047280F" w14:textId="77777777" w:rsidR="00A3158A" w:rsidRPr="005968C0" w:rsidRDefault="00A3158A" w:rsidP="00A3158A">
            <w:pPr>
              <w:pStyle w:val="ListParagraph"/>
              <w:numPr>
                <w:ilvl w:val="0"/>
                <w:numId w:val="3"/>
              </w:numPr>
              <w:jc w:val="lef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5968C0">
              <w:rPr>
                <w:rFonts w:eastAsia="Times New Roman" w:cstheme="minorHAnsi"/>
                <w:sz w:val="20"/>
                <w:szCs w:val="20"/>
                <w:lang w:eastAsia="en-GB"/>
              </w:rPr>
              <w:t>Brock, et al, 2017</w:t>
            </w:r>
          </w:p>
        </w:tc>
        <w:tc>
          <w:tcPr>
            <w:tcW w:w="1927" w:type="pct"/>
            <w:noWrap/>
            <w:vAlign w:val="center"/>
            <w:hideMark/>
          </w:tcPr>
          <w:p w14:paraId="64D89440" w14:textId="77777777" w:rsidR="00A3158A" w:rsidRPr="005968C0" w:rsidRDefault="00A3158A" w:rsidP="002A3013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5968C0">
              <w:rPr>
                <w:rFonts w:eastAsia="Times New Roman" w:cstheme="minorHAnsi"/>
                <w:sz w:val="20"/>
                <w:szCs w:val="20"/>
                <w:lang w:eastAsia="en-GB"/>
              </w:rPr>
              <w:t>Compare rates of malpractice reports and adverse actions for physicians, physician assistants (PAs), and nurse practitioners (NPs).</w:t>
            </w:r>
          </w:p>
        </w:tc>
        <w:tc>
          <w:tcPr>
            <w:tcW w:w="365" w:type="pct"/>
            <w:noWrap/>
            <w:vAlign w:val="center"/>
            <w:hideMark/>
          </w:tcPr>
          <w:p w14:paraId="63BC3C0E" w14:textId="77777777" w:rsidR="00A3158A" w:rsidRPr="005968C0" w:rsidRDefault="00A3158A" w:rsidP="002A3013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5968C0">
              <w:rPr>
                <w:rFonts w:eastAsia="Times New Roman" w:cstheme="minorHAnsi"/>
                <w:sz w:val="20"/>
                <w:szCs w:val="20"/>
                <w:lang w:eastAsia="en-GB"/>
              </w:rPr>
              <w:t>USA</w:t>
            </w:r>
          </w:p>
        </w:tc>
        <w:tc>
          <w:tcPr>
            <w:tcW w:w="1146" w:type="pct"/>
          </w:tcPr>
          <w:p w14:paraId="4758D900" w14:textId="77777777" w:rsidR="00A3158A" w:rsidRDefault="00A3158A" w:rsidP="002A301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B34AD">
              <w:rPr>
                <w:rFonts w:cstheme="minorHAnsi"/>
                <w:b/>
                <w:color w:val="000000"/>
                <w:sz w:val="20"/>
                <w:szCs w:val="20"/>
              </w:rPr>
              <w:t>Medium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: </w:t>
            </w:r>
            <w:r w:rsidRPr="004B1C67">
              <w:rPr>
                <w:rFonts w:cstheme="minorHAnsi"/>
                <w:color w:val="000000"/>
                <w:sz w:val="20"/>
                <w:szCs w:val="20"/>
              </w:rPr>
              <w:t>Unknown whether error</w:t>
            </w:r>
            <w:r>
              <w:rPr>
                <w:rFonts w:cstheme="minorHAnsi"/>
                <w:color w:val="000000"/>
                <w:sz w:val="20"/>
                <w:szCs w:val="20"/>
              </w:rPr>
              <w:t>s</w:t>
            </w:r>
            <w:r w:rsidRPr="004B1C67">
              <w:rPr>
                <w:rFonts w:cstheme="minorHAnsi"/>
                <w:color w:val="000000"/>
                <w:sz w:val="20"/>
                <w:szCs w:val="20"/>
              </w:rPr>
              <w:t xml:space="preserve"> reflect actions of an individual or team</w:t>
            </w:r>
          </w:p>
        </w:tc>
        <w:tc>
          <w:tcPr>
            <w:tcW w:w="990" w:type="pct"/>
          </w:tcPr>
          <w:p w14:paraId="3689AEC4" w14:textId="77777777" w:rsidR="00A3158A" w:rsidRDefault="00A3158A" w:rsidP="002A3013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A3158A" w:rsidRPr="005968C0" w14:paraId="5FA310FD" w14:textId="77777777" w:rsidTr="002A3013">
        <w:trPr>
          <w:trHeight w:val="330"/>
        </w:trPr>
        <w:tc>
          <w:tcPr>
            <w:tcW w:w="572" w:type="pct"/>
            <w:noWrap/>
            <w:vAlign w:val="center"/>
          </w:tcPr>
          <w:p w14:paraId="052624CC" w14:textId="77777777" w:rsidR="00A3158A" w:rsidRPr="005968C0" w:rsidRDefault="00A3158A" w:rsidP="00A3158A">
            <w:pPr>
              <w:pStyle w:val="ListParagraph"/>
              <w:numPr>
                <w:ilvl w:val="0"/>
                <w:numId w:val="3"/>
              </w:numPr>
              <w:jc w:val="lef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5968C0">
              <w:rPr>
                <w:rFonts w:eastAsia="Times New Roman" w:cstheme="minorHAnsi"/>
                <w:sz w:val="20"/>
                <w:szCs w:val="20"/>
                <w:lang w:eastAsia="en-GB"/>
              </w:rPr>
              <w:t>Burrows et al, 2020</w:t>
            </w:r>
          </w:p>
        </w:tc>
        <w:tc>
          <w:tcPr>
            <w:tcW w:w="1927" w:type="pct"/>
            <w:noWrap/>
            <w:vAlign w:val="center"/>
          </w:tcPr>
          <w:p w14:paraId="235E4D99" w14:textId="77777777" w:rsidR="00A3158A" w:rsidRPr="005968C0" w:rsidRDefault="00A3158A" w:rsidP="002A3013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5968C0">
              <w:rPr>
                <w:rFonts w:eastAsia="Times New Roman" w:cstheme="minorHAnsi"/>
                <w:sz w:val="20"/>
                <w:szCs w:val="20"/>
                <w:lang w:eastAsia="en-GB"/>
              </w:rPr>
              <w:t>Explore PA role integration in the Ontario healthcare system through an in-depth analysis of setting and role descriptions, described outcomes, and healthcare provider perceptions</w:t>
            </w:r>
          </w:p>
        </w:tc>
        <w:tc>
          <w:tcPr>
            <w:tcW w:w="365" w:type="pct"/>
            <w:noWrap/>
            <w:vAlign w:val="center"/>
          </w:tcPr>
          <w:p w14:paraId="73D3B5DA" w14:textId="77777777" w:rsidR="00A3158A" w:rsidRPr="005968C0" w:rsidRDefault="00A3158A" w:rsidP="002A3013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5968C0">
              <w:rPr>
                <w:rFonts w:eastAsia="Times New Roman" w:cstheme="minorHAnsi"/>
                <w:sz w:val="20"/>
                <w:szCs w:val="20"/>
                <w:lang w:eastAsia="en-GB"/>
              </w:rPr>
              <w:t>Canada</w:t>
            </w:r>
          </w:p>
        </w:tc>
        <w:tc>
          <w:tcPr>
            <w:tcW w:w="1146" w:type="pct"/>
          </w:tcPr>
          <w:p w14:paraId="1BF47325" w14:textId="77777777" w:rsidR="00A3158A" w:rsidRPr="005968C0" w:rsidRDefault="00A3158A" w:rsidP="002A3013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>Low</w:t>
            </w:r>
            <w:r w:rsidRPr="00047B52">
              <w:rPr>
                <w:rFonts w:cstheme="minorHAnsi"/>
                <w:b/>
                <w:color w:val="000000"/>
                <w:sz w:val="20"/>
                <w:szCs w:val="20"/>
              </w:rPr>
              <w:t>:</w:t>
            </w:r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047B52">
              <w:rPr>
                <w:rFonts w:cstheme="minorHAnsi"/>
                <w:color w:val="000000"/>
                <w:sz w:val="20"/>
                <w:szCs w:val="20"/>
              </w:rPr>
              <w:t>clear description &amp; justification of study sample</w:t>
            </w:r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047B52">
              <w:rPr>
                <w:rFonts w:cstheme="minorHAnsi"/>
                <w:color w:val="000000"/>
                <w:sz w:val="20"/>
                <w:szCs w:val="20"/>
              </w:rPr>
              <w:t xml:space="preserve"> limited non-physician and no patient input</w:t>
            </w:r>
          </w:p>
        </w:tc>
        <w:tc>
          <w:tcPr>
            <w:tcW w:w="990" w:type="pct"/>
          </w:tcPr>
          <w:p w14:paraId="0BF20B2A" w14:textId="77777777" w:rsidR="00A3158A" w:rsidRPr="005968C0" w:rsidRDefault="00A3158A" w:rsidP="002A301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47B52">
              <w:rPr>
                <w:rFonts w:cstheme="minorHAnsi"/>
                <w:b/>
                <w:color w:val="000000"/>
                <w:sz w:val="20"/>
                <w:szCs w:val="20"/>
              </w:rPr>
              <w:t>Relevance</w:t>
            </w:r>
            <w:r>
              <w:rPr>
                <w:rFonts w:cstheme="minorHAnsi"/>
                <w:color w:val="000000"/>
                <w:sz w:val="20"/>
                <w:szCs w:val="20"/>
              </w:rPr>
              <w:t>: limited to services that employed PAs, so uninformative about sites that decided not to employ them</w:t>
            </w:r>
          </w:p>
        </w:tc>
      </w:tr>
      <w:tr w:rsidR="00A3158A" w:rsidRPr="005968C0" w14:paraId="11ADE132" w14:textId="77777777" w:rsidTr="002A3013">
        <w:trPr>
          <w:trHeight w:val="330"/>
        </w:trPr>
        <w:tc>
          <w:tcPr>
            <w:tcW w:w="572" w:type="pct"/>
            <w:noWrap/>
            <w:vAlign w:val="center"/>
            <w:hideMark/>
          </w:tcPr>
          <w:p w14:paraId="0DCFA5BC" w14:textId="77777777" w:rsidR="00A3158A" w:rsidRPr="005968C0" w:rsidRDefault="00A3158A" w:rsidP="00A3158A">
            <w:pPr>
              <w:pStyle w:val="ListParagraph"/>
              <w:numPr>
                <w:ilvl w:val="0"/>
                <w:numId w:val="3"/>
              </w:numPr>
              <w:jc w:val="lef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Drennan</w:t>
            </w:r>
            <w:r w:rsidRPr="005968C0">
              <w:rPr>
                <w:rFonts w:eastAsia="Times New Roman" w:cstheme="minorHAnsi"/>
                <w:sz w:val="20"/>
                <w:szCs w:val="20"/>
                <w:lang w:eastAsia="en-GB"/>
              </w:rPr>
              <w:t>, et al 2015</w:t>
            </w:r>
          </w:p>
        </w:tc>
        <w:tc>
          <w:tcPr>
            <w:tcW w:w="1927" w:type="pct"/>
            <w:noWrap/>
            <w:vAlign w:val="center"/>
            <w:hideMark/>
          </w:tcPr>
          <w:p w14:paraId="7215DF62" w14:textId="77777777" w:rsidR="00A3158A" w:rsidRPr="005968C0" w:rsidRDefault="00A3158A" w:rsidP="002A3013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5968C0">
              <w:rPr>
                <w:rFonts w:eastAsia="Times New Roman" w:cstheme="minorHAnsi"/>
                <w:sz w:val="20"/>
                <w:szCs w:val="20"/>
                <w:lang w:eastAsia="en-GB"/>
              </w:rPr>
              <w:t>Compare outcomes and costs of same-day requested consultations by PAs with those of GPs</w:t>
            </w:r>
          </w:p>
        </w:tc>
        <w:tc>
          <w:tcPr>
            <w:tcW w:w="365" w:type="pct"/>
            <w:noWrap/>
            <w:vAlign w:val="center"/>
            <w:hideMark/>
          </w:tcPr>
          <w:p w14:paraId="4C279462" w14:textId="77777777" w:rsidR="00A3158A" w:rsidRPr="005968C0" w:rsidRDefault="00A3158A" w:rsidP="002A3013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5968C0">
              <w:rPr>
                <w:rFonts w:eastAsia="Times New Roman" w:cstheme="minorHAnsi"/>
                <w:sz w:val="20"/>
                <w:szCs w:val="20"/>
                <w:lang w:eastAsia="en-GB"/>
              </w:rPr>
              <w:t>England</w:t>
            </w:r>
          </w:p>
        </w:tc>
        <w:tc>
          <w:tcPr>
            <w:tcW w:w="1146" w:type="pct"/>
          </w:tcPr>
          <w:p w14:paraId="25744F17" w14:textId="77777777" w:rsidR="00A3158A" w:rsidRPr="005968C0" w:rsidRDefault="00A3158A" w:rsidP="002A301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47B52">
              <w:rPr>
                <w:rFonts w:cstheme="minorHAnsi"/>
                <w:b/>
                <w:color w:val="000000"/>
                <w:sz w:val="20"/>
                <w:szCs w:val="20"/>
              </w:rPr>
              <w:t>Low: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clear inclusion criteria to justified sample size</w:t>
            </w:r>
          </w:p>
        </w:tc>
        <w:tc>
          <w:tcPr>
            <w:tcW w:w="990" w:type="pct"/>
          </w:tcPr>
          <w:p w14:paraId="7A0AF6E0" w14:textId="77777777" w:rsidR="00A3158A" w:rsidRPr="005968C0" w:rsidRDefault="00A3158A" w:rsidP="002A3013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A3158A" w:rsidRPr="005968C0" w14:paraId="1931D2F4" w14:textId="77777777" w:rsidTr="002A3013">
        <w:trPr>
          <w:trHeight w:val="572"/>
        </w:trPr>
        <w:tc>
          <w:tcPr>
            <w:tcW w:w="572" w:type="pct"/>
            <w:noWrap/>
            <w:vAlign w:val="center"/>
            <w:hideMark/>
          </w:tcPr>
          <w:p w14:paraId="56A4EB58" w14:textId="77777777" w:rsidR="00A3158A" w:rsidRPr="005968C0" w:rsidRDefault="00A3158A" w:rsidP="00A3158A">
            <w:pPr>
              <w:pStyle w:val="ListParagraph"/>
              <w:numPr>
                <w:ilvl w:val="0"/>
                <w:numId w:val="3"/>
              </w:numPr>
              <w:jc w:val="lef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5968C0">
              <w:rPr>
                <w:rFonts w:eastAsia="Times New Roman" w:cstheme="minorHAnsi"/>
                <w:sz w:val="20"/>
                <w:szCs w:val="20"/>
                <w:lang w:eastAsia="en-GB"/>
              </w:rPr>
              <w:t>Feeley, et al, 2009</w:t>
            </w:r>
          </w:p>
        </w:tc>
        <w:tc>
          <w:tcPr>
            <w:tcW w:w="1927" w:type="pct"/>
            <w:noWrap/>
            <w:vAlign w:val="center"/>
            <w:hideMark/>
          </w:tcPr>
          <w:p w14:paraId="0FE560F2" w14:textId="77777777" w:rsidR="00A3158A" w:rsidRPr="005968C0" w:rsidRDefault="00A3158A" w:rsidP="002A3013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5968C0">
              <w:rPr>
                <w:rFonts w:eastAsia="Times New Roman" w:cstheme="minorHAnsi"/>
                <w:sz w:val="20"/>
                <w:szCs w:val="20"/>
                <w:lang w:eastAsia="en-GB"/>
              </w:rPr>
              <w:t>Explore how colorectal cancer (CRC) screening is approached in primary care.</w:t>
            </w:r>
          </w:p>
        </w:tc>
        <w:tc>
          <w:tcPr>
            <w:tcW w:w="365" w:type="pct"/>
            <w:noWrap/>
            <w:vAlign w:val="center"/>
            <w:hideMark/>
          </w:tcPr>
          <w:p w14:paraId="6DC4CC73" w14:textId="77777777" w:rsidR="00A3158A" w:rsidRPr="005968C0" w:rsidRDefault="00A3158A" w:rsidP="002A3013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5968C0">
              <w:rPr>
                <w:rFonts w:eastAsia="Times New Roman" w:cstheme="minorHAnsi"/>
                <w:sz w:val="20"/>
                <w:szCs w:val="20"/>
                <w:lang w:eastAsia="en-GB"/>
              </w:rPr>
              <w:t>USA</w:t>
            </w:r>
          </w:p>
        </w:tc>
        <w:tc>
          <w:tcPr>
            <w:tcW w:w="1146" w:type="pct"/>
          </w:tcPr>
          <w:p w14:paraId="31E43BE2" w14:textId="77777777" w:rsidR="00A3158A" w:rsidRPr="005968C0" w:rsidRDefault="00A3158A" w:rsidP="002A301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B34AD">
              <w:rPr>
                <w:rFonts w:cstheme="minorHAnsi"/>
                <w:b/>
                <w:color w:val="000000"/>
                <w:sz w:val="20"/>
                <w:szCs w:val="20"/>
              </w:rPr>
              <w:t>High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: 9% response rate from participants to study invitation </w:t>
            </w:r>
          </w:p>
        </w:tc>
        <w:tc>
          <w:tcPr>
            <w:tcW w:w="990" w:type="pct"/>
          </w:tcPr>
          <w:p w14:paraId="1BDA1A5B" w14:textId="77777777" w:rsidR="00A3158A" w:rsidRPr="005968C0" w:rsidRDefault="00A3158A" w:rsidP="002A301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47B52">
              <w:rPr>
                <w:rFonts w:cstheme="minorHAnsi"/>
                <w:b/>
                <w:color w:val="000000"/>
                <w:sz w:val="20"/>
                <w:szCs w:val="20"/>
              </w:rPr>
              <w:t>Relevance</w:t>
            </w:r>
            <w:r>
              <w:rPr>
                <w:rFonts w:cstheme="minorHAnsi"/>
                <w:color w:val="000000"/>
                <w:sz w:val="20"/>
                <w:szCs w:val="20"/>
              </w:rPr>
              <w:t>: screening responsibilities in primary care in UK and USA differ</w:t>
            </w:r>
          </w:p>
        </w:tc>
      </w:tr>
      <w:tr w:rsidR="00A3158A" w:rsidRPr="005968C0" w14:paraId="44104318" w14:textId="77777777" w:rsidTr="002A3013">
        <w:trPr>
          <w:trHeight w:val="300"/>
        </w:trPr>
        <w:tc>
          <w:tcPr>
            <w:tcW w:w="572" w:type="pct"/>
            <w:noWrap/>
            <w:vAlign w:val="center"/>
            <w:hideMark/>
          </w:tcPr>
          <w:p w14:paraId="27768F78" w14:textId="77777777" w:rsidR="00A3158A" w:rsidRPr="005968C0" w:rsidRDefault="00A3158A" w:rsidP="00A3158A">
            <w:pPr>
              <w:pStyle w:val="ListParagraph"/>
              <w:numPr>
                <w:ilvl w:val="0"/>
                <w:numId w:val="3"/>
              </w:numPr>
              <w:jc w:val="lef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5968C0">
              <w:rPr>
                <w:rFonts w:eastAsia="Times New Roman" w:cstheme="minorHAnsi"/>
                <w:sz w:val="20"/>
                <w:szCs w:val="20"/>
                <w:lang w:eastAsia="en-GB"/>
              </w:rPr>
              <w:t>Hughes, et al, 2015</w:t>
            </w:r>
          </w:p>
        </w:tc>
        <w:tc>
          <w:tcPr>
            <w:tcW w:w="1927" w:type="pct"/>
            <w:noWrap/>
            <w:vAlign w:val="center"/>
            <w:hideMark/>
          </w:tcPr>
          <w:p w14:paraId="0A6AA43F" w14:textId="77777777" w:rsidR="00A3158A" w:rsidRPr="005968C0" w:rsidRDefault="00A3158A" w:rsidP="002A3013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5968C0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Examine the use of diagnostic tests— specifically medical imaging—by APCs as a directly observable and quantifiable measure for comparing the care they provide with that of PCPs </w:t>
            </w:r>
          </w:p>
        </w:tc>
        <w:tc>
          <w:tcPr>
            <w:tcW w:w="365" w:type="pct"/>
            <w:noWrap/>
            <w:vAlign w:val="center"/>
            <w:hideMark/>
          </w:tcPr>
          <w:p w14:paraId="382BBA76" w14:textId="77777777" w:rsidR="00A3158A" w:rsidRPr="005968C0" w:rsidRDefault="00A3158A" w:rsidP="002A3013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5968C0">
              <w:rPr>
                <w:rFonts w:eastAsia="Times New Roman" w:cstheme="minorHAnsi"/>
                <w:sz w:val="20"/>
                <w:szCs w:val="20"/>
                <w:lang w:eastAsia="en-GB"/>
              </w:rPr>
              <w:t>USA</w:t>
            </w:r>
          </w:p>
        </w:tc>
        <w:tc>
          <w:tcPr>
            <w:tcW w:w="1146" w:type="pct"/>
          </w:tcPr>
          <w:p w14:paraId="009D15D7" w14:textId="77777777" w:rsidR="00A3158A" w:rsidRPr="005968C0" w:rsidRDefault="00A3158A" w:rsidP="002A301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B34AD">
              <w:rPr>
                <w:rFonts w:cstheme="minorHAnsi"/>
                <w:b/>
                <w:color w:val="000000"/>
                <w:sz w:val="20"/>
                <w:szCs w:val="20"/>
              </w:rPr>
              <w:t>Medium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(classification): </w:t>
            </w:r>
            <w:r w:rsidRPr="00491446">
              <w:rPr>
                <w:rFonts w:cstheme="minorHAnsi"/>
                <w:color w:val="000000"/>
                <w:sz w:val="20"/>
                <w:szCs w:val="20"/>
              </w:rPr>
              <w:t>under some circumstances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work performed by </w:t>
            </w:r>
            <w:r w:rsidRPr="00491446">
              <w:rPr>
                <w:rFonts w:cstheme="minorHAnsi"/>
                <w:color w:val="000000"/>
                <w:sz w:val="20"/>
                <w:szCs w:val="20"/>
              </w:rPr>
              <w:t>APCs is coded by their supervising physician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, which may underestimate differences between APCs and physicians </w:t>
            </w:r>
          </w:p>
        </w:tc>
        <w:tc>
          <w:tcPr>
            <w:tcW w:w="990" w:type="pct"/>
          </w:tcPr>
          <w:p w14:paraId="255B8BD5" w14:textId="77777777" w:rsidR="00A3158A" w:rsidRPr="005968C0" w:rsidRDefault="00A3158A" w:rsidP="002A3013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A3158A" w:rsidRPr="005968C0" w14:paraId="50597938" w14:textId="77777777" w:rsidTr="002A3013">
        <w:trPr>
          <w:trHeight w:val="300"/>
        </w:trPr>
        <w:tc>
          <w:tcPr>
            <w:tcW w:w="572" w:type="pct"/>
            <w:noWrap/>
            <w:vAlign w:val="center"/>
          </w:tcPr>
          <w:p w14:paraId="3EEAD775" w14:textId="77777777" w:rsidR="00A3158A" w:rsidRPr="005968C0" w:rsidRDefault="00A3158A" w:rsidP="00A3158A">
            <w:pPr>
              <w:pStyle w:val="ListParagraph"/>
              <w:numPr>
                <w:ilvl w:val="0"/>
                <w:numId w:val="3"/>
              </w:numPr>
              <w:jc w:val="lef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5968C0">
              <w:rPr>
                <w:rFonts w:eastAsia="Times New Roman" w:cstheme="minorHAnsi"/>
                <w:sz w:val="20"/>
                <w:szCs w:val="20"/>
                <w:lang w:eastAsia="en-GB"/>
              </w:rPr>
              <w:lastRenderedPageBreak/>
              <w:t>Johnson et al, 2019</w:t>
            </w:r>
          </w:p>
        </w:tc>
        <w:tc>
          <w:tcPr>
            <w:tcW w:w="1927" w:type="pct"/>
            <w:noWrap/>
            <w:vAlign w:val="center"/>
          </w:tcPr>
          <w:p w14:paraId="52587CAB" w14:textId="77777777" w:rsidR="00A3158A" w:rsidRPr="005968C0" w:rsidRDefault="00A3158A" w:rsidP="002A3013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D</w:t>
            </w:r>
            <w:r w:rsidRPr="005968C0">
              <w:rPr>
                <w:rFonts w:eastAsia="Times New Roman" w:cstheme="minorHAnsi"/>
                <w:sz w:val="20"/>
                <w:szCs w:val="20"/>
                <w:lang w:eastAsia="en-GB"/>
              </w:rPr>
              <w:t>etermine whether Advanced Practice Providers (APPs)  provided the same quality care as physicians in a variety of settings</w:t>
            </w:r>
          </w:p>
        </w:tc>
        <w:tc>
          <w:tcPr>
            <w:tcW w:w="365" w:type="pct"/>
            <w:noWrap/>
            <w:vAlign w:val="center"/>
          </w:tcPr>
          <w:p w14:paraId="27B38BCE" w14:textId="77777777" w:rsidR="00A3158A" w:rsidRPr="005968C0" w:rsidRDefault="00A3158A" w:rsidP="002A3013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5968C0">
              <w:rPr>
                <w:rFonts w:eastAsia="Times New Roman" w:cstheme="minorHAnsi"/>
                <w:sz w:val="20"/>
                <w:szCs w:val="20"/>
                <w:lang w:eastAsia="en-GB"/>
              </w:rPr>
              <w:t>USA</w:t>
            </w:r>
          </w:p>
        </w:tc>
        <w:tc>
          <w:tcPr>
            <w:tcW w:w="1146" w:type="pct"/>
          </w:tcPr>
          <w:p w14:paraId="2E0735F4" w14:textId="77777777" w:rsidR="00A3158A" w:rsidRPr="005968C0" w:rsidRDefault="00A3158A" w:rsidP="002A301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B34AD">
              <w:rPr>
                <w:rFonts w:cstheme="minorHAnsi"/>
                <w:b/>
                <w:color w:val="000000"/>
                <w:sz w:val="20"/>
                <w:szCs w:val="20"/>
              </w:rPr>
              <w:t>High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: small and uncertain number of PAs in the study and response rates not reported </w:t>
            </w:r>
          </w:p>
        </w:tc>
        <w:tc>
          <w:tcPr>
            <w:tcW w:w="990" w:type="pct"/>
          </w:tcPr>
          <w:p w14:paraId="65AD9C7E" w14:textId="77777777" w:rsidR="00A3158A" w:rsidRPr="005968C0" w:rsidRDefault="00A3158A" w:rsidP="002A3013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A3158A" w:rsidRPr="005968C0" w14:paraId="155B1AE1" w14:textId="77777777" w:rsidTr="002A3013">
        <w:trPr>
          <w:trHeight w:val="300"/>
        </w:trPr>
        <w:tc>
          <w:tcPr>
            <w:tcW w:w="572" w:type="pct"/>
            <w:noWrap/>
            <w:vAlign w:val="center"/>
            <w:hideMark/>
          </w:tcPr>
          <w:p w14:paraId="138C4552" w14:textId="77777777" w:rsidR="00A3158A" w:rsidRPr="005968C0" w:rsidRDefault="00A3158A" w:rsidP="00A3158A">
            <w:pPr>
              <w:pStyle w:val="ListParagraph"/>
              <w:numPr>
                <w:ilvl w:val="0"/>
                <w:numId w:val="3"/>
              </w:numPr>
              <w:jc w:val="lef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5968C0">
              <w:rPr>
                <w:rFonts w:eastAsia="Times New Roman" w:cstheme="minorHAnsi"/>
                <w:sz w:val="20"/>
                <w:szCs w:val="20"/>
                <w:lang w:eastAsia="en-GB"/>
              </w:rPr>
              <w:t>Kepka D et al 2014</w:t>
            </w:r>
          </w:p>
        </w:tc>
        <w:tc>
          <w:tcPr>
            <w:tcW w:w="1927" w:type="pct"/>
            <w:noWrap/>
            <w:vAlign w:val="center"/>
            <w:hideMark/>
          </w:tcPr>
          <w:p w14:paraId="074C0474" w14:textId="77777777" w:rsidR="00A3158A" w:rsidRPr="005968C0" w:rsidRDefault="00A3158A" w:rsidP="002A3013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5968C0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Evaluation of the relationship between type of medical provider seen in the past 12 months and receipt of cancer screening </w:t>
            </w:r>
          </w:p>
        </w:tc>
        <w:tc>
          <w:tcPr>
            <w:tcW w:w="365" w:type="pct"/>
            <w:noWrap/>
            <w:vAlign w:val="center"/>
            <w:hideMark/>
          </w:tcPr>
          <w:p w14:paraId="0A538952" w14:textId="77777777" w:rsidR="00A3158A" w:rsidRPr="005968C0" w:rsidRDefault="00A3158A" w:rsidP="002A3013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5968C0">
              <w:rPr>
                <w:rFonts w:eastAsia="Times New Roman" w:cstheme="minorHAnsi"/>
                <w:sz w:val="20"/>
                <w:szCs w:val="20"/>
                <w:lang w:eastAsia="en-GB"/>
              </w:rPr>
              <w:t>USA</w:t>
            </w:r>
          </w:p>
        </w:tc>
        <w:tc>
          <w:tcPr>
            <w:tcW w:w="1146" w:type="pct"/>
          </w:tcPr>
          <w:p w14:paraId="41C7C496" w14:textId="77777777" w:rsidR="00A3158A" w:rsidRPr="005968C0" w:rsidRDefault="00A3158A" w:rsidP="002A3013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Med/Low: </w:t>
            </w:r>
            <w:r w:rsidRPr="001D08EB">
              <w:rPr>
                <w:rFonts w:cstheme="minorHAnsi"/>
                <w:color w:val="000000"/>
                <w:sz w:val="20"/>
                <w:szCs w:val="20"/>
              </w:rPr>
              <w:t xml:space="preserve">reliant on patient self-report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but </w:t>
            </w:r>
            <w:r w:rsidRPr="00047B52">
              <w:rPr>
                <w:rFonts w:cstheme="minorHAnsi"/>
                <w:color w:val="000000"/>
                <w:sz w:val="20"/>
                <w:szCs w:val="20"/>
              </w:rPr>
              <w:t>high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response rate </w:t>
            </w:r>
          </w:p>
        </w:tc>
        <w:tc>
          <w:tcPr>
            <w:tcW w:w="990" w:type="pct"/>
          </w:tcPr>
          <w:p w14:paraId="27CD985E" w14:textId="77777777" w:rsidR="00A3158A" w:rsidRDefault="00A3158A" w:rsidP="002A301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D6C63">
              <w:rPr>
                <w:rFonts w:cstheme="minorHAnsi"/>
                <w:b/>
                <w:color w:val="000000"/>
                <w:sz w:val="20"/>
                <w:szCs w:val="20"/>
              </w:rPr>
              <w:t>Relevance: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findings reported aggregating PA/PCP – not possible to compare </w:t>
            </w:r>
            <w:r w:rsidRPr="001D08EB">
              <w:rPr>
                <w:rFonts w:cstheme="minorHAnsi"/>
                <w:color w:val="000000"/>
                <w:sz w:val="20"/>
                <w:szCs w:val="20"/>
              </w:rPr>
              <w:t xml:space="preserve">services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provided by APRNs OR </w:t>
            </w:r>
            <w:r w:rsidRPr="001D08EB">
              <w:rPr>
                <w:rFonts w:cstheme="minorHAnsi"/>
                <w:color w:val="000000"/>
                <w:sz w:val="20"/>
                <w:szCs w:val="20"/>
              </w:rPr>
              <w:t xml:space="preserve"> PA</w:t>
            </w:r>
            <w:r>
              <w:rPr>
                <w:rFonts w:cstheme="minorHAnsi"/>
                <w:color w:val="000000"/>
                <w:sz w:val="20"/>
                <w:szCs w:val="20"/>
              </w:rPr>
              <w:t>s</w:t>
            </w:r>
            <w:r w:rsidRPr="001D08E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with</w:t>
            </w:r>
            <w:r w:rsidRPr="001D08EB">
              <w:rPr>
                <w:rFonts w:cstheme="minorHAnsi"/>
                <w:color w:val="000000"/>
                <w:sz w:val="20"/>
                <w:szCs w:val="20"/>
              </w:rPr>
              <w:t xml:space="preserve"> those provided by PCP</w:t>
            </w:r>
            <w:r>
              <w:rPr>
                <w:rFonts w:cstheme="minorHAnsi"/>
                <w:color w:val="000000"/>
                <w:sz w:val="20"/>
                <w:szCs w:val="20"/>
              </w:rPr>
              <w:t>s</w:t>
            </w:r>
          </w:p>
        </w:tc>
      </w:tr>
      <w:tr w:rsidR="00A3158A" w:rsidRPr="005968C0" w14:paraId="11792500" w14:textId="77777777" w:rsidTr="002A3013">
        <w:trPr>
          <w:trHeight w:val="300"/>
        </w:trPr>
        <w:tc>
          <w:tcPr>
            <w:tcW w:w="572" w:type="pct"/>
            <w:noWrap/>
            <w:vAlign w:val="center"/>
            <w:hideMark/>
          </w:tcPr>
          <w:p w14:paraId="6322DD36" w14:textId="77777777" w:rsidR="00A3158A" w:rsidRPr="005968C0" w:rsidRDefault="00A3158A" w:rsidP="00A3158A">
            <w:pPr>
              <w:pStyle w:val="ListParagraph"/>
              <w:numPr>
                <w:ilvl w:val="0"/>
                <w:numId w:val="3"/>
              </w:numPr>
              <w:jc w:val="lef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5968C0">
              <w:rPr>
                <w:rFonts w:eastAsia="Times New Roman" w:cstheme="minorHAnsi"/>
                <w:sz w:val="20"/>
                <w:szCs w:val="20"/>
                <w:lang w:eastAsia="en-GB"/>
              </w:rPr>
              <w:t>Kurtzman, et al, 2017</w:t>
            </w:r>
          </w:p>
        </w:tc>
        <w:tc>
          <w:tcPr>
            <w:tcW w:w="1927" w:type="pct"/>
            <w:noWrap/>
            <w:vAlign w:val="center"/>
            <w:hideMark/>
          </w:tcPr>
          <w:p w14:paraId="4B8D58A7" w14:textId="77777777" w:rsidR="00A3158A" w:rsidRPr="005968C0" w:rsidRDefault="00A3158A" w:rsidP="002A3013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5968C0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Compare the quality of care and practice patterns of NPs, PAs, and </w:t>
            </w:r>
            <w:r w:rsidRPr="005968C0">
              <w:rPr>
                <w:rFonts w:cstheme="minorHAnsi"/>
                <w:sz w:val="20"/>
                <w:szCs w:val="20"/>
              </w:rPr>
              <w:t xml:space="preserve">primary care physicians </w:t>
            </w:r>
            <w:r w:rsidRPr="005968C0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in health centres. </w:t>
            </w:r>
          </w:p>
        </w:tc>
        <w:tc>
          <w:tcPr>
            <w:tcW w:w="365" w:type="pct"/>
            <w:noWrap/>
            <w:vAlign w:val="center"/>
            <w:hideMark/>
          </w:tcPr>
          <w:p w14:paraId="088ED810" w14:textId="77777777" w:rsidR="00A3158A" w:rsidRPr="005968C0" w:rsidRDefault="00A3158A" w:rsidP="002A3013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5968C0">
              <w:rPr>
                <w:rFonts w:eastAsia="Times New Roman" w:cstheme="minorHAnsi"/>
                <w:sz w:val="20"/>
                <w:szCs w:val="20"/>
                <w:lang w:eastAsia="en-GB"/>
              </w:rPr>
              <w:t>USA</w:t>
            </w:r>
          </w:p>
        </w:tc>
        <w:tc>
          <w:tcPr>
            <w:tcW w:w="1146" w:type="pct"/>
          </w:tcPr>
          <w:p w14:paraId="6B0385AC" w14:textId="77777777" w:rsidR="00A3158A" w:rsidRPr="005968C0" w:rsidRDefault="00A3158A" w:rsidP="002A301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47B52">
              <w:rPr>
                <w:rFonts w:cstheme="minorHAnsi"/>
                <w:b/>
                <w:color w:val="000000"/>
                <w:sz w:val="20"/>
                <w:szCs w:val="20"/>
              </w:rPr>
              <w:t>Low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: reliant on practitioner self-report but </w:t>
            </w:r>
            <w:r w:rsidRPr="00047B52">
              <w:rPr>
                <w:rFonts w:cstheme="minorHAnsi"/>
                <w:color w:val="000000"/>
                <w:sz w:val="20"/>
                <w:szCs w:val="20"/>
              </w:rPr>
              <w:t>high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response rates and results largely unchanged in sensitivity analyses</w:t>
            </w:r>
          </w:p>
        </w:tc>
        <w:tc>
          <w:tcPr>
            <w:tcW w:w="990" w:type="pct"/>
          </w:tcPr>
          <w:p w14:paraId="012C099B" w14:textId="77777777" w:rsidR="00A3158A" w:rsidRPr="005968C0" w:rsidRDefault="00A3158A" w:rsidP="002A3013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A3158A" w:rsidRPr="005968C0" w14:paraId="2FD2CCE7" w14:textId="77777777" w:rsidTr="002A3013">
        <w:trPr>
          <w:trHeight w:val="300"/>
        </w:trPr>
        <w:tc>
          <w:tcPr>
            <w:tcW w:w="572" w:type="pct"/>
            <w:noWrap/>
            <w:vAlign w:val="center"/>
          </w:tcPr>
          <w:p w14:paraId="6F8D327C" w14:textId="77777777" w:rsidR="00A3158A" w:rsidRPr="005968C0" w:rsidRDefault="00A3158A" w:rsidP="00A3158A">
            <w:pPr>
              <w:pStyle w:val="ListParagraph"/>
              <w:numPr>
                <w:ilvl w:val="0"/>
                <w:numId w:val="3"/>
              </w:numPr>
              <w:jc w:val="lef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5968C0">
              <w:rPr>
                <w:rFonts w:eastAsia="Times New Roman" w:cstheme="minorHAnsi"/>
                <w:sz w:val="20"/>
                <w:szCs w:val="20"/>
                <w:lang w:eastAsia="en-GB"/>
              </w:rPr>
              <w:t>Laird et al, 2020</w:t>
            </w:r>
          </w:p>
        </w:tc>
        <w:tc>
          <w:tcPr>
            <w:tcW w:w="1927" w:type="pct"/>
            <w:noWrap/>
            <w:vAlign w:val="center"/>
          </w:tcPr>
          <w:p w14:paraId="16D6C150" w14:textId="77777777" w:rsidR="00A3158A" w:rsidRPr="005968C0" w:rsidRDefault="00A3158A" w:rsidP="002A3013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5968C0">
              <w:rPr>
                <w:rFonts w:eastAsia="Times New Roman" w:cstheme="minorHAnsi"/>
                <w:sz w:val="20"/>
                <w:szCs w:val="20"/>
                <w:lang w:eastAsia="en-GB"/>
              </w:rPr>
              <w:t>1) To describe and compare Texas Nurse Practitioners’ and Physician Assistants’ knowledge and use of current screening guidelines for individuals at varying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risk for colorectal cancer (2) T</w:t>
            </w:r>
            <w:r w:rsidRPr="005968C0">
              <w:rPr>
                <w:rFonts w:eastAsia="Times New Roman" w:cstheme="minorHAnsi"/>
                <w:sz w:val="20"/>
                <w:szCs w:val="20"/>
                <w:lang w:eastAsia="en-GB"/>
              </w:rPr>
              <w:t>o compare their recommendations for referral for genetic counselling for persons a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t increased risk for colorectal </w:t>
            </w:r>
            <w:r w:rsidRPr="005968C0">
              <w:rPr>
                <w:rFonts w:eastAsia="Times New Roman" w:cstheme="minorHAnsi"/>
                <w:sz w:val="20"/>
                <w:szCs w:val="20"/>
                <w:lang w:eastAsia="en-GB"/>
              </w:rPr>
              <w:t>or endometrial cancer</w:t>
            </w:r>
          </w:p>
        </w:tc>
        <w:tc>
          <w:tcPr>
            <w:tcW w:w="365" w:type="pct"/>
            <w:noWrap/>
            <w:vAlign w:val="center"/>
          </w:tcPr>
          <w:p w14:paraId="47C2D87A" w14:textId="77777777" w:rsidR="00A3158A" w:rsidRPr="005968C0" w:rsidRDefault="00A3158A" w:rsidP="002A3013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5968C0">
              <w:rPr>
                <w:rFonts w:eastAsia="Times New Roman" w:cstheme="minorHAnsi"/>
                <w:sz w:val="20"/>
                <w:szCs w:val="20"/>
                <w:lang w:eastAsia="en-GB"/>
              </w:rPr>
              <w:t>USA</w:t>
            </w:r>
          </w:p>
        </w:tc>
        <w:tc>
          <w:tcPr>
            <w:tcW w:w="1146" w:type="pct"/>
          </w:tcPr>
          <w:p w14:paraId="18F7A5ED" w14:textId="77777777" w:rsidR="00A3158A" w:rsidRPr="005968C0" w:rsidRDefault="00A3158A" w:rsidP="002A301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B34AD">
              <w:rPr>
                <w:rFonts w:cstheme="minorHAnsi"/>
                <w:b/>
                <w:color w:val="000000"/>
                <w:sz w:val="20"/>
                <w:szCs w:val="20"/>
              </w:rPr>
              <w:t>High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: 7.4% response rate, unknown whether respondents  were representative of all PAs/NPs </w:t>
            </w:r>
          </w:p>
        </w:tc>
        <w:tc>
          <w:tcPr>
            <w:tcW w:w="990" w:type="pct"/>
          </w:tcPr>
          <w:p w14:paraId="6FA53442" w14:textId="77777777" w:rsidR="00A3158A" w:rsidRDefault="00A3158A" w:rsidP="002A301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D6C63">
              <w:rPr>
                <w:rFonts w:cstheme="minorHAnsi"/>
                <w:b/>
                <w:color w:val="000000"/>
                <w:sz w:val="20"/>
                <w:szCs w:val="20"/>
              </w:rPr>
              <w:t>Relevance: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screening responsibilities in primary care in UK and USA differ</w:t>
            </w:r>
          </w:p>
        </w:tc>
      </w:tr>
      <w:tr w:rsidR="00A3158A" w:rsidRPr="005968C0" w14:paraId="1CDBC449" w14:textId="77777777" w:rsidTr="002A3013">
        <w:trPr>
          <w:trHeight w:val="300"/>
        </w:trPr>
        <w:tc>
          <w:tcPr>
            <w:tcW w:w="572" w:type="pct"/>
            <w:noWrap/>
            <w:vAlign w:val="center"/>
            <w:hideMark/>
          </w:tcPr>
          <w:p w14:paraId="450B7663" w14:textId="77777777" w:rsidR="00A3158A" w:rsidRPr="005968C0" w:rsidRDefault="00A3158A" w:rsidP="00A3158A">
            <w:pPr>
              <w:pStyle w:val="ListParagraph"/>
              <w:numPr>
                <w:ilvl w:val="0"/>
                <w:numId w:val="3"/>
              </w:numPr>
              <w:jc w:val="lef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5968C0">
              <w:rPr>
                <w:rFonts w:eastAsia="Times New Roman" w:cstheme="minorHAnsi"/>
                <w:sz w:val="20"/>
                <w:szCs w:val="20"/>
                <w:lang w:eastAsia="en-GB"/>
              </w:rPr>
              <w:t>Liu, et al 2017</w:t>
            </w:r>
          </w:p>
        </w:tc>
        <w:tc>
          <w:tcPr>
            <w:tcW w:w="1927" w:type="pct"/>
            <w:noWrap/>
            <w:vAlign w:val="center"/>
            <w:hideMark/>
          </w:tcPr>
          <w:p w14:paraId="63C97DD8" w14:textId="77777777" w:rsidR="00A3158A" w:rsidRPr="005968C0" w:rsidRDefault="00A3158A" w:rsidP="002A3013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5968C0">
              <w:rPr>
                <w:rFonts w:eastAsia="Times New Roman" w:cstheme="minorHAnsi"/>
                <w:sz w:val="20"/>
                <w:szCs w:val="20"/>
                <w:lang w:eastAsia="en-GB"/>
              </w:rPr>
              <w:t>What impact NPs and PAs have on utilization in a setting where physician-supervised NPs and PAs provide face-to-face primary care</w:t>
            </w:r>
          </w:p>
        </w:tc>
        <w:tc>
          <w:tcPr>
            <w:tcW w:w="365" w:type="pct"/>
            <w:noWrap/>
            <w:vAlign w:val="center"/>
            <w:hideMark/>
          </w:tcPr>
          <w:p w14:paraId="43EDA50E" w14:textId="77777777" w:rsidR="00A3158A" w:rsidRPr="005968C0" w:rsidRDefault="00A3158A" w:rsidP="002A3013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5968C0">
              <w:rPr>
                <w:rFonts w:eastAsia="Times New Roman" w:cstheme="minorHAnsi"/>
                <w:sz w:val="20"/>
                <w:szCs w:val="20"/>
                <w:lang w:eastAsia="en-GB"/>
              </w:rPr>
              <w:t>USA</w:t>
            </w:r>
          </w:p>
        </w:tc>
        <w:tc>
          <w:tcPr>
            <w:tcW w:w="1146" w:type="pct"/>
          </w:tcPr>
          <w:p w14:paraId="0EE1DEE8" w14:textId="77777777" w:rsidR="00A3158A" w:rsidRPr="005968C0" w:rsidRDefault="00A3158A" w:rsidP="002A301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B34AD">
              <w:rPr>
                <w:rFonts w:cstheme="minorHAnsi"/>
                <w:b/>
                <w:color w:val="000000"/>
                <w:sz w:val="20"/>
                <w:szCs w:val="20"/>
              </w:rPr>
              <w:t>Medium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: ecological analysis – unclear how PAs/NPs worked with PCPs in different models </w:t>
            </w:r>
          </w:p>
        </w:tc>
        <w:tc>
          <w:tcPr>
            <w:tcW w:w="990" w:type="pct"/>
          </w:tcPr>
          <w:p w14:paraId="0A313570" w14:textId="77777777" w:rsidR="00A3158A" w:rsidRPr="005968C0" w:rsidRDefault="00A3158A" w:rsidP="002A301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D6C63">
              <w:rPr>
                <w:rFonts w:cstheme="minorHAnsi"/>
                <w:b/>
                <w:color w:val="000000"/>
                <w:sz w:val="20"/>
                <w:szCs w:val="20"/>
              </w:rPr>
              <w:t>Relevance: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Not possible to disaggregate NP and PA data</w:t>
            </w:r>
          </w:p>
        </w:tc>
      </w:tr>
      <w:tr w:rsidR="00A3158A" w:rsidRPr="005968C0" w14:paraId="727FF005" w14:textId="77777777" w:rsidTr="002A3013">
        <w:trPr>
          <w:trHeight w:val="300"/>
        </w:trPr>
        <w:tc>
          <w:tcPr>
            <w:tcW w:w="572" w:type="pct"/>
            <w:noWrap/>
            <w:vAlign w:val="center"/>
            <w:hideMark/>
          </w:tcPr>
          <w:p w14:paraId="3605D9A5" w14:textId="77777777" w:rsidR="00A3158A" w:rsidRPr="005968C0" w:rsidRDefault="00A3158A" w:rsidP="00A3158A">
            <w:pPr>
              <w:pStyle w:val="ListParagraph"/>
              <w:numPr>
                <w:ilvl w:val="0"/>
                <w:numId w:val="3"/>
              </w:numPr>
              <w:jc w:val="lef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5968C0">
              <w:rPr>
                <w:rFonts w:eastAsia="Times New Roman" w:cstheme="minorHAnsi"/>
                <w:sz w:val="20"/>
                <w:szCs w:val="20"/>
                <w:lang w:eastAsia="en-GB"/>
              </w:rPr>
              <w:t>Mafi, et al, 2016</w:t>
            </w:r>
          </w:p>
        </w:tc>
        <w:tc>
          <w:tcPr>
            <w:tcW w:w="1927" w:type="pct"/>
            <w:noWrap/>
            <w:vAlign w:val="center"/>
            <w:hideMark/>
          </w:tcPr>
          <w:p w14:paraId="197B6077" w14:textId="77777777" w:rsidR="00A3158A" w:rsidRPr="005968C0" w:rsidRDefault="00A3158A" w:rsidP="002A3013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5968C0">
              <w:rPr>
                <w:rFonts w:eastAsia="Times New Roman" w:cstheme="minorHAnsi"/>
                <w:sz w:val="20"/>
                <w:szCs w:val="20"/>
                <w:lang w:eastAsia="en-GB"/>
              </w:rPr>
              <w:t>Compare APCs and physicians in providing inefficient or low-value care [radiography (for URIs and back pain), computed tomography or magnetic resonance imaging (for headache and back pain), and referrals to other physicians]</w:t>
            </w:r>
          </w:p>
        </w:tc>
        <w:tc>
          <w:tcPr>
            <w:tcW w:w="365" w:type="pct"/>
            <w:noWrap/>
            <w:vAlign w:val="center"/>
            <w:hideMark/>
          </w:tcPr>
          <w:p w14:paraId="2D3080AF" w14:textId="77777777" w:rsidR="00A3158A" w:rsidRPr="005968C0" w:rsidRDefault="00A3158A" w:rsidP="002A3013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5968C0">
              <w:rPr>
                <w:rFonts w:eastAsia="Times New Roman" w:cstheme="minorHAnsi"/>
                <w:sz w:val="20"/>
                <w:szCs w:val="20"/>
                <w:lang w:eastAsia="en-GB"/>
              </w:rPr>
              <w:t>USA</w:t>
            </w:r>
          </w:p>
        </w:tc>
        <w:tc>
          <w:tcPr>
            <w:tcW w:w="1146" w:type="pct"/>
          </w:tcPr>
          <w:p w14:paraId="38C5900B" w14:textId="77777777" w:rsidR="00A3158A" w:rsidRPr="005968C0" w:rsidRDefault="00A3158A" w:rsidP="002A301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47B52">
              <w:rPr>
                <w:rFonts w:cstheme="minorHAnsi"/>
                <w:b/>
                <w:color w:val="000000"/>
                <w:sz w:val="20"/>
                <w:szCs w:val="20"/>
              </w:rPr>
              <w:t>Low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: reliant on practitioner self-report but </w:t>
            </w:r>
            <w:r w:rsidRPr="00047B52">
              <w:rPr>
                <w:rFonts w:cstheme="minorHAnsi"/>
                <w:color w:val="000000"/>
                <w:sz w:val="20"/>
                <w:szCs w:val="20"/>
              </w:rPr>
              <w:t>high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response rates</w:t>
            </w:r>
          </w:p>
        </w:tc>
        <w:tc>
          <w:tcPr>
            <w:tcW w:w="990" w:type="pct"/>
          </w:tcPr>
          <w:p w14:paraId="0E33C101" w14:textId="77777777" w:rsidR="00A3158A" w:rsidRPr="005968C0" w:rsidRDefault="00A3158A" w:rsidP="002A3013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A3158A" w:rsidRPr="005968C0" w14:paraId="2AD45C8F" w14:textId="77777777" w:rsidTr="002A3013">
        <w:trPr>
          <w:trHeight w:val="300"/>
        </w:trPr>
        <w:tc>
          <w:tcPr>
            <w:tcW w:w="572" w:type="pct"/>
            <w:noWrap/>
            <w:vAlign w:val="center"/>
            <w:hideMark/>
          </w:tcPr>
          <w:p w14:paraId="3127D38C" w14:textId="77777777" w:rsidR="00A3158A" w:rsidRPr="005968C0" w:rsidRDefault="00A3158A" w:rsidP="00A3158A">
            <w:pPr>
              <w:pStyle w:val="ListParagraph"/>
              <w:numPr>
                <w:ilvl w:val="0"/>
                <w:numId w:val="3"/>
              </w:numPr>
              <w:jc w:val="lef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5968C0">
              <w:rPr>
                <w:rFonts w:eastAsia="Times New Roman" w:cstheme="minorHAnsi"/>
                <w:sz w:val="20"/>
                <w:szCs w:val="20"/>
                <w:lang w:eastAsia="en-GB"/>
              </w:rPr>
              <w:t>Martin, et al 2019</w:t>
            </w:r>
          </w:p>
        </w:tc>
        <w:tc>
          <w:tcPr>
            <w:tcW w:w="1927" w:type="pct"/>
            <w:noWrap/>
            <w:vAlign w:val="center"/>
            <w:hideMark/>
          </w:tcPr>
          <w:p w14:paraId="5FEB72B5" w14:textId="77777777" w:rsidR="00A3158A" w:rsidRPr="005968C0" w:rsidRDefault="00A3158A" w:rsidP="002A3013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5968C0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Compare health care providers’ breast cancer screening practices for average-risk women at the ages of 40–44 and 45–49 years and </w:t>
            </w:r>
          </w:p>
        </w:tc>
        <w:tc>
          <w:tcPr>
            <w:tcW w:w="365" w:type="pct"/>
            <w:noWrap/>
            <w:vAlign w:val="center"/>
            <w:hideMark/>
          </w:tcPr>
          <w:p w14:paraId="669C6337" w14:textId="77777777" w:rsidR="00A3158A" w:rsidRPr="005968C0" w:rsidRDefault="00A3158A" w:rsidP="002A3013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5968C0">
              <w:rPr>
                <w:rFonts w:eastAsia="Times New Roman" w:cstheme="minorHAnsi"/>
                <w:sz w:val="20"/>
                <w:szCs w:val="20"/>
                <w:lang w:eastAsia="en-GB"/>
              </w:rPr>
              <w:t>USA</w:t>
            </w:r>
          </w:p>
        </w:tc>
        <w:tc>
          <w:tcPr>
            <w:tcW w:w="1146" w:type="pct"/>
          </w:tcPr>
          <w:p w14:paraId="1897308A" w14:textId="77777777" w:rsidR="00A3158A" w:rsidRPr="005968C0" w:rsidRDefault="00A3158A" w:rsidP="002A301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B34AD">
              <w:rPr>
                <w:rFonts w:cstheme="minorHAnsi"/>
                <w:b/>
                <w:color w:val="000000"/>
                <w:sz w:val="20"/>
                <w:szCs w:val="20"/>
              </w:rPr>
              <w:t>High</w:t>
            </w:r>
            <w:r>
              <w:rPr>
                <w:rFonts w:cstheme="minorHAnsi"/>
                <w:color w:val="000000"/>
                <w:sz w:val="20"/>
                <w:szCs w:val="20"/>
              </w:rPr>
              <w:t>: very low (7.7%) response rate from PAs</w:t>
            </w:r>
          </w:p>
        </w:tc>
        <w:tc>
          <w:tcPr>
            <w:tcW w:w="990" w:type="pct"/>
          </w:tcPr>
          <w:p w14:paraId="7B2DE5C3" w14:textId="77777777" w:rsidR="00A3158A" w:rsidRDefault="00A3158A" w:rsidP="002A301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D6C63">
              <w:rPr>
                <w:rFonts w:cstheme="minorHAnsi"/>
                <w:b/>
                <w:color w:val="000000"/>
                <w:sz w:val="20"/>
                <w:szCs w:val="20"/>
              </w:rPr>
              <w:t>Relevance: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screening responsibilities in primary care in UK and USA differ</w:t>
            </w:r>
          </w:p>
        </w:tc>
      </w:tr>
      <w:tr w:rsidR="00A3158A" w:rsidRPr="00C60450" w14:paraId="32DFBBEE" w14:textId="77777777" w:rsidTr="002A3013">
        <w:trPr>
          <w:trHeight w:val="300"/>
        </w:trPr>
        <w:tc>
          <w:tcPr>
            <w:tcW w:w="572" w:type="pct"/>
            <w:noWrap/>
            <w:vAlign w:val="center"/>
            <w:hideMark/>
          </w:tcPr>
          <w:p w14:paraId="220B04CE" w14:textId="77777777" w:rsidR="00A3158A" w:rsidRPr="00C60450" w:rsidRDefault="00A3158A" w:rsidP="00A3158A">
            <w:pPr>
              <w:pStyle w:val="ListParagraph"/>
              <w:numPr>
                <w:ilvl w:val="0"/>
                <w:numId w:val="3"/>
              </w:numPr>
              <w:jc w:val="lef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60450">
              <w:rPr>
                <w:rFonts w:eastAsia="Times New Roman" w:cstheme="minorHAnsi"/>
                <w:sz w:val="20"/>
                <w:szCs w:val="20"/>
                <w:lang w:eastAsia="en-GB"/>
              </w:rPr>
              <w:t>Tang, et al 2016</w:t>
            </w:r>
          </w:p>
        </w:tc>
        <w:tc>
          <w:tcPr>
            <w:tcW w:w="1927" w:type="pct"/>
            <w:noWrap/>
            <w:vAlign w:val="center"/>
            <w:hideMark/>
          </w:tcPr>
          <w:p w14:paraId="1BC424F6" w14:textId="77777777" w:rsidR="00A3158A" w:rsidRPr="00C60450" w:rsidRDefault="00A3158A" w:rsidP="002A3013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60450">
              <w:rPr>
                <w:rFonts w:eastAsia="Times New Roman" w:cstheme="minorHAnsi"/>
                <w:sz w:val="20"/>
                <w:szCs w:val="20"/>
                <w:lang w:eastAsia="en-GB"/>
              </w:rPr>
              <w:t>Clinician factors are associated with prostate-specific antigen (PSA) screening in older veterans with limited life expectancy</w:t>
            </w:r>
          </w:p>
        </w:tc>
        <w:tc>
          <w:tcPr>
            <w:tcW w:w="365" w:type="pct"/>
            <w:noWrap/>
            <w:vAlign w:val="center"/>
            <w:hideMark/>
          </w:tcPr>
          <w:p w14:paraId="4ECAA7D7" w14:textId="77777777" w:rsidR="00A3158A" w:rsidRPr="00C60450" w:rsidRDefault="00A3158A" w:rsidP="002A3013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60450">
              <w:rPr>
                <w:rFonts w:eastAsia="Times New Roman" w:cstheme="minorHAnsi"/>
                <w:sz w:val="20"/>
                <w:szCs w:val="20"/>
                <w:lang w:eastAsia="en-GB"/>
              </w:rPr>
              <w:t>USA</w:t>
            </w:r>
          </w:p>
        </w:tc>
        <w:tc>
          <w:tcPr>
            <w:tcW w:w="1146" w:type="pct"/>
          </w:tcPr>
          <w:p w14:paraId="4F95BEF8" w14:textId="77777777" w:rsidR="00A3158A" w:rsidRPr="00C60450" w:rsidRDefault="00A3158A" w:rsidP="002A3013">
            <w:pPr>
              <w:rPr>
                <w:rFonts w:cstheme="minorHAnsi"/>
                <w:sz w:val="20"/>
                <w:szCs w:val="20"/>
              </w:rPr>
            </w:pPr>
            <w:r w:rsidRPr="005D6C63">
              <w:rPr>
                <w:rFonts w:cstheme="minorHAnsi"/>
                <w:b/>
                <w:sz w:val="20"/>
                <w:szCs w:val="20"/>
              </w:rPr>
              <w:t>Low/medium</w:t>
            </w:r>
            <w:r>
              <w:rPr>
                <w:rFonts w:cstheme="minorHAnsi"/>
                <w:sz w:val="20"/>
                <w:szCs w:val="20"/>
              </w:rPr>
              <w:t xml:space="preserve">: records based study so unclear what % of data were excluded that did not meet inclusion criteria and it is possible some PSA tests included in the study were conducted for non-screening purposes </w:t>
            </w:r>
          </w:p>
        </w:tc>
        <w:tc>
          <w:tcPr>
            <w:tcW w:w="990" w:type="pct"/>
          </w:tcPr>
          <w:p w14:paraId="3ECBFE18" w14:textId="77777777" w:rsidR="00A3158A" w:rsidRDefault="00A3158A" w:rsidP="002A301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47B52">
              <w:rPr>
                <w:rFonts w:cstheme="minorHAnsi"/>
                <w:b/>
                <w:color w:val="000000"/>
                <w:sz w:val="20"/>
                <w:szCs w:val="20"/>
              </w:rPr>
              <w:t>Relevance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: screening policies &amp; responsibilities in primary care in UK and USA differ. </w:t>
            </w:r>
          </w:p>
        </w:tc>
      </w:tr>
    </w:tbl>
    <w:p w14:paraId="4C3971CD" w14:textId="77777777" w:rsidR="00A3158A" w:rsidRDefault="00A3158A" w:rsidP="00A3158A"/>
    <w:p w14:paraId="13E348D6" w14:textId="40047C98" w:rsidR="00A3158A" w:rsidRDefault="00A3158A">
      <w:r>
        <w:lastRenderedPageBreak/>
        <w:br w:type="page"/>
      </w:r>
    </w:p>
    <w:p w14:paraId="072CB754" w14:textId="77777777" w:rsidR="00550C76" w:rsidRDefault="00DB2AA6"/>
    <w:sectPr w:rsidR="00550C76" w:rsidSect="00A3158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D6ACCF" w14:textId="77777777" w:rsidR="00FD0A7C" w:rsidRDefault="00FD0A7C" w:rsidP="00FD0A7C">
      <w:pPr>
        <w:spacing w:after="0" w:line="240" w:lineRule="auto"/>
      </w:pPr>
      <w:r>
        <w:separator/>
      </w:r>
    </w:p>
  </w:endnote>
  <w:endnote w:type="continuationSeparator" w:id="0">
    <w:p w14:paraId="25B4664D" w14:textId="77777777" w:rsidR="00FD0A7C" w:rsidRDefault="00FD0A7C" w:rsidP="00FD0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6168E3" w14:textId="77777777" w:rsidR="00FD0A7C" w:rsidRDefault="00FD0A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DFC9CD" w14:textId="77777777" w:rsidR="00FD0A7C" w:rsidRDefault="00FD0A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4BEB9" w14:textId="77777777" w:rsidR="00FD0A7C" w:rsidRDefault="00FD0A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1482A0" w14:textId="77777777" w:rsidR="00FD0A7C" w:rsidRDefault="00FD0A7C" w:rsidP="00FD0A7C">
      <w:pPr>
        <w:spacing w:after="0" w:line="240" w:lineRule="auto"/>
      </w:pPr>
      <w:r>
        <w:separator/>
      </w:r>
    </w:p>
  </w:footnote>
  <w:footnote w:type="continuationSeparator" w:id="0">
    <w:p w14:paraId="5F6D3779" w14:textId="77777777" w:rsidR="00FD0A7C" w:rsidRDefault="00FD0A7C" w:rsidP="00FD0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C3B73D" w14:textId="77777777" w:rsidR="00FD0A7C" w:rsidRDefault="00FD0A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1776966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9F221B9" w14:textId="2BAFF538" w:rsidR="00FD0A7C" w:rsidRDefault="00FD0A7C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A5EE2E" w14:textId="77777777" w:rsidR="00FD0A7C" w:rsidRDefault="00FD0A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BB74DC" w14:textId="77777777" w:rsidR="00FD0A7C" w:rsidRDefault="00FD0A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110AE"/>
    <w:multiLevelType w:val="hybridMultilevel"/>
    <w:tmpl w:val="62326F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95611"/>
    <w:multiLevelType w:val="hybridMultilevel"/>
    <w:tmpl w:val="3D78B6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6177F"/>
    <w:multiLevelType w:val="hybridMultilevel"/>
    <w:tmpl w:val="EB2CA05E"/>
    <w:lvl w:ilvl="0" w:tplc="D43A7292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D7B84"/>
    <w:multiLevelType w:val="hybridMultilevel"/>
    <w:tmpl w:val="4E42BA5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5127AF6"/>
    <w:multiLevelType w:val="hybridMultilevel"/>
    <w:tmpl w:val="066E22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F37"/>
    <w:rsid w:val="00205D98"/>
    <w:rsid w:val="0024465E"/>
    <w:rsid w:val="00262112"/>
    <w:rsid w:val="003E568C"/>
    <w:rsid w:val="0048365D"/>
    <w:rsid w:val="00537F37"/>
    <w:rsid w:val="006B2C89"/>
    <w:rsid w:val="00730187"/>
    <w:rsid w:val="007C5F4D"/>
    <w:rsid w:val="00A3158A"/>
    <w:rsid w:val="00DB2AA6"/>
    <w:rsid w:val="00E53128"/>
    <w:rsid w:val="00E84A6A"/>
    <w:rsid w:val="00F75B50"/>
    <w:rsid w:val="00FC2518"/>
    <w:rsid w:val="00FD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41C5C"/>
  <w15:chartTrackingRefBased/>
  <w15:docId w15:val="{6A3EE1C0-3904-49F2-919F-88362FDA3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F37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A315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7F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7F3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37F3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37F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7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537F3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537F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7F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7F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7F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7F3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7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F3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37F3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FC251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315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A315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0A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A7C"/>
  </w:style>
  <w:style w:type="paragraph" w:styleId="Footer">
    <w:name w:val="footer"/>
    <w:basedOn w:val="Normal"/>
    <w:link w:val="FooterChar"/>
    <w:uiPriority w:val="99"/>
    <w:unhideWhenUsed/>
    <w:rsid w:val="00FD0A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77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1343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London</Company>
  <LinksUpToDate>false</LinksUpToDate>
  <CharactersWithSpaces>8982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Sheringham, Jessica</dc:creator>
  <cp:keywords/>
  <dc:description/>
  <cp:lastModifiedBy>Jessica Sheringham</cp:lastModifiedBy>
  <cp:revision>5</cp:revision>
  <cp:lastPrinted>2019-10-10T08:57:00Z</cp:lastPrinted>
  <dcterms:created xsi:type="dcterms:W3CDTF">2020-12-17T15:38:00Z</dcterms:created>
  <dcterms:modified xsi:type="dcterms:W3CDTF">2021-01-08T15:09:00Z</dcterms:modified>
</cp:coreProperties>
</file>