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ADFF5" w14:textId="77777777" w:rsidR="00B85C16" w:rsidRPr="00610108" w:rsidRDefault="00B85C16" w:rsidP="00B85C16">
      <w:pPr>
        <w:spacing w:line="480" w:lineRule="auto"/>
        <w:rPr>
          <w:lang w:val="en-GB"/>
        </w:rPr>
      </w:pPr>
      <w:r w:rsidRPr="00610108">
        <w:rPr>
          <w:b/>
          <w:bCs/>
          <w:lang w:val="en-GB"/>
        </w:rPr>
        <w:t xml:space="preserve">Title: </w:t>
      </w:r>
      <w:r w:rsidRPr="00610108">
        <w:rPr>
          <w:lang w:val="en-GB"/>
        </w:rPr>
        <w:t xml:space="preserve">Three-year trajectories in Functional Limitations and Cognitive Decline among Dutch 75+ year olds, using nine-month intervals. </w:t>
      </w:r>
      <w:r>
        <w:rPr>
          <w:lang w:val="en-GB"/>
        </w:rPr>
        <w:t xml:space="preserve"> </w:t>
      </w:r>
    </w:p>
    <w:p w14:paraId="1BAE79C5" w14:textId="77777777" w:rsidR="00B85C16" w:rsidRPr="00BB3146" w:rsidRDefault="00B85C16" w:rsidP="00B85C16">
      <w:pPr>
        <w:spacing w:line="480" w:lineRule="auto"/>
        <w:rPr>
          <w:vertAlign w:val="superscript"/>
        </w:rPr>
      </w:pPr>
      <w:r w:rsidRPr="00BB3146">
        <w:rPr>
          <w:b/>
          <w:bCs/>
        </w:rPr>
        <w:t>Authors:</w:t>
      </w:r>
      <w:r w:rsidRPr="00BB3146">
        <w:t xml:space="preserve"> Maura Kyra Maria Gardeniers</w:t>
      </w:r>
      <w:r w:rsidRPr="00BB3146">
        <w:rPr>
          <w:vertAlign w:val="superscript"/>
        </w:rPr>
        <w:t>1</w:t>
      </w:r>
      <w:r w:rsidRPr="00BB3146">
        <w:t xml:space="preserve"> (corresponding author), Marjolein Irene Broese van Groenou</w:t>
      </w:r>
      <w:r w:rsidRPr="00BB3146">
        <w:rPr>
          <w:vertAlign w:val="superscript"/>
        </w:rPr>
        <w:t>2</w:t>
      </w:r>
      <w:r w:rsidRPr="00BB3146">
        <w:t>, Erik Jan Meijboom</w:t>
      </w:r>
      <w:r w:rsidRPr="00BB3146">
        <w:rPr>
          <w:vertAlign w:val="superscript"/>
        </w:rPr>
        <w:t>3</w:t>
      </w:r>
      <w:r w:rsidRPr="00BB3146">
        <w:t>, Martijn Huisman</w:t>
      </w:r>
      <w:r w:rsidRPr="00BB3146">
        <w:rPr>
          <w:vertAlign w:val="superscript"/>
        </w:rPr>
        <w:t>4</w:t>
      </w:r>
    </w:p>
    <w:p w14:paraId="0F824426" w14:textId="77777777" w:rsidR="00B85C16" w:rsidRDefault="00B85C16" w:rsidP="00B85C16">
      <w:pPr>
        <w:spacing w:line="480" w:lineRule="auto"/>
      </w:pPr>
      <w:r w:rsidRPr="00BB3146">
        <w:rPr>
          <w:b/>
          <w:bCs/>
        </w:rPr>
        <w:t>Institutional addresses:</w:t>
      </w:r>
      <w:r w:rsidRPr="00BB3146">
        <w:t xml:space="preserve"> </w:t>
      </w:r>
      <w:r w:rsidRPr="00BB3146">
        <w:rPr>
          <w:vertAlign w:val="superscript"/>
        </w:rPr>
        <w:t>1</w:t>
      </w:r>
      <w:r w:rsidRPr="00BB3146">
        <w:t xml:space="preserve">Vrije Universiteit Amsterdam, Department of Sociology, De Boelelaan, 1081 Amsterdam, The Netherlands. </w:t>
      </w:r>
      <w:r w:rsidRPr="00BB3146">
        <w:rPr>
          <w:vertAlign w:val="superscript"/>
        </w:rPr>
        <w:t>2</w:t>
      </w:r>
      <w:r w:rsidRPr="00BB3146">
        <w:t xml:space="preserve">Vrije Universiteit Amsterdam, Department of Sociology, De Boelelaan, 1081 Amsterdam, The Netherlands. </w:t>
      </w:r>
      <w:r w:rsidRPr="00BB3146">
        <w:rPr>
          <w:vertAlign w:val="superscript"/>
        </w:rPr>
        <w:t>3</w:t>
      </w:r>
      <w:r w:rsidRPr="00BB3146">
        <w:t xml:space="preserve">Vrije Universiteit Amsterdam, Department of Sociology, De Boelelaan, 1081 Amsterdam, The Netherlands. </w:t>
      </w:r>
      <w:r w:rsidRPr="00BB3146">
        <w:rPr>
          <w:vertAlign w:val="superscript"/>
        </w:rPr>
        <w:t>4</w:t>
      </w:r>
      <w:r w:rsidRPr="00BB3146">
        <w:t>Amsterdam UMC, Vrije Universiteit Amsterdam, Department of Epidemiology &amp; Biostatistics, Amsterdam Public Health research institute, De Boelelaan, 1117 Amsterdam, Netherlands. Vrije Universiteit Amsterdam, Department of Sociology, De Boelelaan, 1081 Amsterdam, The Netherlands.</w:t>
      </w:r>
    </w:p>
    <w:p w14:paraId="137D2785" w14:textId="77777777" w:rsidR="00B85C16" w:rsidRPr="00402DE2" w:rsidRDefault="00B85C16" w:rsidP="00B85C16">
      <w:pPr>
        <w:spacing w:line="480" w:lineRule="auto"/>
        <w:rPr>
          <w:lang w:val="en-GB"/>
        </w:rPr>
      </w:pPr>
      <w:r w:rsidRPr="00402DE2">
        <w:rPr>
          <w:b/>
          <w:bCs/>
          <w:lang w:val="en-GB"/>
        </w:rPr>
        <w:t xml:space="preserve">Correspondence to: </w:t>
      </w:r>
      <w:r w:rsidRPr="00402DE2">
        <w:rPr>
          <w:lang w:val="en-GB"/>
        </w:rPr>
        <w:t>m.k.m</w:t>
      </w:r>
      <w:r>
        <w:rPr>
          <w:lang w:val="en-GB"/>
        </w:rPr>
        <w:t>.gardeniers@vu.nl</w:t>
      </w:r>
    </w:p>
    <w:p w14:paraId="2B549FFE" w14:textId="4361D842" w:rsidR="00B85C16" w:rsidRDefault="00B85C16" w:rsidP="008A5467">
      <w:pPr>
        <w:rPr>
          <w:rFonts w:cstheme="minorHAnsi"/>
          <w:b/>
          <w:bCs/>
          <w:lang w:val="en-GB"/>
        </w:rPr>
      </w:pPr>
    </w:p>
    <w:p w14:paraId="1BB225A2" w14:textId="1C5A8089" w:rsidR="00B85C16" w:rsidRDefault="00B85C16" w:rsidP="008A5467">
      <w:pPr>
        <w:rPr>
          <w:rFonts w:cstheme="minorHAnsi"/>
          <w:b/>
          <w:bCs/>
          <w:lang w:val="en-GB"/>
        </w:rPr>
      </w:pPr>
    </w:p>
    <w:p w14:paraId="5701C296" w14:textId="7992E4E2" w:rsidR="00B85C16" w:rsidRDefault="00B85C16" w:rsidP="008A5467">
      <w:pPr>
        <w:rPr>
          <w:rFonts w:cstheme="minorHAnsi"/>
          <w:b/>
          <w:bCs/>
          <w:lang w:val="en-GB"/>
        </w:rPr>
      </w:pPr>
    </w:p>
    <w:p w14:paraId="13639DA0" w14:textId="6FA2CFC6" w:rsidR="00B85C16" w:rsidRDefault="00B85C16" w:rsidP="008A5467">
      <w:pPr>
        <w:rPr>
          <w:rFonts w:cstheme="minorHAnsi"/>
          <w:b/>
          <w:bCs/>
          <w:lang w:val="en-GB"/>
        </w:rPr>
      </w:pPr>
    </w:p>
    <w:p w14:paraId="5409D82A" w14:textId="18B69934" w:rsidR="00B85C16" w:rsidRDefault="00B85C16" w:rsidP="008A5467">
      <w:pPr>
        <w:rPr>
          <w:rFonts w:cstheme="minorHAnsi"/>
          <w:b/>
          <w:bCs/>
          <w:lang w:val="en-GB"/>
        </w:rPr>
      </w:pPr>
    </w:p>
    <w:p w14:paraId="3020207B" w14:textId="5B8AD830" w:rsidR="00B85C16" w:rsidRDefault="00B85C16" w:rsidP="008A5467">
      <w:pPr>
        <w:rPr>
          <w:rFonts w:cstheme="minorHAnsi"/>
          <w:b/>
          <w:bCs/>
          <w:lang w:val="en-GB"/>
        </w:rPr>
      </w:pPr>
    </w:p>
    <w:p w14:paraId="78948A8B" w14:textId="7593DFEB" w:rsidR="00B85C16" w:rsidRDefault="00B85C16" w:rsidP="008A5467">
      <w:pPr>
        <w:rPr>
          <w:rFonts w:cstheme="minorHAnsi"/>
          <w:b/>
          <w:bCs/>
          <w:lang w:val="en-GB"/>
        </w:rPr>
      </w:pPr>
    </w:p>
    <w:p w14:paraId="45022A17" w14:textId="7F158799" w:rsidR="00B85C16" w:rsidRDefault="00B85C16" w:rsidP="008A5467">
      <w:pPr>
        <w:rPr>
          <w:rFonts w:cstheme="minorHAnsi"/>
          <w:b/>
          <w:bCs/>
          <w:lang w:val="en-GB"/>
        </w:rPr>
      </w:pPr>
    </w:p>
    <w:p w14:paraId="77FFF137" w14:textId="30D5B5E8" w:rsidR="00B85C16" w:rsidRDefault="00B85C16" w:rsidP="008A5467">
      <w:pPr>
        <w:rPr>
          <w:rFonts w:cstheme="minorHAnsi"/>
          <w:b/>
          <w:bCs/>
          <w:lang w:val="en-GB"/>
        </w:rPr>
      </w:pPr>
    </w:p>
    <w:p w14:paraId="11B0408D" w14:textId="31A92EB3" w:rsidR="00B85C16" w:rsidRDefault="00B85C16" w:rsidP="008A5467">
      <w:pPr>
        <w:rPr>
          <w:rFonts w:cstheme="minorHAnsi"/>
          <w:b/>
          <w:bCs/>
          <w:lang w:val="en-GB"/>
        </w:rPr>
      </w:pPr>
    </w:p>
    <w:p w14:paraId="42715BD3" w14:textId="11DC7C7B" w:rsidR="00B85C16" w:rsidRDefault="00B85C16" w:rsidP="008A5467">
      <w:pPr>
        <w:rPr>
          <w:rFonts w:cstheme="minorHAnsi"/>
          <w:b/>
          <w:bCs/>
          <w:lang w:val="en-GB"/>
        </w:rPr>
      </w:pPr>
    </w:p>
    <w:p w14:paraId="52A03175" w14:textId="669626E0" w:rsidR="00B85C16" w:rsidRDefault="00B85C16" w:rsidP="008A5467">
      <w:pPr>
        <w:rPr>
          <w:rFonts w:cstheme="minorHAnsi"/>
          <w:b/>
          <w:bCs/>
          <w:lang w:val="en-GB"/>
        </w:rPr>
      </w:pPr>
    </w:p>
    <w:p w14:paraId="295E4342" w14:textId="77777777" w:rsidR="00B85C16" w:rsidRDefault="00B85C16" w:rsidP="008A5467">
      <w:pPr>
        <w:rPr>
          <w:rFonts w:cstheme="minorHAnsi"/>
          <w:b/>
          <w:bCs/>
          <w:lang w:val="en-GB"/>
        </w:rPr>
      </w:pPr>
    </w:p>
    <w:p w14:paraId="291A9A7D" w14:textId="77777777" w:rsidR="00B85C16" w:rsidRDefault="00B85C16" w:rsidP="008A5467">
      <w:pPr>
        <w:rPr>
          <w:rFonts w:cstheme="minorHAnsi"/>
          <w:b/>
          <w:bCs/>
          <w:lang w:val="en-GB"/>
        </w:rPr>
      </w:pPr>
    </w:p>
    <w:p w14:paraId="715FE0AA" w14:textId="77777777" w:rsidR="00B85C16" w:rsidRDefault="00B85C16" w:rsidP="008A5467">
      <w:pPr>
        <w:rPr>
          <w:rFonts w:cstheme="minorHAnsi"/>
          <w:b/>
          <w:bCs/>
          <w:lang w:val="en-GB"/>
        </w:rPr>
      </w:pPr>
    </w:p>
    <w:p w14:paraId="27ECADB2" w14:textId="7CA56D52" w:rsidR="008A5467" w:rsidRPr="00B1780E" w:rsidRDefault="008A5467" w:rsidP="008A5467">
      <w:pPr>
        <w:rPr>
          <w:rFonts w:cstheme="minorHAnsi"/>
          <w:b/>
          <w:bCs/>
          <w:lang w:val="en-GB"/>
        </w:rPr>
      </w:pPr>
      <w:r w:rsidRPr="00B1780E">
        <w:rPr>
          <w:rFonts w:cstheme="minorHAnsi"/>
          <w:b/>
          <w:bCs/>
          <w:lang w:val="en-GB"/>
        </w:rPr>
        <w:lastRenderedPageBreak/>
        <w:t>1. Harmonizing the IQCODE and the MMSE</w:t>
      </w:r>
    </w:p>
    <w:tbl>
      <w:tblPr>
        <w:tblStyle w:val="Tabelraster"/>
        <w:tblpPr w:leftFromText="141" w:rightFromText="141" w:vertAnchor="text" w:horzAnchor="margin" w:tblpY="318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4326"/>
        <w:gridCol w:w="4366"/>
      </w:tblGrid>
      <w:tr w:rsidR="008A5467" w:rsidRPr="00BE5757" w14:paraId="78666929" w14:textId="77777777" w:rsidTr="006B4F54">
        <w:tc>
          <w:tcPr>
            <w:tcW w:w="9072" w:type="dxa"/>
            <w:gridSpan w:val="3"/>
            <w:tcBorders>
              <w:bottom w:val="single" w:sz="12" w:space="0" w:color="auto"/>
            </w:tcBorders>
          </w:tcPr>
          <w:p w14:paraId="3DD03AA4" w14:textId="23FD5A0C" w:rsidR="008A5467" w:rsidRPr="00B1780E" w:rsidRDefault="008A5467" w:rsidP="006B4F54">
            <w:pPr>
              <w:pStyle w:val="Kop2"/>
              <w:spacing w:line="480" w:lineRule="auto"/>
              <w:outlineLvl w:val="1"/>
              <w:rPr>
                <w:rFonts w:asciiTheme="minorHAnsi" w:hAnsiTheme="minorHAnsi" w:cstheme="minorHAnsi"/>
                <w:b w:val="0"/>
                <w:bCs/>
                <w:noProof/>
                <w:sz w:val="22"/>
                <w:szCs w:val="22"/>
                <w:lang w:val="en-GB"/>
              </w:rPr>
            </w:pPr>
            <w:r w:rsidRPr="00B1780E">
              <w:rPr>
                <w:rFonts w:asciiTheme="minorHAnsi" w:hAnsiTheme="minorHAnsi" w:cstheme="minorHAnsi"/>
                <w:noProof/>
                <w:sz w:val="22"/>
                <w:szCs w:val="22"/>
                <w:lang w:val="en-GB"/>
              </w:rPr>
              <w:t xml:space="preserve">Figure </w:t>
            </w:r>
            <w:r w:rsidR="00BE5757">
              <w:rPr>
                <w:rFonts w:asciiTheme="minorHAnsi" w:hAnsiTheme="minorHAnsi" w:cstheme="minorHAnsi"/>
                <w:noProof/>
                <w:sz w:val="22"/>
                <w:szCs w:val="22"/>
                <w:lang w:val="en-GB"/>
              </w:rPr>
              <w:t>S</w:t>
            </w:r>
            <w:r w:rsidRPr="00B1780E">
              <w:rPr>
                <w:rFonts w:asciiTheme="minorHAnsi" w:hAnsiTheme="minorHAnsi" w:cstheme="minorHAnsi"/>
                <w:noProof/>
                <w:sz w:val="22"/>
                <w:szCs w:val="22"/>
                <w:lang w:val="en-GB"/>
              </w:rPr>
              <w:t>1</w:t>
            </w:r>
            <w:r w:rsidRPr="00B1780E">
              <w:rPr>
                <w:rFonts w:asciiTheme="minorHAnsi" w:hAnsiTheme="minorHAnsi" w:cstheme="minorHAnsi"/>
                <w:b w:val="0"/>
                <w:bCs/>
                <w:noProof/>
                <w:sz w:val="22"/>
                <w:szCs w:val="22"/>
                <w:lang w:val="en-GB"/>
              </w:rPr>
              <w:br/>
            </w:r>
            <w:r w:rsidRPr="00B1780E">
              <w:rPr>
                <w:rFonts w:asciiTheme="minorHAnsi" w:hAnsiTheme="minorHAnsi" w:cstheme="minorHAnsi"/>
                <w:b w:val="0"/>
                <w:bCs/>
                <w:i/>
                <w:iCs/>
                <w:noProof/>
                <w:sz w:val="22"/>
                <w:szCs w:val="22"/>
                <w:lang w:val="en-GB"/>
              </w:rPr>
              <w:t>Trajectories in cognition based on two different ways of harmonizing the IQCODE and the MMSE</w:t>
            </w:r>
          </w:p>
        </w:tc>
      </w:tr>
      <w:tr w:rsidR="008A5467" w:rsidRPr="00B1780E" w14:paraId="11D2EF5B" w14:textId="77777777" w:rsidTr="006B4F54">
        <w:tc>
          <w:tcPr>
            <w:tcW w:w="380" w:type="dxa"/>
            <w:tcBorders>
              <w:top w:val="single" w:sz="12" w:space="0" w:color="auto"/>
            </w:tcBorders>
          </w:tcPr>
          <w:p w14:paraId="0BDD43F5" w14:textId="77777777" w:rsidR="008A5467" w:rsidRPr="00B1780E" w:rsidRDefault="008A5467" w:rsidP="006B4F54">
            <w:pPr>
              <w:pStyle w:val="Kop2"/>
              <w:spacing w:line="360" w:lineRule="auto"/>
              <w:outlineLvl w:val="1"/>
              <w:rPr>
                <w:rFonts w:asciiTheme="minorHAnsi" w:hAnsiTheme="minorHAnsi" w:cstheme="minorHAnsi"/>
                <w:b w:val="0"/>
                <w:bCs/>
                <w:sz w:val="22"/>
                <w:szCs w:val="22"/>
                <w:lang w:val="en-GB"/>
              </w:rPr>
            </w:pPr>
          </w:p>
        </w:tc>
        <w:tc>
          <w:tcPr>
            <w:tcW w:w="4326" w:type="dxa"/>
            <w:tcBorders>
              <w:top w:val="single" w:sz="12" w:space="0" w:color="auto"/>
            </w:tcBorders>
          </w:tcPr>
          <w:p w14:paraId="4284BD6F" w14:textId="77777777" w:rsidR="008A5467" w:rsidRPr="00B1780E" w:rsidRDefault="008A5467" w:rsidP="006B4F54">
            <w:pPr>
              <w:pStyle w:val="Kop2"/>
              <w:spacing w:line="360" w:lineRule="auto"/>
              <w:outlineLvl w:val="1"/>
              <w:rPr>
                <w:rFonts w:asciiTheme="minorHAnsi" w:hAnsiTheme="minorHAnsi" w:cstheme="minorHAnsi"/>
                <w:b w:val="0"/>
                <w:bCs/>
                <w:noProof/>
                <w:sz w:val="22"/>
                <w:szCs w:val="22"/>
                <w:u w:val="single"/>
                <w:lang w:val="en-GB"/>
              </w:rPr>
            </w:pPr>
            <w:r w:rsidRPr="00B1780E">
              <w:rPr>
                <w:rFonts w:asciiTheme="minorHAnsi" w:hAnsiTheme="minorHAnsi" w:cstheme="minorHAnsi"/>
                <w:b w:val="0"/>
                <w:bCs/>
                <w:noProof/>
                <w:sz w:val="22"/>
                <w:szCs w:val="22"/>
                <w:u w:val="single"/>
                <w:lang w:val="en-GB"/>
              </w:rPr>
              <w:t>MMSE-scores per wave</w:t>
            </w:r>
          </w:p>
        </w:tc>
        <w:tc>
          <w:tcPr>
            <w:tcW w:w="4366" w:type="dxa"/>
            <w:tcBorders>
              <w:top w:val="single" w:sz="12" w:space="0" w:color="auto"/>
            </w:tcBorders>
          </w:tcPr>
          <w:p w14:paraId="79642456" w14:textId="77777777" w:rsidR="008A5467" w:rsidRPr="00B1780E" w:rsidRDefault="008A5467" w:rsidP="006B4F54">
            <w:pPr>
              <w:pStyle w:val="Kop2"/>
              <w:spacing w:line="360" w:lineRule="auto"/>
              <w:outlineLvl w:val="1"/>
              <w:rPr>
                <w:rFonts w:asciiTheme="minorHAnsi" w:hAnsiTheme="minorHAnsi" w:cstheme="minorHAnsi"/>
                <w:b w:val="0"/>
                <w:bCs/>
                <w:noProof/>
                <w:sz w:val="22"/>
                <w:szCs w:val="22"/>
                <w:u w:val="single"/>
                <w:lang w:val="en-GB"/>
              </w:rPr>
            </w:pPr>
            <w:r w:rsidRPr="00B1780E">
              <w:rPr>
                <w:rFonts w:asciiTheme="minorHAnsi" w:hAnsiTheme="minorHAnsi" w:cstheme="minorHAnsi"/>
                <w:b w:val="0"/>
                <w:bCs/>
                <w:noProof/>
                <w:sz w:val="22"/>
                <w:szCs w:val="22"/>
                <w:u w:val="single"/>
                <w:lang w:val="en-GB"/>
              </w:rPr>
              <w:t>Mortality-probability per wave</w:t>
            </w:r>
          </w:p>
        </w:tc>
      </w:tr>
      <w:tr w:rsidR="008A5467" w:rsidRPr="00BE5757" w14:paraId="6784330F" w14:textId="77777777" w:rsidTr="006B4F54">
        <w:tc>
          <w:tcPr>
            <w:tcW w:w="9072" w:type="dxa"/>
            <w:gridSpan w:val="3"/>
          </w:tcPr>
          <w:p w14:paraId="64353020" w14:textId="77777777" w:rsidR="008A5467" w:rsidRPr="00EB05DB" w:rsidRDefault="008A5467" w:rsidP="006B4F54">
            <w:pPr>
              <w:pStyle w:val="Kop2"/>
              <w:spacing w:line="360" w:lineRule="auto"/>
              <w:outlineLvl w:val="1"/>
              <w:rPr>
                <w:rFonts w:asciiTheme="minorHAnsi" w:hAnsiTheme="minorHAnsi" w:cstheme="minorHAnsi"/>
                <w:b w:val="0"/>
                <w:bCs/>
                <w:i/>
                <w:iCs/>
                <w:noProof/>
                <w:sz w:val="22"/>
                <w:szCs w:val="22"/>
                <w:u w:val="single"/>
                <w:lang w:val="en-GB"/>
              </w:rPr>
            </w:pPr>
            <w:r w:rsidRPr="00EB05DB">
              <w:rPr>
                <w:rFonts w:asciiTheme="minorHAnsi" w:hAnsiTheme="minorHAnsi" w:cstheme="minorHAnsi"/>
                <w:b w:val="0"/>
                <w:bCs/>
                <w:i/>
                <w:iCs/>
                <w:sz w:val="22"/>
                <w:szCs w:val="22"/>
                <w:lang w:val="en-GB"/>
              </w:rPr>
              <w:t>Based on Chiriboga, McHugh, and Sweeney (2008)</w:t>
            </w:r>
          </w:p>
        </w:tc>
      </w:tr>
      <w:tr w:rsidR="008A5467" w:rsidRPr="00B1780E" w14:paraId="1459049B" w14:textId="77777777" w:rsidTr="006B4F54">
        <w:tc>
          <w:tcPr>
            <w:tcW w:w="380" w:type="dxa"/>
            <w:tcBorders>
              <w:bottom w:val="single" w:sz="4" w:space="0" w:color="auto"/>
            </w:tcBorders>
          </w:tcPr>
          <w:p w14:paraId="55A7B4D1" w14:textId="77777777" w:rsidR="008A5467" w:rsidRPr="00B1780E" w:rsidRDefault="008A5467" w:rsidP="006B4F54">
            <w:pPr>
              <w:pStyle w:val="Kop2"/>
              <w:spacing w:line="360" w:lineRule="auto"/>
              <w:outlineLvl w:val="1"/>
              <w:rPr>
                <w:rFonts w:asciiTheme="minorHAnsi" w:hAnsiTheme="minorHAnsi" w:cstheme="minorHAnsi"/>
                <w:b w:val="0"/>
                <w:bCs/>
                <w:sz w:val="22"/>
                <w:szCs w:val="22"/>
                <w:lang w:val="en-GB"/>
              </w:rPr>
            </w:pPr>
          </w:p>
        </w:tc>
        <w:tc>
          <w:tcPr>
            <w:tcW w:w="4326" w:type="dxa"/>
            <w:tcBorders>
              <w:bottom w:val="single" w:sz="4" w:space="0" w:color="auto"/>
            </w:tcBorders>
          </w:tcPr>
          <w:p w14:paraId="1DD0A51F" w14:textId="77777777" w:rsidR="008A5467" w:rsidRPr="00B1780E" w:rsidRDefault="008A5467" w:rsidP="006B4F54">
            <w:pPr>
              <w:pStyle w:val="Kop2"/>
              <w:spacing w:line="360" w:lineRule="auto"/>
              <w:outlineLvl w:val="1"/>
              <w:rPr>
                <w:rFonts w:asciiTheme="minorHAnsi" w:hAnsiTheme="minorHAnsi" w:cstheme="minorHAnsi"/>
                <w:b w:val="0"/>
                <w:bCs/>
                <w:sz w:val="22"/>
                <w:szCs w:val="22"/>
                <w:lang w:val="en-GB"/>
              </w:rPr>
            </w:pPr>
            <w:r>
              <w:rPr>
                <w:rFonts w:asciiTheme="minorHAnsi" w:hAnsiTheme="minorHAnsi" w:cstheme="minorHAnsi"/>
                <w:b w:val="0"/>
                <w:bCs/>
                <w:noProof/>
                <w:sz w:val="22"/>
                <w:szCs w:val="22"/>
                <w:lang w:val="en-GB"/>
              </w:rPr>
              <w:drawing>
                <wp:inline distT="0" distB="0" distL="0" distR="0" wp14:anchorId="358454B4" wp14:editId="30B24F70">
                  <wp:extent cx="2294736" cy="1668899"/>
                  <wp:effectExtent l="0" t="0" r="0" b="7620"/>
                  <wp:docPr id="544" name="Afbeelding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Afbeelding 54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4695" cy="1676142"/>
                          </a:xfrm>
                          <a:prstGeom prst="rect">
                            <a:avLst/>
                          </a:prstGeom>
                        </pic:spPr>
                      </pic:pic>
                    </a:graphicData>
                  </a:graphic>
                </wp:inline>
              </w:drawing>
            </w:r>
          </w:p>
        </w:tc>
        <w:tc>
          <w:tcPr>
            <w:tcW w:w="4366" w:type="dxa"/>
            <w:tcBorders>
              <w:bottom w:val="single" w:sz="4" w:space="0" w:color="auto"/>
            </w:tcBorders>
          </w:tcPr>
          <w:p w14:paraId="685B5F04" w14:textId="77777777" w:rsidR="008A5467" w:rsidRPr="00B1780E" w:rsidRDefault="008A5467" w:rsidP="006B4F54">
            <w:pPr>
              <w:pStyle w:val="Kop2"/>
              <w:spacing w:line="360" w:lineRule="auto"/>
              <w:outlineLvl w:val="1"/>
              <w:rPr>
                <w:rFonts w:asciiTheme="minorHAnsi" w:hAnsiTheme="minorHAnsi" w:cstheme="minorHAnsi"/>
                <w:b w:val="0"/>
                <w:bCs/>
                <w:sz w:val="22"/>
                <w:szCs w:val="22"/>
                <w:lang w:val="en-GB"/>
              </w:rPr>
            </w:pPr>
            <w:r>
              <w:rPr>
                <w:rFonts w:asciiTheme="minorHAnsi" w:hAnsiTheme="minorHAnsi" w:cstheme="minorHAnsi"/>
                <w:b w:val="0"/>
                <w:bCs/>
                <w:noProof/>
                <w:sz w:val="22"/>
                <w:szCs w:val="22"/>
                <w:lang w:val="en-GB"/>
              </w:rPr>
              <w:drawing>
                <wp:inline distT="0" distB="0" distL="0" distR="0" wp14:anchorId="439E518E" wp14:editId="2BAB9492">
                  <wp:extent cx="2261812" cy="1646063"/>
                  <wp:effectExtent l="0" t="0" r="5715" b="0"/>
                  <wp:docPr id="543" name="Afbeelding 543"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Afbeelding 543" descr="Afbeelding met tafel&#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2261812" cy="1646063"/>
                          </a:xfrm>
                          <a:prstGeom prst="rect">
                            <a:avLst/>
                          </a:prstGeom>
                        </pic:spPr>
                      </pic:pic>
                    </a:graphicData>
                  </a:graphic>
                </wp:inline>
              </w:drawing>
            </w:r>
          </w:p>
        </w:tc>
      </w:tr>
      <w:tr w:rsidR="008A5467" w:rsidRPr="00B1780E" w14:paraId="7D014DE0" w14:textId="77777777" w:rsidTr="006B4F54">
        <w:tc>
          <w:tcPr>
            <w:tcW w:w="9072" w:type="dxa"/>
            <w:gridSpan w:val="3"/>
            <w:tcBorders>
              <w:top w:val="single" w:sz="4" w:space="0" w:color="auto"/>
            </w:tcBorders>
          </w:tcPr>
          <w:p w14:paraId="36127438" w14:textId="77777777" w:rsidR="008A5467" w:rsidRPr="00EB05DB" w:rsidRDefault="008A5467" w:rsidP="006B4F54">
            <w:pPr>
              <w:pStyle w:val="Kop2"/>
              <w:spacing w:line="360" w:lineRule="auto"/>
              <w:outlineLvl w:val="1"/>
              <w:rPr>
                <w:rFonts w:asciiTheme="minorHAnsi" w:hAnsiTheme="minorHAnsi" w:cstheme="minorHAnsi"/>
                <w:b w:val="0"/>
                <w:bCs/>
                <w:i/>
                <w:iCs/>
                <w:noProof/>
                <w:sz w:val="22"/>
                <w:szCs w:val="22"/>
              </w:rPr>
            </w:pPr>
            <w:r w:rsidRPr="00EB05DB">
              <w:rPr>
                <w:rFonts w:asciiTheme="minorHAnsi" w:hAnsiTheme="minorHAnsi" w:cstheme="minorHAnsi"/>
                <w:b w:val="0"/>
                <w:bCs/>
                <w:i/>
                <w:iCs/>
                <w:sz w:val="22"/>
                <w:szCs w:val="22"/>
                <w:lang w:val="en-GB"/>
              </w:rPr>
              <w:t>Based on Comij</w:t>
            </w:r>
            <w:r>
              <w:rPr>
                <w:rFonts w:asciiTheme="minorHAnsi" w:hAnsiTheme="minorHAnsi" w:cstheme="minorHAnsi"/>
                <w:b w:val="0"/>
                <w:bCs/>
                <w:i/>
                <w:iCs/>
                <w:sz w:val="22"/>
                <w:szCs w:val="22"/>
                <w:lang w:val="en-GB"/>
              </w:rPr>
              <w:t>s et al.</w:t>
            </w:r>
            <w:r w:rsidRPr="00EB05DB">
              <w:rPr>
                <w:rFonts w:asciiTheme="minorHAnsi" w:hAnsiTheme="minorHAnsi" w:cstheme="minorHAnsi"/>
                <w:b w:val="0"/>
                <w:bCs/>
                <w:i/>
                <w:iCs/>
                <w:sz w:val="22"/>
                <w:szCs w:val="22"/>
                <w:lang w:val="en-GB"/>
              </w:rPr>
              <w:t xml:space="preserve"> (2004)</w:t>
            </w:r>
          </w:p>
        </w:tc>
      </w:tr>
      <w:tr w:rsidR="008A5467" w:rsidRPr="00B1780E" w14:paraId="6C58CD1C" w14:textId="77777777" w:rsidTr="006B4F54">
        <w:tc>
          <w:tcPr>
            <w:tcW w:w="380" w:type="dxa"/>
            <w:tcBorders>
              <w:bottom w:val="single" w:sz="12" w:space="0" w:color="auto"/>
            </w:tcBorders>
          </w:tcPr>
          <w:p w14:paraId="361579CB" w14:textId="77777777" w:rsidR="008A5467" w:rsidRPr="00B1780E" w:rsidRDefault="008A5467" w:rsidP="006B4F54">
            <w:pPr>
              <w:pStyle w:val="Kop2"/>
              <w:spacing w:line="360" w:lineRule="auto"/>
              <w:outlineLvl w:val="1"/>
              <w:rPr>
                <w:rFonts w:asciiTheme="minorHAnsi" w:hAnsiTheme="minorHAnsi" w:cstheme="minorHAnsi"/>
                <w:b w:val="0"/>
                <w:bCs/>
                <w:sz w:val="22"/>
                <w:szCs w:val="22"/>
                <w:lang w:val="en-GB"/>
              </w:rPr>
            </w:pPr>
          </w:p>
        </w:tc>
        <w:tc>
          <w:tcPr>
            <w:tcW w:w="4326" w:type="dxa"/>
            <w:tcBorders>
              <w:bottom w:val="single" w:sz="12" w:space="0" w:color="auto"/>
            </w:tcBorders>
          </w:tcPr>
          <w:p w14:paraId="70EE3E7B" w14:textId="77777777" w:rsidR="008A5467" w:rsidRPr="00B1780E" w:rsidRDefault="008A5467" w:rsidP="006B4F54">
            <w:pPr>
              <w:pStyle w:val="Kop2"/>
              <w:spacing w:line="360" w:lineRule="auto"/>
              <w:outlineLvl w:val="1"/>
              <w:rPr>
                <w:rFonts w:asciiTheme="minorHAnsi" w:hAnsiTheme="minorHAnsi" w:cstheme="minorHAnsi"/>
                <w:b w:val="0"/>
                <w:bCs/>
                <w:sz w:val="22"/>
                <w:szCs w:val="22"/>
                <w:lang w:val="en-GB"/>
              </w:rPr>
            </w:pPr>
            <w:r>
              <w:rPr>
                <w:rFonts w:cstheme="minorHAnsi"/>
                <w:noProof/>
                <w:lang w:val="en-GB"/>
              </w:rPr>
              <w:drawing>
                <wp:inline distT="0" distB="0" distL="0" distR="0" wp14:anchorId="706F72AA" wp14:editId="7E8EC47D">
                  <wp:extent cx="2294255" cy="1480888"/>
                  <wp:effectExtent l="0" t="0" r="0" b="5080"/>
                  <wp:docPr id="307" name="Afbeelding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6">
                            <a:extLst>
                              <a:ext uri="{28A0092B-C50C-407E-A947-70E740481C1C}">
                                <a14:useLocalDpi xmlns:a14="http://schemas.microsoft.com/office/drawing/2010/main" val="0"/>
                              </a:ext>
                            </a:extLst>
                          </a:blip>
                          <a:stretch>
                            <a:fillRect/>
                          </a:stretch>
                        </pic:blipFill>
                        <pic:spPr>
                          <a:xfrm>
                            <a:off x="0" y="0"/>
                            <a:ext cx="2308595" cy="1490144"/>
                          </a:xfrm>
                          <a:prstGeom prst="rect">
                            <a:avLst/>
                          </a:prstGeom>
                        </pic:spPr>
                      </pic:pic>
                    </a:graphicData>
                  </a:graphic>
                </wp:inline>
              </w:drawing>
            </w:r>
          </w:p>
        </w:tc>
        <w:tc>
          <w:tcPr>
            <w:tcW w:w="4366" w:type="dxa"/>
            <w:tcBorders>
              <w:bottom w:val="single" w:sz="12" w:space="0" w:color="auto"/>
            </w:tcBorders>
          </w:tcPr>
          <w:p w14:paraId="7EDFD770" w14:textId="77777777" w:rsidR="008A5467" w:rsidRPr="00B1780E" w:rsidRDefault="008A5467" w:rsidP="006B4F54">
            <w:pPr>
              <w:pStyle w:val="Kop2"/>
              <w:spacing w:line="360" w:lineRule="auto"/>
              <w:outlineLvl w:val="1"/>
              <w:rPr>
                <w:rFonts w:asciiTheme="minorHAnsi" w:hAnsiTheme="minorHAnsi" w:cstheme="minorHAnsi"/>
                <w:b w:val="0"/>
                <w:bCs/>
                <w:sz w:val="22"/>
                <w:szCs w:val="22"/>
                <w:lang w:val="en-GB"/>
              </w:rPr>
            </w:pPr>
            <w:r>
              <w:rPr>
                <w:rFonts w:cstheme="minorHAnsi"/>
                <w:noProof/>
                <w:lang w:val="en-GB"/>
              </w:rPr>
              <w:drawing>
                <wp:inline distT="0" distB="0" distL="0" distR="0" wp14:anchorId="4614DC6E" wp14:editId="29594CE4">
                  <wp:extent cx="2376276" cy="1534559"/>
                  <wp:effectExtent l="0" t="0" r="5080" b="88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7">
                            <a:extLst>
                              <a:ext uri="{28A0092B-C50C-407E-A947-70E740481C1C}">
                                <a14:useLocalDpi xmlns:a14="http://schemas.microsoft.com/office/drawing/2010/main" val="0"/>
                              </a:ext>
                            </a:extLst>
                          </a:blip>
                          <a:stretch>
                            <a:fillRect/>
                          </a:stretch>
                        </pic:blipFill>
                        <pic:spPr>
                          <a:xfrm>
                            <a:off x="0" y="0"/>
                            <a:ext cx="2381903" cy="1538193"/>
                          </a:xfrm>
                          <a:prstGeom prst="rect">
                            <a:avLst/>
                          </a:prstGeom>
                        </pic:spPr>
                      </pic:pic>
                    </a:graphicData>
                  </a:graphic>
                </wp:inline>
              </w:drawing>
            </w:r>
          </w:p>
        </w:tc>
      </w:tr>
    </w:tbl>
    <w:p w14:paraId="25C19AE4" w14:textId="77777777" w:rsidR="008A5467" w:rsidRPr="00B1780E" w:rsidRDefault="008A5467" w:rsidP="008A5467">
      <w:pPr>
        <w:rPr>
          <w:rFonts w:cstheme="minorHAnsi"/>
          <w:lang w:val="en-GB"/>
        </w:rPr>
      </w:pPr>
      <w:r w:rsidRPr="00B1780E">
        <w:rPr>
          <w:rFonts w:cstheme="minorHAnsi"/>
          <w:lang w:val="en-GB"/>
        </w:rPr>
        <w:t xml:space="preserve">One of the main problems in harmonizing the IQCODE and the MMSE lies in the fact that both scales have a different time-axis; the IQCODE asks for changes in the past ten years, whereas the MMSE measures cognitive abilities in the present. However, when looking at the individual IQCODE-scores over time, there was much more variation than one might expect to be present. Since the IQCODE asks about changes in the past ten years, we would have expected that these scores would not vary substantially over the course of nine months, but for many, it did. This variation didn’t solely show decreasing cognitive abilities, but recovery as well. This seems to imply that most proxies answering the IQCODE have the respondent’s cognitive ability of the past year most vividly in mind when answering the question. With this assumption in mind, we argue that harmonizing the two is in some way justified. </w:t>
      </w:r>
    </w:p>
    <w:p w14:paraId="0F5FF014" w14:textId="77777777" w:rsidR="008A5467" w:rsidRDefault="008A5467" w:rsidP="008A5467">
      <w:pPr>
        <w:rPr>
          <w:rFonts w:cstheme="minorHAnsi"/>
          <w:lang w:val="en-GB"/>
        </w:rPr>
      </w:pPr>
    </w:p>
    <w:p w14:paraId="6E89DB2C" w14:textId="77777777" w:rsidR="008A5467" w:rsidRPr="00B1780E" w:rsidRDefault="008A5467" w:rsidP="008A5467">
      <w:pPr>
        <w:rPr>
          <w:rFonts w:cstheme="minorHAnsi"/>
          <w:lang w:val="en-GB"/>
        </w:rPr>
      </w:pPr>
      <w:r w:rsidRPr="00B1780E">
        <w:rPr>
          <w:rFonts w:cstheme="minorHAnsi"/>
          <w:lang w:val="en-GB"/>
        </w:rPr>
        <w:t xml:space="preserve">There were two decisions to be made, the first one was whether we chose a conversion from the IQCODE to the MMSE at each wave, or whether we treated the IQCODE-score as a score that had to be interpreted as a change of the respondent’s previous cognitive ability score. So, in other words: whether we decided someone’s MMSE-score would be the previous MMSE-score minus a certain amount of points (based on the IQCODE, that either indicated no/ a little/ or drastic decline), or whether we calculated the MMSE-score based on the current IQCODE-score (so without the </w:t>
      </w:r>
      <w:r w:rsidRPr="00B1780E">
        <w:rPr>
          <w:rFonts w:cstheme="minorHAnsi"/>
          <w:lang w:val="en-GB"/>
        </w:rPr>
        <w:lastRenderedPageBreak/>
        <w:t xml:space="preserve">cognitive-ability-score of the previous wave in mind). Although the option of using the IQCODE to calculate the MMSE based on the previous cognitive score seemed more correct (since it asks about cognitive change), this lead to a small group of respondents ending up with extremely low or even negative scores. In addition, because an MMSE-score below 11 indicates dementia, we assume that the difference between an MMSE-core of 8 and a score of 6 is less meaningful than the difference between a score of 16 (no cognitive decline) and 14 (where mild cognitive impairment is likely to be present). Therefore we decided to harmonize the IQCODE and the MMSE without treating the IQCODE as a measure of change compared to previous cognitive statuses, but instead treating it as an indication of the respondents’ current cognitive abilities. </w:t>
      </w:r>
    </w:p>
    <w:p w14:paraId="39AA11C2" w14:textId="77777777" w:rsidR="008A5467" w:rsidRPr="00B1780E" w:rsidRDefault="008A5467" w:rsidP="008A5467">
      <w:pPr>
        <w:rPr>
          <w:rFonts w:cstheme="minorHAnsi"/>
          <w:lang w:val="en-GB"/>
        </w:rPr>
      </w:pPr>
      <w:r w:rsidRPr="00B1780E">
        <w:rPr>
          <w:rFonts w:cstheme="minorHAnsi"/>
          <w:lang w:val="en-GB"/>
        </w:rPr>
        <w:t xml:space="preserve">When looking at the trajectories that are estimated based on the two </w:t>
      </w:r>
      <w:r>
        <w:rPr>
          <w:rFonts w:cstheme="minorHAnsi"/>
          <w:lang w:val="en-GB"/>
        </w:rPr>
        <w:t>possible</w:t>
      </w:r>
      <w:r w:rsidRPr="00B1780E">
        <w:rPr>
          <w:rFonts w:cstheme="minorHAnsi"/>
          <w:lang w:val="en-GB"/>
        </w:rPr>
        <w:t xml:space="preserve"> ways of converting the IQCODE-scores to the MMSE-scores, shown in figure 1, </w:t>
      </w:r>
      <w:r>
        <w:rPr>
          <w:rFonts w:cstheme="minorHAnsi"/>
          <w:lang w:val="en-GB"/>
        </w:rPr>
        <w:t xml:space="preserve">they do not seem to substantially differ from one another. The </w:t>
      </w:r>
      <w:r w:rsidRPr="00B1780E">
        <w:rPr>
          <w:rFonts w:cstheme="minorHAnsi"/>
          <w:lang w:val="en-GB"/>
        </w:rPr>
        <w:t xml:space="preserve">conversion based on the research conducted by </w:t>
      </w:r>
      <w:r w:rsidRPr="00B1780E">
        <w:rPr>
          <w:rFonts w:cstheme="minorHAnsi"/>
          <w:lang w:val="en-GB"/>
        </w:rPr>
        <w:fldChar w:fldCharType="begin"/>
      </w:r>
      <w:r w:rsidRPr="00B1780E">
        <w:rPr>
          <w:rFonts w:cstheme="minorHAnsi"/>
          <w:lang w:val="en-GB"/>
        </w:rPr>
        <w:instrText xml:space="preserve"> ADDIN ZOTERO_ITEM CSL_CITATION {"citationID":"lgNZDVxF","properties":{"formattedCitation":"(Chiriboga, McHugh, and Sweeney 2008; Comijs et al. 2004)","plainCitation":"(Chiriboga, McHugh, and Sweeney 2008; Comijs et al. 2004)","noteIndex":0},"citationItems":[{"id":661,"uris":["http://zotero.org/users/local/rWm7FVfX/items/986VDD7X"],"uri":["http://zotero.org/users/local/rWm7FVfX/items/986VDD7X"],"itemData":{"id":661,"type":"article-journal","abstract":"This research explored the possibility that a short and unobtrusive test of cognitive functioning might be developed for use when cognitive data are not available or in nonclinical surveys of the e...","archive_location":"world","container-title":"Clinical Gerontologist","DOI":"10.1300/J018v27n01_02","language":"en","note":"publisher: Taylor &amp; Francis Group","source":"www.tandfonline.com","title":"The Mini-Mental Exam (Mini-ME)","URL":"https://www.tandfonline.com/doi/pdf/10.1300/J018v27n01_02","author":[{"family":"Chiriboga","given":"David A."},{"family":"McHugh","given":"Donald"},{"family":"Sweeney","given":"Mary Anne"}],"accessed":{"date-parts":[["2020",5,6]]},"issued":{"date-parts":[["2008",10,3]]}}},{"id":273,"uris":["http://zotero.org/users/local/rWm7FVfX/items/GK5YHLM8"],"uri":["http://zotero.org/users/local/rWm7FVfX/items/GK5YHLM8"],"itemData":{"id":273,"type":"article-journal","abstract":"The course of cognitive functioning in older persons was studied over a period of 6 years. The first aim was to distinguish cognitive decline as a temporary state from progressive cognitive decline. The second aim was to identify predictors which may be useful in discriminating persons with temporary cognitive decline from persons with progressive cognitive decline at an early stage. Data were derived from the Longitudinal Aging Study Amsterdam (LASA), a population-based study in the Netherlands. The results show that 18.2% of the sample of older persons showed cognitive decline over a period of 3 years. Of this group, 44% recovered from cognitive decline or stayed stable in the next 3 years. Especially older age, memory complaints and an increase of cardiovascular diseases at follow-up predict further deterioration.","container-title":"Dementia and Geriatric Cognitive Disorders","DOI":"10.1159/000076346","ISSN":"1420-8008, 1421-9824","issue":"3","journalAbbreviation":"Dement Geriatr Cogn Disord","language":"en","page":"136-142","source":"DOI.org (Crossref)","title":"The Course of Cognitive Decline in Older Persons: Results from the Longitudinal Aging Study Amsterdam","title-short":"The Course of Cognitive Decline in Older Persons","volume":"17","author":[{"family":"Comijs","given":"Hannie C."},{"family":"Dik","given":"Miranda G."},{"family":"Deeg","given":"Dorly J.H."},{"family":"Jonker","given":"Cees"}],"issued":{"date-parts":[["2004"]]}}}],"schema":"https://github.com/citation-style-language/schema/raw/master/csl-citation.json"} </w:instrText>
      </w:r>
      <w:r w:rsidRPr="00B1780E">
        <w:rPr>
          <w:rFonts w:cstheme="minorHAnsi"/>
          <w:lang w:val="en-GB"/>
        </w:rPr>
        <w:fldChar w:fldCharType="separate"/>
      </w:r>
      <w:r w:rsidRPr="00B1780E">
        <w:rPr>
          <w:rFonts w:cstheme="minorHAnsi"/>
          <w:lang w:val="en-GB"/>
        </w:rPr>
        <w:t>(Chiriboga, McHugh, and Sweeney 2008)</w:t>
      </w:r>
      <w:r w:rsidRPr="00B1780E">
        <w:rPr>
          <w:rFonts w:cstheme="minorHAnsi"/>
          <w:lang w:val="en-GB"/>
        </w:rPr>
        <w:fldChar w:fldCharType="end"/>
      </w:r>
      <w:r w:rsidRPr="00B1780E">
        <w:rPr>
          <w:rFonts w:cstheme="minorHAnsi"/>
          <w:lang w:val="en-GB"/>
        </w:rPr>
        <w:t xml:space="preserve"> is almost similar to the one based on the research conducted by Comijs (2004). </w:t>
      </w:r>
    </w:p>
    <w:p w14:paraId="4C78132C" w14:textId="77777777" w:rsidR="008A5467" w:rsidRPr="00E51D4A" w:rsidRDefault="008A5467" w:rsidP="008A5467">
      <w:pPr>
        <w:rPr>
          <w:lang w:val="en-GB"/>
        </w:rPr>
      </w:pPr>
    </w:p>
    <w:p w14:paraId="2CD27FE4" w14:textId="77777777" w:rsidR="004D5668" w:rsidRPr="008A5467" w:rsidRDefault="004D5668">
      <w:pPr>
        <w:rPr>
          <w:lang w:val="en-GB"/>
        </w:rPr>
      </w:pPr>
    </w:p>
    <w:sectPr w:rsidR="004D5668" w:rsidRPr="008A5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xMDMwM7Q0NDC3MDBV0lEKTi0uzszPAykwqgUA3+lauCwAAAA="/>
  </w:docVars>
  <w:rsids>
    <w:rsidRoot w:val="004D5668"/>
    <w:rsid w:val="004D5668"/>
    <w:rsid w:val="008A5467"/>
    <w:rsid w:val="00B85C16"/>
    <w:rsid w:val="00BE5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0881"/>
  <w15:chartTrackingRefBased/>
  <w15:docId w15:val="{14EE215A-AB12-4429-A0BF-A647F76D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5467"/>
  </w:style>
  <w:style w:type="paragraph" w:styleId="Kop2">
    <w:name w:val="heading 2"/>
    <w:basedOn w:val="Standaard"/>
    <w:next w:val="Standaard"/>
    <w:link w:val="Kop2Char"/>
    <w:uiPriority w:val="9"/>
    <w:unhideWhenUsed/>
    <w:qFormat/>
    <w:rsid w:val="008A5467"/>
    <w:pPr>
      <w:keepNext/>
      <w:keepLines/>
      <w:spacing w:before="40" w:after="0"/>
      <w:outlineLvl w:val="1"/>
    </w:pPr>
    <w:rPr>
      <w:rFonts w:asciiTheme="majorHAnsi" w:eastAsiaTheme="majorEastAsia" w:hAnsiTheme="majorHAnsi"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A5467"/>
    <w:rPr>
      <w:rFonts w:asciiTheme="majorHAnsi" w:eastAsiaTheme="majorEastAsia" w:hAnsiTheme="majorHAnsi" w:cstheme="majorBidi"/>
      <w:b/>
      <w:sz w:val="24"/>
      <w:szCs w:val="26"/>
    </w:rPr>
  </w:style>
  <w:style w:type="table" w:styleId="Tabelraster">
    <w:name w:val="Table Grid"/>
    <w:basedOn w:val="Standaardtabel"/>
    <w:uiPriority w:val="39"/>
    <w:rsid w:val="008A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5792</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Gardeniers</dc:creator>
  <cp:keywords/>
  <dc:description/>
  <cp:lastModifiedBy>M. Gardeniers</cp:lastModifiedBy>
  <cp:revision>4</cp:revision>
  <dcterms:created xsi:type="dcterms:W3CDTF">2020-12-09T09:34:00Z</dcterms:created>
  <dcterms:modified xsi:type="dcterms:W3CDTF">2021-01-07T09:43:00Z</dcterms:modified>
</cp:coreProperties>
</file>