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869" w:rsidRPr="00F24953" w:rsidRDefault="00BE2FBE" w:rsidP="00774869">
      <w:pPr>
        <w:tabs>
          <w:tab w:val="left" w:pos="360"/>
        </w:tabs>
        <w:ind w:left="360" w:hanging="360"/>
        <w:rPr>
          <w:rFonts w:ascii="Times New Roman" w:hAnsi="Times New Roman" w:cs="Times New Roman"/>
          <w:b/>
        </w:rPr>
      </w:pPr>
      <w:bookmarkStart w:id="0" w:name="_GoBack"/>
      <w:bookmarkEnd w:id="0"/>
      <w:r>
        <w:rPr>
          <w:rFonts w:ascii="Times New Roman" w:hAnsi="Times New Roman" w:cs="Times New Roman"/>
          <w:b/>
        </w:rPr>
        <w:t>Supplementary</w:t>
      </w:r>
      <w:r w:rsidR="00F24953">
        <w:rPr>
          <w:rFonts w:ascii="Times New Roman" w:hAnsi="Times New Roman" w:cs="Times New Roman"/>
          <w:b/>
        </w:rPr>
        <w:t xml:space="preserve"> File</w:t>
      </w:r>
      <w:r w:rsidR="00774869" w:rsidRPr="00F24953">
        <w:rPr>
          <w:rFonts w:ascii="Times New Roman" w:hAnsi="Times New Roman" w:cs="Times New Roman"/>
          <w:b/>
        </w:rPr>
        <w:t>: PICU Admission Category Definitions</w:t>
      </w:r>
    </w:p>
    <w:tbl>
      <w:tblPr>
        <w:tblStyle w:val="TableGrid1"/>
        <w:tblW w:w="0" w:type="auto"/>
        <w:tblLook w:val="04A0" w:firstRow="1" w:lastRow="0" w:firstColumn="1" w:lastColumn="0" w:noHBand="0" w:noVBand="1"/>
      </w:tblPr>
      <w:tblGrid>
        <w:gridCol w:w="1965"/>
        <w:gridCol w:w="7385"/>
      </w:tblGrid>
      <w:tr w:rsidR="00774869" w:rsidRPr="00F24953" w:rsidTr="00C53596">
        <w:tc>
          <w:tcPr>
            <w:tcW w:w="0" w:type="auto"/>
            <w:tcBorders>
              <w:top w:val="single" w:sz="4" w:space="0" w:color="auto"/>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b/>
                <w:sz w:val="16"/>
                <w:szCs w:val="16"/>
              </w:rPr>
            </w:pPr>
            <w:r w:rsidRPr="00F24953">
              <w:rPr>
                <w:rFonts w:ascii="Times New Roman" w:hAnsi="Times New Roman" w:cs="Times New Roman"/>
                <w:b/>
                <w:sz w:val="16"/>
                <w:szCs w:val="16"/>
              </w:rPr>
              <w:t>Category</w:t>
            </w:r>
          </w:p>
        </w:tc>
        <w:tc>
          <w:tcPr>
            <w:tcW w:w="0" w:type="auto"/>
            <w:tcBorders>
              <w:top w:val="single" w:sz="4" w:space="0" w:color="auto"/>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b/>
                <w:sz w:val="16"/>
                <w:szCs w:val="16"/>
              </w:rPr>
            </w:pPr>
            <w:r w:rsidRPr="00F24953">
              <w:rPr>
                <w:rFonts w:ascii="Times New Roman" w:hAnsi="Times New Roman" w:cs="Times New Roman"/>
                <w:b/>
                <w:sz w:val="16"/>
                <w:szCs w:val="16"/>
              </w:rPr>
              <w:t>Category Definition</w:t>
            </w:r>
          </w:p>
        </w:tc>
      </w:tr>
      <w:tr w:rsidR="00774869" w:rsidRPr="00F24953" w:rsidTr="00C53596">
        <w:tc>
          <w:tcPr>
            <w:tcW w:w="0" w:type="auto"/>
            <w:tcBorders>
              <w:top w:val="single" w:sz="24" w:space="0" w:color="auto"/>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Scheduled Admissions</w:t>
            </w:r>
          </w:p>
        </w:tc>
        <w:tc>
          <w:tcPr>
            <w:tcW w:w="0" w:type="auto"/>
            <w:tcBorders>
              <w:top w:val="single" w:sz="24" w:space="0" w:color="auto"/>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in which the ICU received notification of the admission 12 or more hours in advance</w:t>
            </w:r>
          </w:p>
        </w:tc>
      </w:tr>
      <w:tr w:rsidR="00774869" w:rsidRPr="00F24953" w:rsidTr="00C53596">
        <w:tc>
          <w:tcPr>
            <w:tcW w:w="0" w:type="auto"/>
            <w:tcBorders>
              <w:top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Respiratory Viral Admissions</w:t>
            </w:r>
          </w:p>
        </w:tc>
        <w:tc>
          <w:tcPr>
            <w:tcW w:w="0" w:type="auto"/>
            <w:tcBorders>
              <w:top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associated with any VPS STAR diagnosis code starting with 464, 465, 466, 480, 487, and 79 (croup, upper respiratory tract infection, bronchiolitis, viral pneumonia, influenza, rhinovirus, coronavirus, adenovirus, human metapneumovirus, RSV, enterovirus, and parainfluenza).</w:t>
            </w: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Influenza</w:t>
            </w:r>
          </w:p>
        </w:tc>
        <w:tc>
          <w:tcPr>
            <w:tcW w:w="0" w:type="auto"/>
            <w:vMerge w:val="restart"/>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For specific viral admissions, we used a string/text search of the ICD 9 or ICD 10 code names for 'x' virus among admissions that were counted as respiratory viral admissions. In the case of enterovirus, we included an expanded search for Coxsackie and echovirus.</w:t>
            </w: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Rhinovirus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 xml:space="preserve">Non-pandemic coronavirus </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Adenovirus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Human metapneumovirus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RSV</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bottom w:val="single" w:sz="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Enterovirus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Parainfluenza</w:t>
            </w:r>
          </w:p>
        </w:tc>
        <w:tc>
          <w:tcPr>
            <w:tcW w:w="0" w:type="auto"/>
            <w:vMerge/>
            <w:tcBorders>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top w:val="single" w:sz="24" w:space="0" w:color="auto"/>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Trauma Admissions</w:t>
            </w:r>
          </w:p>
        </w:tc>
        <w:tc>
          <w:tcPr>
            <w:tcW w:w="0" w:type="auto"/>
            <w:tcBorders>
              <w:top w:val="single" w:sz="24" w:space="0" w:color="auto"/>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 xml:space="preserve">Admissions in which the principal cause of the patient’s injury or illness that created the need for the ICU admission was due to physical trauma; the admission must be related to the initial event of trauma, not the sequelae requiring ongoing medical care. </w:t>
            </w: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Cardiovascular</w:t>
            </w:r>
          </w:p>
        </w:tc>
        <w:tc>
          <w:tcPr>
            <w:tcW w:w="0" w:type="auto"/>
            <w:vMerge w:val="restart"/>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 xml:space="preserve">Each admission in VPS is associated with one primary diagnosis and an unlimited number of secondary diagnoses. Each diagnosis maps to a VPS diagnostic category largely based on body systems. We divided admissions into the same scheme of mutually-exclusive diagnostic categories by assigning each admission to the diagnostic category of the primary diagnosis. </w:t>
            </w: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Dermatologic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Endocrine</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Factors influencing health</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Gastrointestinal</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Genetic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Gynecologic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Hematologic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Immunologic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Infectious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Injury/poisoning/adverse effects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Metabolic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Neurologic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Newborn/perinatal</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Oncologic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Ophthalmologic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Orthopedic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Psychiatric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Renal/genitourinary</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Respiratory and Respiratory/ENT</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Rheumatologic</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bottom w:val="single" w:sz="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Symptoms</w:t>
            </w:r>
          </w:p>
        </w:tc>
        <w:tc>
          <w:tcPr>
            <w:tcW w:w="0" w:type="auto"/>
            <w:vMerge/>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Transplant</w:t>
            </w:r>
          </w:p>
        </w:tc>
        <w:tc>
          <w:tcPr>
            <w:tcW w:w="0" w:type="auto"/>
            <w:vMerge/>
            <w:tcBorders>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p>
        </w:tc>
      </w:tr>
      <w:tr w:rsidR="00774869" w:rsidRPr="00F24953" w:rsidTr="00C53596">
        <w:tc>
          <w:tcPr>
            <w:tcW w:w="0" w:type="auto"/>
            <w:tcBorders>
              <w:top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DKA</w:t>
            </w:r>
          </w:p>
        </w:tc>
        <w:tc>
          <w:tcPr>
            <w:tcW w:w="0" w:type="auto"/>
            <w:tcBorders>
              <w:top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with any STAR code diagnosis 250.11 or 250.12</w:t>
            </w:r>
          </w:p>
        </w:tc>
      </w:tr>
      <w:tr w:rsidR="00774869" w:rsidRPr="00F24953" w:rsidTr="00C53596">
        <w:tc>
          <w:tcPr>
            <w:tcW w:w="0" w:type="auto"/>
            <w:tcBorders>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 xml:space="preserve">Suicide/self-harm </w:t>
            </w:r>
          </w:p>
        </w:tc>
        <w:tc>
          <w:tcPr>
            <w:tcW w:w="0" w:type="auto"/>
            <w:tcBorders>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 xml:space="preserve">Admission with any of the following diagnosis codes: ICD-9 E950.0-E959 or ICD-10 T14.91XA, T36-T50 Txx.xx2A, X71-X83 </w:t>
            </w:r>
          </w:p>
        </w:tc>
      </w:tr>
      <w:tr w:rsidR="00774869" w:rsidRPr="00F24953" w:rsidTr="00C53596">
        <w:tc>
          <w:tcPr>
            <w:tcW w:w="0" w:type="auto"/>
            <w:tcBorders>
              <w:bottom w:val="single" w:sz="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Accidental ingestions</w:t>
            </w:r>
          </w:p>
        </w:tc>
        <w:tc>
          <w:tcPr>
            <w:tcW w:w="0" w:type="auto"/>
            <w:tcBorders>
              <w:bottom w:val="single" w:sz="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with any of the following diagnosis codes: ICD-9 E850.0-E858.9, E860.0-E869.9 or ICD-10 T36-T50 with sub-codes indicating accidental (unintentional): Txx.xx1A</w:t>
            </w:r>
          </w:p>
        </w:tc>
      </w:tr>
      <w:tr w:rsidR="00774869" w:rsidRPr="00F24953" w:rsidTr="00C53596">
        <w:tc>
          <w:tcPr>
            <w:tcW w:w="0" w:type="auto"/>
            <w:tcBorders>
              <w:bottom w:val="single" w:sz="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Child abuse</w:t>
            </w:r>
          </w:p>
        </w:tc>
        <w:tc>
          <w:tcPr>
            <w:tcW w:w="0" w:type="auto"/>
            <w:tcBorders>
              <w:bottom w:val="single" w:sz="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with any of the following diagnostic codes: ICD-9 995.50-995.59, V71.81 or ICD-10 T76.02XA-T76.02XS, T76.12XA-T76.12XS, T76.22XA-T76.22XS, T76.32XA-T76.32XS, T76.52XA-T76.52XS, T76.62XA-T76.62XS, T76.92XA-T76.92XS, and Z62.810-Z62.89</w:t>
            </w:r>
          </w:p>
        </w:tc>
      </w:tr>
      <w:tr w:rsidR="00774869" w:rsidRPr="00F24953" w:rsidTr="00C53596">
        <w:tc>
          <w:tcPr>
            <w:tcW w:w="0" w:type="auto"/>
            <w:tcBorders>
              <w:bottom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Asthma exacerbation</w:t>
            </w:r>
          </w:p>
        </w:tc>
        <w:tc>
          <w:tcPr>
            <w:tcW w:w="0" w:type="auto"/>
            <w:tcBorders>
              <w:bottom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with the STAR codes 493.91 or 493.92.</w:t>
            </w:r>
          </w:p>
        </w:tc>
      </w:tr>
      <w:tr w:rsidR="00774869" w:rsidRPr="00F24953" w:rsidTr="00C53596">
        <w:tc>
          <w:tcPr>
            <w:tcW w:w="0" w:type="auto"/>
            <w:tcBorders>
              <w:top w:val="single" w:sz="24" w:space="0" w:color="auto"/>
              <w:right w:val="single" w:sz="24" w:space="0" w:color="auto"/>
            </w:tcBorders>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COVID-19</w:t>
            </w:r>
          </w:p>
        </w:tc>
        <w:tc>
          <w:tcPr>
            <w:tcW w:w="0" w:type="auto"/>
            <w:tcBorders>
              <w:top w:val="single" w:sz="24" w:space="0" w:color="auto"/>
              <w:right w:val="single" w:sz="4" w:space="0" w:color="auto"/>
            </w:tcBorders>
            <w:vAlign w:val="center"/>
          </w:tcPr>
          <w:p w:rsidR="00774869" w:rsidRPr="00F24953" w:rsidRDefault="00774869" w:rsidP="004D4B78">
            <w:pPr>
              <w:spacing w:after="0" w:line="240" w:lineRule="auto"/>
              <w:rPr>
                <w:rFonts w:ascii="Times New Roman" w:hAnsi="Times New Roman" w:cs="Times New Roman"/>
                <w:sz w:val="16"/>
                <w:szCs w:val="16"/>
              </w:rPr>
            </w:pPr>
            <w:r w:rsidRPr="00F24953">
              <w:rPr>
                <w:rFonts w:ascii="Times New Roman" w:hAnsi="Times New Roman" w:cs="Times New Roman"/>
                <w:sz w:val="16"/>
                <w:szCs w:val="16"/>
              </w:rPr>
              <w:t>Admissions with the ICD-10 codes U07.1 or J12.82.</w:t>
            </w:r>
          </w:p>
        </w:tc>
      </w:tr>
    </w:tbl>
    <w:p w:rsidR="00774869" w:rsidRPr="00F24953" w:rsidRDefault="00774869" w:rsidP="00774869">
      <w:pPr>
        <w:rPr>
          <w:rFonts w:ascii="Times New Roman" w:hAnsi="Times New Roman" w:cs="Times New Roman"/>
        </w:rPr>
      </w:pPr>
    </w:p>
    <w:p w:rsidR="00774869" w:rsidRPr="00F24953" w:rsidRDefault="00774869" w:rsidP="00774869">
      <w:pPr>
        <w:tabs>
          <w:tab w:val="left" w:pos="360"/>
        </w:tabs>
        <w:ind w:left="360" w:hanging="360"/>
        <w:rPr>
          <w:rFonts w:ascii="Times New Roman" w:hAnsi="Times New Roman" w:cs="Times New Roman"/>
          <w:b/>
        </w:rPr>
      </w:pPr>
    </w:p>
    <w:p w:rsidR="00311DCF" w:rsidRPr="00F24953" w:rsidRDefault="00311DCF">
      <w:pPr>
        <w:rPr>
          <w:rFonts w:ascii="Times New Roman" w:hAnsi="Times New Roman" w:cs="Times New Roman"/>
        </w:rPr>
      </w:pPr>
    </w:p>
    <w:sectPr w:rsidR="00311DCF" w:rsidRPr="00F24953" w:rsidSect="00774869">
      <w:footerReference w:type="default" r:id="rId6"/>
      <w:pgSz w:w="12240" w:h="15840" w:code="1"/>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3F2C" w:rsidRDefault="004D4B78">
      <w:pPr>
        <w:spacing w:after="0" w:line="240" w:lineRule="auto"/>
      </w:pPr>
      <w:r>
        <w:separator/>
      </w:r>
    </w:p>
  </w:endnote>
  <w:endnote w:type="continuationSeparator" w:id="0">
    <w:p w:rsidR="00F33F2C" w:rsidRDefault="004D4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8994161"/>
      <w:docPartObj>
        <w:docPartGallery w:val="Page Numbers (Bottom of Page)"/>
        <w:docPartUnique/>
      </w:docPartObj>
    </w:sdtPr>
    <w:sdtEndPr>
      <w:rPr>
        <w:sz w:val="20"/>
        <w:szCs w:val="20"/>
      </w:rPr>
    </w:sdtEndPr>
    <w:sdtContent>
      <w:sdt>
        <w:sdtPr>
          <w:id w:val="-1769616900"/>
          <w:docPartObj>
            <w:docPartGallery w:val="Page Numbers (Top of Page)"/>
            <w:docPartUnique/>
          </w:docPartObj>
        </w:sdtPr>
        <w:sdtEndPr>
          <w:rPr>
            <w:sz w:val="20"/>
            <w:szCs w:val="20"/>
          </w:rPr>
        </w:sdtEndPr>
        <w:sdtContent>
          <w:p w:rsidR="0002034F" w:rsidRPr="0002034F" w:rsidRDefault="00774869">
            <w:pPr>
              <w:pStyle w:val="Footer"/>
              <w:jc w:val="right"/>
              <w:rPr>
                <w:sz w:val="20"/>
                <w:szCs w:val="20"/>
              </w:rPr>
            </w:pPr>
            <w:r w:rsidRPr="0002034F">
              <w:rPr>
                <w:sz w:val="20"/>
                <w:szCs w:val="20"/>
              </w:rPr>
              <w:t xml:space="preserve">Page </w:t>
            </w:r>
            <w:r w:rsidRPr="0002034F">
              <w:rPr>
                <w:bCs/>
                <w:sz w:val="20"/>
                <w:szCs w:val="20"/>
              </w:rPr>
              <w:fldChar w:fldCharType="begin"/>
            </w:r>
            <w:r w:rsidRPr="0002034F">
              <w:rPr>
                <w:bCs/>
                <w:sz w:val="20"/>
                <w:szCs w:val="20"/>
              </w:rPr>
              <w:instrText xml:space="preserve"> PAGE </w:instrText>
            </w:r>
            <w:r w:rsidRPr="0002034F">
              <w:rPr>
                <w:bCs/>
                <w:sz w:val="20"/>
                <w:szCs w:val="20"/>
              </w:rPr>
              <w:fldChar w:fldCharType="separate"/>
            </w:r>
            <w:r w:rsidR="00BE2FBE">
              <w:rPr>
                <w:bCs/>
                <w:noProof/>
                <w:sz w:val="20"/>
                <w:szCs w:val="20"/>
              </w:rPr>
              <w:t>1</w:t>
            </w:r>
            <w:r w:rsidRPr="0002034F">
              <w:rPr>
                <w:bCs/>
                <w:sz w:val="20"/>
                <w:szCs w:val="20"/>
              </w:rPr>
              <w:fldChar w:fldCharType="end"/>
            </w:r>
            <w:r w:rsidRPr="0002034F">
              <w:rPr>
                <w:sz w:val="20"/>
                <w:szCs w:val="20"/>
              </w:rPr>
              <w:t xml:space="preserve"> of </w:t>
            </w:r>
            <w:r w:rsidRPr="0002034F">
              <w:rPr>
                <w:bCs/>
                <w:sz w:val="20"/>
                <w:szCs w:val="20"/>
              </w:rPr>
              <w:fldChar w:fldCharType="begin"/>
            </w:r>
            <w:r w:rsidRPr="0002034F">
              <w:rPr>
                <w:bCs/>
                <w:sz w:val="20"/>
                <w:szCs w:val="20"/>
              </w:rPr>
              <w:instrText xml:space="preserve"> NUMPAGES  </w:instrText>
            </w:r>
            <w:r w:rsidRPr="0002034F">
              <w:rPr>
                <w:bCs/>
                <w:sz w:val="20"/>
                <w:szCs w:val="20"/>
              </w:rPr>
              <w:fldChar w:fldCharType="separate"/>
            </w:r>
            <w:r w:rsidR="00BE2FBE">
              <w:rPr>
                <w:bCs/>
                <w:noProof/>
                <w:sz w:val="20"/>
                <w:szCs w:val="20"/>
              </w:rPr>
              <w:t>1</w:t>
            </w:r>
            <w:r w:rsidRPr="0002034F">
              <w:rPr>
                <w:bCs/>
                <w:sz w:val="20"/>
                <w:szCs w:val="20"/>
              </w:rPr>
              <w:fldChar w:fldCharType="end"/>
            </w:r>
          </w:p>
        </w:sdtContent>
      </w:sdt>
    </w:sdtContent>
  </w:sdt>
  <w:p w:rsidR="0002034F" w:rsidRDefault="00BE2F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3F2C" w:rsidRDefault="004D4B78">
      <w:pPr>
        <w:spacing w:after="0" w:line="240" w:lineRule="auto"/>
      </w:pPr>
      <w:r>
        <w:separator/>
      </w:r>
    </w:p>
  </w:footnote>
  <w:footnote w:type="continuationSeparator" w:id="0">
    <w:p w:rsidR="00F33F2C" w:rsidRDefault="004D4B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869"/>
    <w:rsid w:val="00311DCF"/>
    <w:rsid w:val="004D4B78"/>
    <w:rsid w:val="006A32DB"/>
    <w:rsid w:val="00774869"/>
    <w:rsid w:val="00B94D2A"/>
    <w:rsid w:val="00BE2FBE"/>
    <w:rsid w:val="00C94E3E"/>
    <w:rsid w:val="00F24953"/>
    <w:rsid w:val="00F33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FBFECC"/>
  <w15:chartTrackingRefBased/>
  <w15:docId w15:val="{ADE1D40F-022D-4666-91C6-159D10DD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869"/>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77486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748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869"/>
    <w:rPr>
      <w:rFonts w:asciiTheme="minorHAnsi" w:eastAsiaTheme="minorHAnsi" w:hAnsiTheme="minorHAnsi" w:cstheme="minorBidi"/>
      <w:sz w:val="22"/>
      <w:szCs w:val="22"/>
    </w:rPr>
  </w:style>
  <w:style w:type="table" w:styleId="TableGrid">
    <w:name w:val="Table Grid"/>
    <w:basedOn w:val="TableNormal"/>
    <w:rsid w:val="007748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D4B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D4B78"/>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2380</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MCHS</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Fleisner, Marie A</dc:creator>
  <cp:keywords/>
  <dc:description/>
  <cp:lastModifiedBy>Oelstrom, Matthew J</cp:lastModifiedBy>
  <cp:revision>2</cp:revision>
  <dcterms:created xsi:type="dcterms:W3CDTF">2022-02-25T23:08:00Z</dcterms:created>
  <dcterms:modified xsi:type="dcterms:W3CDTF">2022-02-25T23:08:00Z</dcterms:modified>
</cp:coreProperties>
</file>