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F3293" w14:textId="08AA2BBD" w:rsidR="535A41D9" w:rsidRPr="00A81C72" w:rsidRDefault="535A41D9" w:rsidP="1BDF3538">
      <w:pPr>
        <w:rPr>
          <w:rFonts w:ascii="Arial" w:hAnsi="Arial" w:cs="Arial"/>
          <w:b/>
          <w:bCs/>
          <w:color w:val="5B9BD5" w:themeColor="accent5"/>
          <w:sz w:val="28"/>
          <w:szCs w:val="28"/>
        </w:rPr>
      </w:pPr>
      <w:r w:rsidRPr="00A81C72">
        <w:rPr>
          <w:rFonts w:ascii="Arial" w:hAnsi="Arial" w:cs="Arial"/>
          <w:b/>
          <w:bCs/>
          <w:color w:val="5B9BD5" w:themeColor="accent5"/>
          <w:sz w:val="28"/>
          <w:szCs w:val="28"/>
        </w:rPr>
        <w:t>Ignoring socio-political realities in energy system models over</w:t>
      </w:r>
      <w:r w:rsidR="009F19BD" w:rsidRPr="00A81C72">
        <w:rPr>
          <w:rFonts w:ascii="Arial" w:hAnsi="Arial" w:cs="Arial"/>
          <w:b/>
          <w:bCs/>
          <w:color w:val="5B9BD5" w:themeColor="accent5"/>
          <w:sz w:val="28"/>
          <w:szCs w:val="28"/>
        </w:rPr>
        <w:t>play</w:t>
      </w:r>
      <w:r w:rsidRPr="00A81C72">
        <w:rPr>
          <w:rFonts w:ascii="Arial" w:hAnsi="Arial" w:cs="Arial"/>
          <w:b/>
          <w:bCs/>
          <w:color w:val="5B9BD5" w:themeColor="accent5"/>
          <w:sz w:val="28"/>
          <w:szCs w:val="28"/>
        </w:rPr>
        <w:t>s coal power phaseout compared to other climate mitigation options</w:t>
      </w:r>
    </w:p>
    <w:p w14:paraId="1C5F278D" w14:textId="661BE637" w:rsidR="1BDF3538" w:rsidRPr="009F19BD" w:rsidRDefault="1BDF3538">
      <w:pPr>
        <w:rPr>
          <w:rFonts w:ascii="Times New Roman" w:hAnsi="Times New Roman" w:cs="Times New Roman"/>
        </w:rPr>
      </w:pPr>
    </w:p>
    <w:p w14:paraId="1E4D8396" w14:textId="3BB3DD87" w:rsidR="00542876" w:rsidRDefault="00542876" w:rsidP="00542876">
      <w:pPr>
        <w:rPr>
          <w:rFonts w:ascii="Times New Roman" w:hAnsi="Times New Roman" w:cs="Times New Roman"/>
        </w:rPr>
      </w:pPr>
      <w:r w:rsidRPr="009F19BD">
        <w:rPr>
          <w:rFonts w:ascii="Times New Roman" w:hAnsi="Times New Roman" w:cs="Times New Roman"/>
        </w:rPr>
        <w:t>SUPPLEMENTARY INFORMATION</w:t>
      </w:r>
    </w:p>
    <w:p w14:paraId="7E46642C" w14:textId="77777777" w:rsidR="007C7C7F" w:rsidRPr="009F19BD" w:rsidRDefault="007C7C7F" w:rsidP="00542876">
      <w:pPr>
        <w:rPr>
          <w:rFonts w:ascii="Times New Roman" w:hAnsi="Times New Roman" w:cs="Times New Roman"/>
        </w:rPr>
      </w:pPr>
    </w:p>
    <w:p w14:paraId="68E07F59" w14:textId="48D21E23" w:rsidR="00542876" w:rsidRPr="009817CD" w:rsidRDefault="008903F7" w:rsidP="007C7C7F">
      <w:pPr>
        <w:ind w:left="720"/>
        <w:rPr>
          <w:rFonts w:ascii="Times New Roman" w:hAnsi="Times New Roman" w:cs="Times New Roman"/>
        </w:rPr>
      </w:pPr>
      <w:r w:rsidRPr="009817CD">
        <w:rPr>
          <w:rFonts w:ascii="Times New Roman" w:hAnsi="Times New Roman" w:cs="Times New Roman"/>
        </w:rPr>
        <w:t xml:space="preserve">SI </w:t>
      </w:r>
      <w:r w:rsidR="00542876" w:rsidRPr="009817CD">
        <w:rPr>
          <w:rFonts w:ascii="Times New Roman" w:hAnsi="Times New Roman" w:cs="Times New Roman"/>
        </w:rPr>
        <w:t xml:space="preserve">Section 1: </w:t>
      </w:r>
      <w:r w:rsidR="44AB8DA7" w:rsidRPr="009817CD">
        <w:rPr>
          <w:rFonts w:ascii="Times New Roman" w:hAnsi="Times New Roman" w:cs="Times New Roman"/>
        </w:rPr>
        <w:t>Data on fastest h</w:t>
      </w:r>
      <w:r w:rsidR="00B3326E" w:rsidRPr="009817CD">
        <w:rPr>
          <w:rFonts w:ascii="Times New Roman" w:hAnsi="Times New Roman" w:cs="Times New Roman"/>
        </w:rPr>
        <w:t>istorical energy transitions</w:t>
      </w:r>
    </w:p>
    <w:p w14:paraId="3ECD57BE" w14:textId="5FB586A8" w:rsidR="00B3326E" w:rsidRPr="009817CD" w:rsidRDefault="00B3326E" w:rsidP="007C7C7F">
      <w:pPr>
        <w:ind w:left="720"/>
        <w:rPr>
          <w:rFonts w:ascii="Times New Roman" w:hAnsi="Times New Roman" w:cs="Times New Roman"/>
        </w:rPr>
      </w:pPr>
      <w:r w:rsidRPr="009817CD">
        <w:rPr>
          <w:rFonts w:ascii="Times New Roman" w:hAnsi="Times New Roman" w:cs="Times New Roman"/>
        </w:rPr>
        <w:t xml:space="preserve">SI Section 2: </w:t>
      </w:r>
      <w:r w:rsidR="00542755" w:rsidRPr="009817CD">
        <w:rPr>
          <w:rFonts w:ascii="Times New Roman" w:hAnsi="Times New Roman" w:cs="Times New Roman"/>
        </w:rPr>
        <w:t xml:space="preserve">Additional results from </w:t>
      </w:r>
      <w:r w:rsidRPr="009817CD">
        <w:rPr>
          <w:rFonts w:ascii="Times New Roman" w:hAnsi="Times New Roman" w:cs="Times New Roman"/>
        </w:rPr>
        <w:t>TIAM-UCL</w:t>
      </w:r>
    </w:p>
    <w:p w14:paraId="26D00591" w14:textId="3BA5CB49" w:rsidR="00542876" w:rsidRPr="009817CD" w:rsidRDefault="008903F7" w:rsidP="007C7C7F">
      <w:pPr>
        <w:ind w:left="720"/>
        <w:rPr>
          <w:rFonts w:ascii="Times New Roman" w:hAnsi="Times New Roman" w:cs="Times New Roman"/>
        </w:rPr>
      </w:pPr>
      <w:r w:rsidRPr="009817CD">
        <w:rPr>
          <w:rFonts w:ascii="Times New Roman" w:hAnsi="Times New Roman" w:cs="Times New Roman"/>
        </w:rPr>
        <w:t xml:space="preserve">SI </w:t>
      </w:r>
      <w:r w:rsidR="00542876" w:rsidRPr="009817CD">
        <w:rPr>
          <w:rFonts w:ascii="Times New Roman" w:hAnsi="Times New Roman" w:cs="Times New Roman"/>
        </w:rPr>
        <w:t xml:space="preserve">Section </w:t>
      </w:r>
      <w:r w:rsidR="00542755" w:rsidRPr="009817CD">
        <w:rPr>
          <w:rFonts w:ascii="Times New Roman" w:hAnsi="Times New Roman" w:cs="Times New Roman"/>
        </w:rPr>
        <w:t>3</w:t>
      </w:r>
      <w:r w:rsidR="00542876" w:rsidRPr="009817CD">
        <w:rPr>
          <w:rFonts w:ascii="Times New Roman" w:hAnsi="Times New Roman" w:cs="Times New Roman"/>
        </w:rPr>
        <w:t>: Description of the TIAM-UCL model</w:t>
      </w:r>
    </w:p>
    <w:p w14:paraId="5DA0EA74" w14:textId="2D08519C" w:rsidR="00542876" w:rsidRPr="009817CD" w:rsidRDefault="008903F7" w:rsidP="007C7C7F">
      <w:pPr>
        <w:ind w:left="720"/>
        <w:rPr>
          <w:rFonts w:ascii="Times New Roman" w:hAnsi="Times New Roman" w:cs="Times New Roman"/>
        </w:rPr>
      </w:pPr>
      <w:r w:rsidRPr="009817CD">
        <w:rPr>
          <w:rFonts w:ascii="Times New Roman" w:hAnsi="Times New Roman" w:cs="Times New Roman"/>
        </w:rPr>
        <w:t xml:space="preserve">SI </w:t>
      </w:r>
      <w:r w:rsidR="00542876" w:rsidRPr="009817CD">
        <w:rPr>
          <w:rFonts w:ascii="Times New Roman" w:hAnsi="Times New Roman" w:cs="Times New Roman"/>
        </w:rPr>
        <w:t xml:space="preserve">Section </w:t>
      </w:r>
      <w:r w:rsidR="00542755" w:rsidRPr="009817CD">
        <w:rPr>
          <w:rFonts w:ascii="Times New Roman" w:hAnsi="Times New Roman" w:cs="Times New Roman"/>
        </w:rPr>
        <w:t>4</w:t>
      </w:r>
      <w:r w:rsidR="00542876" w:rsidRPr="009817CD">
        <w:rPr>
          <w:rFonts w:ascii="Times New Roman" w:hAnsi="Times New Roman" w:cs="Times New Roman"/>
        </w:rPr>
        <w:t>: Fossil fuel representation in TIAM-UCL</w:t>
      </w:r>
    </w:p>
    <w:p w14:paraId="4C90590B" w14:textId="45FAE11B" w:rsidR="008903F7" w:rsidRPr="009817CD" w:rsidRDefault="008903F7" w:rsidP="007C7C7F">
      <w:pPr>
        <w:ind w:left="720"/>
        <w:rPr>
          <w:rFonts w:ascii="Times New Roman" w:eastAsia="Calibri" w:hAnsi="Times New Roman" w:cs="Times New Roman"/>
        </w:rPr>
      </w:pPr>
      <w:r w:rsidRPr="009817CD">
        <w:rPr>
          <w:rFonts w:ascii="Times New Roman" w:eastAsia="Calibri" w:hAnsi="Times New Roman" w:cs="Times New Roman"/>
        </w:rPr>
        <w:t xml:space="preserve">SI section </w:t>
      </w:r>
      <w:r w:rsidR="00542755" w:rsidRPr="009817CD">
        <w:rPr>
          <w:rFonts w:ascii="Times New Roman" w:eastAsia="Calibri" w:hAnsi="Times New Roman" w:cs="Times New Roman"/>
        </w:rPr>
        <w:t>5</w:t>
      </w:r>
      <w:r w:rsidRPr="009817CD">
        <w:rPr>
          <w:rFonts w:ascii="Times New Roman" w:eastAsia="Calibri" w:hAnsi="Times New Roman" w:cs="Times New Roman"/>
        </w:rPr>
        <w:t>. TIMES model formulation</w:t>
      </w:r>
    </w:p>
    <w:p w14:paraId="1CD046F3" w14:textId="7D3E8E86" w:rsidR="00542876" w:rsidRPr="009F19BD" w:rsidRDefault="00542876" w:rsidP="00542876">
      <w:pPr>
        <w:rPr>
          <w:rFonts w:ascii="Times New Roman" w:hAnsi="Times New Roman" w:cs="Times New Roman"/>
        </w:rPr>
      </w:pPr>
    </w:p>
    <w:p w14:paraId="1E713832" w14:textId="77777777" w:rsidR="009F19BD" w:rsidRDefault="009F19BD" w:rsidP="00A81C72">
      <w:pPr>
        <w:pStyle w:val="Heading4"/>
      </w:pPr>
      <w:r>
        <w:br w:type="page"/>
      </w:r>
    </w:p>
    <w:p w14:paraId="63EE9800" w14:textId="23C3827A" w:rsidR="00542876" w:rsidRPr="00A81C72" w:rsidRDefault="008903F7" w:rsidP="00A81C72">
      <w:pPr>
        <w:pStyle w:val="Heading3"/>
      </w:pPr>
      <w:r w:rsidRPr="00A81C72">
        <w:lastRenderedPageBreak/>
        <w:t xml:space="preserve">SI </w:t>
      </w:r>
      <w:r w:rsidR="00542876" w:rsidRPr="00A81C72">
        <w:t xml:space="preserve">Section 1: </w:t>
      </w:r>
      <w:r w:rsidR="0509C1F9" w:rsidRPr="00A81C72">
        <w:t>Data on fastest h</w:t>
      </w:r>
      <w:r w:rsidR="00B3326E" w:rsidRPr="00A81C72">
        <w:t>istorical energy transitions</w:t>
      </w:r>
    </w:p>
    <w:p w14:paraId="1EBDC7F8" w14:textId="7674307B" w:rsidR="00542876" w:rsidRPr="00A81C72" w:rsidRDefault="00542876" w:rsidP="00542876">
      <w:pPr>
        <w:rPr>
          <w:rFonts w:ascii="Times New Roman" w:hAnsi="Times New Roman" w:cs="Times New Roman"/>
          <w:b/>
          <w:bCs/>
        </w:rPr>
      </w:pPr>
      <w:r w:rsidRPr="009F19BD">
        <w:rPr>
          <w:rFonts w:ascii="Times New Roman" w:hAnsi="Times New Roman" w:cs="Times New Roman"/>
          <w:b/>
          <w:bCs/>
        </w:rPr>
        <w:t xml:space="preserve">Supplementary Table </w:t>
      </w:r>
      <w:r w:rsidR="009F19BD" w:rsidRPr="009F19BD">
        <w:rPr>
          <w:rFonts w:ascii="Times New Roman" w:hAnsi="Times New Roman" w:cs="Times New Roman"/>
          <w:b/>
          <w:bCs/>
        </w:rPr>
        <w:t>1</w:t>
      </w:r>
      <w:r w:rsidRPr="009F19BD">
        <w:rPr>
          <w:rFonts w:ascii="Times New Roman" w:hAnsi="Times New Roman" w:cs="Times New Roman"/>
          <w:b/>
          <w:bCs/>
        </w:rPr>
        <w:t>:  Fastest energy transitions for individual countries and fuels</w:t>
      </w:r>
      <w:r w:rsidR="00A81C72" w:rsidRPr="00A81C72">
        <w:rPr>
          <w:rFonts w:ascii="Times New Roman" w:hAnsi="Times New Roman" w:cs="Times New Roman"/>
        </w:rPr>
        <w:t>.</w:t>
      </w:r>
      <w:r w:rsidR="00A81C72" w:rsidRPr="00A81C72">
        <w:rPr>
          <w:rFonts w:ascii="Times New Roman" w:hAnsi="Times New Roman" w:cs="Times New Roman"/>
          <w:b/>
          <w:bCs/>
        </w:rPr>
        <w:t xml:space="preserve"> </w:t>
      </w:r>
      <w:r w:rsidR="00A81C72" w:rsidRPr="00A81C72">
        <w:rPr>
          <w:rFonts w:ascii="Times New Roman" w:hAnsi="Times New Roman" w:cs="Times New Roman"/>
          <w:color w:val="000000"/>
        </w:rPr>
        <w:t xml:space="preserve">For each country, the fastest percentage-point reduction in a fuel’s share of power generation over any ten-year period is </w:t>
      </w:r>
      <w:r w:rsidR="00A81C72">
        <w:rPr>
          <w:rFonts w:ascii="Times New Roman" w:hAnsi="Times New Roman" w:cs="Times New Roman"/>
          <w:color w:val="000000"/>
        </w:rPr>
        <w:t>listed</w:t>
      </w:r>
      <w:r w:rsidR="00A81C72" w:rsidRPr="00A81C72">
        <w:rPr>
          <w:rFonts w:ascii="Times New Roman" w:hAnsi="Times New Roman" w:cs="Times New Roman"/>
          <w:color w:val="000000"/>
        </w:rPr>
        <w:t xml:space="preserve"> </w:t>
      </w:r>
      <w:r w:rsidR="00A81C72">
        <w:rPr>
          <w:rFonts w:ascii="Times New Roman" w:hAnsi="Times New Roman" w:cs="Times New Roman"/>
          <w:color w:val="000000"/>
        </w:rPr>
        <w:t>alongside</w:t>
      </w:r>
      <w:r w:rsidR="00A81C72" w:rsidRPr="00A81C72">
        <w:rPr>
          <w:rFonts w:ascii="Times New Roman" w:hAnsi="Times New Roman" w:cs="Times New Roman"/>
          <w:color w:val="000000"/>
        </w:rPr>
        <w:t xml:space="preserve"> the country’s total generation at the start of that </w:t>
      </w:r>
      <w:proofErr w:type="gramStart"/>
      <w:r w:rsidR="00A81C72" w:rsidRPr="00A81C72">
        <w:rPr>
          <w:rFonts w:ascii="Times New Roman" w:hAnsi="Times New Roman" w:cs="Times New Roman"/>
          <w:color w:val="000000"/>
        </w:rPr>
        <w:t>period..</w:t>
      </w:r>
      <w:proofErr w:type="gramEnd"/>
    </w:p>
    <w:tbl>
      <w:tblPr>
        <w:tblW w:w="0" w:type="auto"/>
        <w:tblCellMar>
          <w:top w:w="15" w:type="dxa"/>
          <w:left w:w="15" w:type="dxa"/>
          <w:bottom w:w="15" w:type="dxa"/>
          <w:right w:w="15" w:type="dxa"/>
        </w:tblCellMar>
        <w:tblLook w:val="04A0" w:firstRow="1" w:lastRow="0" w:firstColumn="1" w:lastColumn="0" w:noHBand="0" w:noVBand="1"/>
      </w:tblPr>
      <w:tblGrid>
        <w:gridCol w:w="2352"/>
        <w:gridCol w:w="1749"/>
        <w:gridCol w:w="1578"/>
        <w:gridCol w:w="897"/>
        <w:gridCol w:w="2430"/>
      </w:tblGrid>
      <w:tr w:rsidR="00542876" w:rsidRPr="009F19BD" w14:paraId="0FC71AEC" w14:textId="77777777" w:rsidTr="009F19BD">
        <w:trPr>
          <w:trHeight w:val="50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1AD2A97" w14:textId="456189C8" w:rsidR="00542876" w:rsidRPr="009F19BD" w:rsidRDefault="00542876" w:rsidP="009F19BD">
            <w:pPr>
              <w:spacing w:after="0" w:line="240" w:lineRule="auto"/>
              <w:jc w:val="center"/>
              <w:rPr>
                <w:rFonts w:ascii="Times New Roman" w:hAnsi="Times New Roman" w:cs="Times New Roman"/>
                <w:b/>
                <w:bCs/>
              </w:rPr>
            </w:pP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47D739" w14:textId="77777777" w:rsidR="00542876" w:rsidRPr="009F19BD" w:rsidRDefault="00542876" w:rsidP="009F19BD">
            <w:pPr>
              <w:spacing w:after="0" w:line="240" w:lineRule="auto"/>
              <w:jc w:val="center"/>
              <w:rPr>
                <w:rFonts w:ascii="Times New Roman" w:hAnsi="Times New Roman" w:cs="Times New Roman"/>
              </w:rPr>
            </w:pPr>
            <w:r w:rsidRPr="009F19BD">
              <w:rPr>
                <w:rFonts w:ascii="Times New Roman" w:hAnsi="Times New Roman" w:cs="Times New Roman"/>
                <w:b/>
                <w:bCs/>
              </w:rPr>
              <w:t>Fuel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185CA2" w14:textId="77777777" w:rsidR="00542876" w:rsidRPr="009F19BD" w:rsidRDefault="00542876" w:rsidP="009F19BD">
            <w:pPr>
              <w:spacing w:after="0" w:line="240" w:lineRule="auto"/>
              <w:jc w:val="center"/>
              <w:rPr>
                <w:rFonts w:ascii="Times New Roman" w:hAnsi="Times New Roman" w:cs="Times New Roman"/>
              </w:rPr>
            </w:pPr>
            <w:r w:rsidRPr="009F19BD">
              <w:rPr>
                <w:rFonts w:ascii="Times New Roman" w:hAnsi="Times New Roman" w:cs="Times New Roman"/>
                <w:b/>
                <w:bCs/>
              </w:rPr>
              <w:t>Period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A66BCB" w14:textId="77777777" w:rsidR="00542876" w:rsidRPr="009F19BD" w:rsidRDefault="00542876" w:rsidP="009F19BD">
            <w:pPr>
              <w:spacing w:after="0" w:line="240" w:lineRule="auto"/>
              <w:jc w:val="center"/>
              <w:rPr>
                <w:rFonts w:ascii="Times New Roman" w:hAnsi="Times New Roman" w:cs="Times New Roman"/>
              </w:rPr>
            </w:pPr>
            <w:r w:rsidRPr="009F19BD">
              <w:rPr>
                <w:rFonts w:ascii="Times New Roman" w:hAnsi="Times New Roman" w:cs="Times New Roman"/>
                <w:b/>
                <w:bCs/>
              </w:rPr>
              <w:t>Decline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824CBF" w14:textId="77777777" w:rsidR="00542876" w:rsidRPr="009F19BD" w:rsidRDefault="00542876" w:rsidP="009F19BD">
            <w:pPr>
              <w:spacing w:after="0" w:line="240" w:lineRule="auto"/>
              <w:jc w:val="center"/>
              <w:rPr>
                <w:rFonts w:ascii="Times New Roman" w:hAnsi="Times New Roman" w:cs="Times New Roman"/>
              </w:rPr>
            </w:pPr>
            <w:r w:rsidRPr="009F19BD">
              <w:rPr>
                <w:rFonts w:ascii="Times New Roman" w:hAnsi="Times New Roman" w:cs="Times New Roman"/>
                <w:b/>
                <w:bCs/>
              </w:rPr>
              <w:t>Total Generation, GWh</w:t>
            </w:r>
          </w:p>
        </w:tc>
      </w:tr>
      <w:tr w:rsidR="00542876" w:rsidRPr="009F19BD" w14:paraId="40CE46A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6099E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Albania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FD791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1BC52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1985-1995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66E91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09109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3,147</w:t>
            </w:r>
          </w:p>
        </w:tc>
      </w:tr>
      <w:tr w:rsidR="00542876" w:rsidRPr="009F19BD" w14:paraId="29521EF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79275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Algeria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E6468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2CD62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1F7A3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A176A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2,229</w:t>
            </w:r>
          </w:p>
        </w:tc>
      </w:tr>
      <w:tr w:rsidR="00542876" w:rsidRPr="009F19BD" w14:paraId="3F37B07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9E37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Angola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17908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11443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1993-2003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73E24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BBA86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950</w:t>
            </w:r>
          </w:p>
        </w:tc>
      </w:tr>
      <w:tr w:rsidR="00542876" w:rsidRPr="009F19BD" w14:paraId="25B2AC19"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79782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Argentina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046A5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700EC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1972-1982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F2CDB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CAC9F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25,306</w:t>
            </w:r>
          </w:p>
        </w:tc>
      </w:tr>
      <w:tr w:rsidR="00542876" w:rsidRPr="009F19BD" w14:paraId="384E183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810AB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Armenia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8584F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BF50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1990-2000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0468A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2EED3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10,362</w:t>
            </w:r>
          </w:p>
        </w:tc>
      </w:tr>
      <w:tr w:rsidR="00542876" w:rsidRPr="009F19BD" w14:paraId="2DC46A50"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03BE4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Australia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A7DB3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91F85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2005-2015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F10B4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499AC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228,347</w:t>
            </w:r>
          </w:p>
        </w:tc>
      </w:tr>
      <w:tr w:rsidR="00542876" w:rsidRPr="009F19BD" w14:paraId="77F47E75"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F4F9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Austria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0DF7A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E19AC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1966-1976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FC96F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38828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23,527</w:t>
            </w:r>
          </w:p>
        </w:tc>
      </w:tr>
      <w:tr w:rsidR="00542876" w:rsidRPr="009F19BD" w14:paraId="4C9625F8"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453A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Azerbaijan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29FEF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2726B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2000-2010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05244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4DA3E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18,699</w:t>
            </w:r>
          </w:p>
        </w:tc>
      </w:tr>
      <w:tr w:rsidR="00542876" w:rsidRPr="009F19BD" w14:paraId="037558F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3B6C6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Bahrain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A153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CDA7F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1996-2006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B2853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ADE6A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12,235</w:t>
            </w:r>
          </w:p>
        </w:tc>
      </w:tr>
      <w:tr w:rsidR="00542876" w:rsidRPr="009F19BD" w14:paraId="697B36F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E321E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Bangladesh</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992FE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D0851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1981-1991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8EB61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EBADE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2,662</w:t>
            </w:r>
          </w:p>
        </w:tc>
      </w:tr>
      <w:tr w:rsidR="00542876" w:rsidRPr="009F19BD" w14:paraId="536635E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F920A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Belarus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65E4C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0799A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1991-2001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9DE42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4648D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38,735</w:t>
            </w:r>
          </w:p>
        </w:tc>
      </w:tr>
      <w:tr w:rsidR="00542876" w:rsidRPr="009F19BD" w14:paraId="74E91E3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2FB7D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Belgium</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B83E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F0DB0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1962-1972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0ED99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BEEF2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17,545</w:t>
            </w:r>
          </w:p>
        </w:tc>
      </w:tr>
      <w:tr w:rsidR="00542876" w:rsidRPr="009F19BD" w14:paraId="6EC8804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38A0D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Benin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7EF39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544E3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4848D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1F9CA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220</w:t>
            </w:r>
          </w:p>
        </w:tc>
      </w:tr>
      <w:tr w:rsidR="00542876" w:rsidRPr="009F19BD" w14:paraId="1A8955A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ED77E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Bolivia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1D1F7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4C4C6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1985-1995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1BEC2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3F5AB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1,776</w:t>
            </w:r>
          </w:p>
        </w:tc>
      </w:tr>
      <w:tr w:rsidR="00542876" w:rsidRPr="009F19BD" w14:paraId="4BC07B3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A7189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Bosnia and Herzegovina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684D6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E206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1995-2005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DD6A1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3C561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4,401</w:t>
            </w:r>
          </w:p>
        </w:tc>
      </w:tr>
      <w:tr w:rsidR="00542876" w:rsidRPr="009F19BD" w14:paraId="058CD805"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44B1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Botswana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65A26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13DAE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2002-2012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C0A99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36635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1,146</w:t>
            </w:r>
          </w:p>
        </w:tc>
      </w:tr>
      <w:tr w:rsidR="00542876" w:rsidRPr="009F19BD" w14:paraId="0119928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47F72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Brazil</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E0997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6D047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2005-2015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51EC2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DE601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403,033</w:t>
            </w:r>
          </w:p>
        </w:tc>
      </w:tr>
      <w:tr w:rsidR="00542876" w:rsidRPr="009F19BD" w14:paraId="42803B2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17DB2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Brunei Darussalam</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4030C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9C290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1975-1985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DE7FC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D8E2C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250</w:t>
            </w:r>
          </w:p>
        </w:tc>
      </w:tr>
      <w:tr w:rsidR="00542876" w:rsidRPr="009F19BD" w14:paraId="77AFA30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69A7E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Bulgaria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5BEC6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88822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F528F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318B0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21,016</w:t>
            </w:r>
          </w:p>
        </w:tc>
      </w:tr>
      <w:tr w:rsidR="00542876" w:rsidRPr="009F19BD" w14:paraId="5897052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0EE7D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Cambodia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E0ECE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ED7D4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EB4C4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DA310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1,492</w:t>
            </w:r>
          </w:p>
        </w:tc>
      </w:tr>
      <w:tr w:rsidR="00542876" w:rsidRPr="009F19BD" w14:paraId="0AD805B5"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AE54F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Cameroon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E0B0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F9E51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2005-2015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D632C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67594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4,004</w:t>
            </w:r>
          </w:p>
        </w:tc>
      </w:tr>
      <w:tr w:rsidR="00542876" w:rsidRPr="009F19BD" w14:paraId="799C539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5FA43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lastRenderedPageBreak/>
              <w:t>Canada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2C3D1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10E3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1961-1971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FA88C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5D1FD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115,295</w:t>
            </w:r>
          </w:p>
        </w:tc>
      </w:tr>
      <w:tr w:rsidR="00542876" w:rsidRPr="009F19BD" w14:paraId="05F9EE4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41022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Chile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FC9B1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D5894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1988-1998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FF77A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E10D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16,915</w:t>
            </w:r>
          </w:p>
        </w:tc>
      </w:tr>
      <w:tr w:rsidR="00542876" w:rsidRPr="009F19BD" w14:paraId="64B3A1F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36637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China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92D85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829B7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1980-1990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91C7A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A4C20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313,264</w:t>
            </w:r>
          </w:p>
        </w:tc>
      </w:tr>
      <w:tr w:rsidR="00542876" w:rsidRPr="009F19BD" w14:paraId="1E7F4F28"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5A4A0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Colombia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D7476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DA6E1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2005-2015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BD587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F8BD3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50,337</w:t>
            </w:r>
          </w:p>
        </w:tc>
      </w:tr>
      <w:tr w:rsidR="00542876" w:rsidRPr="009F19BD" w14:paraId="1E209230"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0C6E2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Congo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EA7FA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2ECC1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1978-1988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58FD6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FD367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66</w:t>
            </w:r>
          </w:p>
        </w:tc>
      </w:tr>
      <w:tr w:rsidR="00542876" w:rsidRPr="009F19BD" w14:paraId="0E8F0D3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94EC1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Costa Rica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311D9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492CC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1985-1995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46CE7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6B89B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2,816</w:t>
            </w:r>
          </w:p>
        </w:tc>
      </w:tr>
      <w:tr w:rsidR="00542876" w:rsidRPr="009F19BD" w14:paraId="6240C38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FA0E3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Côte d'Ivoire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00C9D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4B55B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23C11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476D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588</w:t>
            </w:r>
          </w:p>
        </w:tc>
      </w:tr>
      <w:tr w:rsidR="00542876" w:rsidRPr="009F19BD" w14:paraId="3D0E0DF9"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A7B7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Croatia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7E96F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7321D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2003-2013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E5AB8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F1B73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13,192</w:t>
            </w:r>
          </w:p>
        </w:tc>
      </w:tr>
      <w:tr w:rsidR="00542876" w:rsidRPr="009F19BD" w14:paraId="29001C9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AD96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Cuba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B33D5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4585F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1998-2008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1B16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6F46E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11,002</w:t>
            </w:r>
          </w:p>
        </w:tc>
      </w:tr>
      <w:tr w:rsidR="00542876" w:rsidRPr="009F19BD" w14:paraId="7CA0691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56367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Netherlands Antilles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74F42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C79CD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D7C22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41713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1,256</w:t>
            </w:r>
          </w:p>
        </w:tc>
      </w:tr>
      <w:tr w:rsidR="00542876" w:rsidRPr="009F19BD" w14:paraId="6728D55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EDC1E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Cyprus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3557B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7317A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2008-2018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5EDAB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F8E2F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5,079</w:t>
            </w:r>
          </w:p>
        </w:tc>
      </w:tr>
      <w:tr w:rsidR="00542876" w:rsidRPr="009F19BD" w14:paraId="330FC00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8DEEE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Czech Republic</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13205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CC45D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2000-2010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A0A87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6BC92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72,911</w:t>
            </w:r>
          </w:p>
        </w:tc>
      </w:tr>
      <w:tr w:rsidR="00542876" w:rsidRPr="009F19BD" w14:paraId="4152DA8E"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4743A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Congo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FB5FD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7C26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1980-1990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0984F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3FD81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4,445</w:t>
            </w:r>
          </w:p>
        </w:tc>
      </w:tr>
      <w:tr w:rsidR="00542876" w:rsidRPr="009F19BD" w14:paraId="60524EE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97436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Denmark</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0129F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B301D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1972-1982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5AF95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C3CB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20,574</w:t>
            </w:r>
          </w:p>
        </w:tc>
      </w:tr>
      <w:tr w:rsidR="00542876" w:rsidRPr="009F19BD" w14:paraId="13E6AF3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AB1CD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Dominican Republic</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7E1AC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D71B3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2000-2010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3CDB2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B0923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13,114</w:t>
            </w:r>
          </w:p>
        </w:tc>
      </w:tr>
      <w:tr w:rsidR="00542876" w:rsidRPr="009F19BD" w14:paraId="40D5593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DC72E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Ecuador</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31AC7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B1235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1979-1989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A4EA7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2A8D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3,058</w:t>
            </w:r>
          </w:p>
        </w:tc>
      </w:tr>
      <w:tr w:rsidR="00542876" w:rsidRPr="009F19BD" w14:paraId="48BA8305"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CC638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Egypt</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1315F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3FBD5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1977-1987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4E929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59526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14,132</w:t>
            </w:r>
          </w:p>
        </w:tc>
      </w:tr>
      <w:tr w:rsidR="00542876" w:rsidRPr="009F19BD" w14:paraId="4A450A40"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41359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El Salvador</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B2262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F159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1975-1985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9B1C5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B061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990</w:t>
            </w:r>
          </w:p>
        </w:tc>
      </w:tr>
      <w:tr w:rsidR="00542876" w:rsidRPr="009F19BD" w14:paraId="68C5305E"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A7230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Eritrea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F86F7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D99FA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1996-2006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CE4E3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9C571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193</w:t>
            </w:r>
          </w:p>
        </w:tc>
      </w:tr>
      <w:tr w:rsidR="00542876" w:rsidRPr="009F19BD" w14:paraId="0D7E137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DD766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Estonia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13B7E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 shale and oil sands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8360E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29500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F06C7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12,190</w:t>
            </w:r>
          </w:p>
        </w:tc>
      </w:tr>
      <w:tr w:rsidR="00542876" w:rsidRPr="009F19BD" w14:paraId="6928474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BD3D8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Ethiopia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ED5B1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CBC03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1972-1982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9AEA4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1AAB3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611</w:t>
            </w:r>
          </w:p>
        </w:tc>
      </w:tr>
      <w:tr w:rsidR="00542876" w:rsidRPr="009F19BD" w14:paraId="4305345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4291B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Finland</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DD9C3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BE7EF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1962-1972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1977C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16353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11,616</w:t>
            </w:r>
          </w:p>
        </w:tc>
      </w:tr>
      <w:tr w:rsidR="00542876" w:rsidRPr="009F19BD" w14:paraId="7003994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B6870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Former Soviet Union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67476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2AF9C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E474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C22B4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800,400</w:t>
            </w:r>
          </w:p>
        </w:tc>
      </w:tr>
      <w:tr w:rsidR="00542876" w:rsidRPr="009F19BD" w14:paraId="71768F5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1D6D6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Former Yugoslavia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FACC1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73F5E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1979-1989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AE7D0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007AE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54,966</w:t>
            </w:r>
          </w:p>
        </w:tc>
      </w:tr>
      <w:tr w:rsidR="00542876" w:rsidRPr="009F19BD" w14:paraId="2EB392D9"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6687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France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74931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3CE96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1973-1983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D2BF6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069CA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182,508</w:t>
            </w:r>
          </w:p>
        </w:tc>
      </w:tr>
      <w:tr w:rsidR="00542876" w:rsidRPr="009F19BD" w14:paraId="0B135E4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1557D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lastRenderedPageBreak/>
              <w:t>Gabon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D69D4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5BA68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1973-1983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10295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0EAD1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165</w:t>
            </w:r>
          </w:p>
        </w:tc>
      </w:tr>
      <w:tr w:rsidR="00542876" w:rsidRPr="009F19BD" w14:paraId="74E22DF9"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151E4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Georgia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37DBD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F8C01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1992-2002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EDE53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7E7F3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11,154</w:t>
            </w:r>
          </w:p>
        </w:tc>
      </w:tr>
      <w:tr w:rsidR="00542876" w:rsidRPr="009F19BD" w14:paraId="1B54EB4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0AABF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Germany</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74A63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919E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1964-1974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41DF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FE858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163,556</w:t>
            </w:r>
          </w:p>
        </w:tc>
      </w:tr>
      <w:tr w:rsidR="00542876" w:rsidRPr="009F19BD" w14:paraId="2FBF9EA0"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D3B45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Ghana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BAB03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063D4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1997-2007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6A128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55AC4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6,886</w:t>
            </w:r>
          </w:p>
        </w:tc>
      </w:tr>
      <w:tr w:rsidR="00542876" w:rsidRPr="009F19BD" w14:paraId="79F3DD2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3530B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Greece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9BFA4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DE8A4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6ACC7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3387F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62,711</w:t>
            </w:r>
          </w:p>
        </w:tc>
      </w:tr>
      <w:tr w:rsidR="00542876" w:rsidRPr="009F19BD" w14:paraId="6664F5C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790E5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Guatemala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29124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AEF75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1980-1990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54DF9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262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1,952</w:t>
            </w:r>
          </w:p>
        </w:tc>
      </w:tr>
      <w:tr w:rsidR="00542876" w:rsidRPr="009F19BD" w14:paraId="2242EB9E"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3528E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Haiti</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6E474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B1858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2006-2016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5D376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22772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570</w:t>
            </w:r>
          </w:p>
        </w:tc>
      </w:tr>
      <w:tr w:rsidR="00542876" w:rsidRPr="009F19BD" w14:paraId="4468C1F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55BFF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Honduras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B1B16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F039E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1992-2002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EA193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D5AD5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2,343</w:t>
            </w:r>
          </w:p>
        </w:tc>
      </w:tr>
      <w:tr w:rsidR="00542876" w:rsidRPr="009F19BD" w14:paraId="5A05E9C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E52FD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Hungary</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6822A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06C76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1967-1977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1B82C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491A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12,490</w:t>
            </w:r>
          </w:p>
        </w:tc>
      </w:tr>
      <w:tr w:rsidR="00542876" w:rsidRPr="009F19BD" w14:paraId="3EEF8AD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E62CD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Iceland</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54159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CE277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1997-2007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CDBF1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2A0AD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5,586</w:t>
            </w:r>
          </w:p>
        </w:tc>
      </w:tr>
      <w:tr w:rsidR="00542876" w:rsidRPr="009F19BD" w14:paraId="7C89F60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AE29A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India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81CE4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D454D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1978-1988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C8638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9FD3B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110,129</w:t>
            </w:r>
          </w:p>
        </w:tc>
      </w:tr>
      <w:tr w:rsidR="00542876" w:rsidRPr="009F19BD" w14:paraId="5C6375C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AFA57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Indonesia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6B67B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77057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1984-1994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19773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FFD38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13,622</w:t>
            </w:r>
          </w:p>
        </w:tc>
      </w:tr>
      <w:tr w:rsidR="00542876" w:rsidRPr="009F19BD" w14:paraId="793BE0E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AA3DE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Iran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6260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BEBE3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1985-1995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949A6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F51BE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39,220</w:t>
            </w:r>
          </w:p>
        </w:tc>
      </w:tr>
      <w:tr w:rsidR="00542876" w:rsidRPr="009F19BD" w14:paraId="7A7656A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30E1E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Iraq</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5733D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6D49B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1976-1986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B13C8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6B10F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5,239</w:t>
            </w:r>
          </w:p>
        </w:tc>
      </w:tr>
      <w:tr w:rsidR="00542876" w:rsidRPr="009F19BD" w14:paraId="3686FBF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E738B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Ireland</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7845B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17208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1978-1988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4874F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BD482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9,646</w:t>
            </w:r>
          </w:p>
        </w:tc>
      </w:tr>
      <w:tr w:rsidR="00542876" w:rsidRPr="009F19BD" w14:paraId="420E1865"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D9BE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Israel</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D2F75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667E6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1976-1986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0CBE3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EA1AA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10,361</w:t>
            </w:r>
          </w:p>
        </w:tc>
      </w:tr>
      <w:tr w:rsidR="00542876" w:rsidRPr="009F19BD" w14:paraId="28C60ED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CAA15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Italy</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9CB82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52CFA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1960-1970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F4CE5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9D0B4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55,990</w:t>
            </w:r>
          </w:p>
        </w:tc>
      </w:tr>
      <w:tr w:rsidR="00542876" w:rsidRPr="009F19BD" w14:paraId="59299BD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3501F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Jamaica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9A083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3B41B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54C17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8E4CE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5,996</w:t>
            </w:r>
          </w:p>
        </w:tc>
      </w:tr>
      <w:tr w:rsidR="00542876" w:rsidRPr="009F19BD" w14:paraId="37E38E8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4BE04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Japan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E873A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A91E9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1977-1987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08442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2C55C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529,371</w:t>
            </w:r>
          </w:p>
        </w:tc>
      </w:tr>
      <w:tr w:rsidR="00542876" w:rsidRPr="009F19BD" w14:paraId="099F447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E0CE3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Jordan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537AF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A0C93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1999-2009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54366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B6A9D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7,081</w:t>
            </w:r>
          </w:p>
        </w:tc>
      </w:tr>
      <w:tr w:rsidR="00542876" w:rsidRPr="009F19BD" w14:paraId="3A48977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2B0D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Kazakhstan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1734F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57FA8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2002-2012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326D7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9F8F4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58,342</w:t>
            </w:r>
          </w:p>
        </w:tc>
      </w:tr>
      <w:tr w:rsidR="00542876" w:rsidRPr="009F19BD" w14:paraId="6090781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E6C58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Kenya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34D96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8647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1990-2000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7D3A1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2A948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3,235</w:t>
            </w:r>
          </w:p>
        </w:tc>
      </w:tr>
      <w:tr w:rsidR="00542876" w:rsidRPr="009F19BD" w14:paraId="62E00EC1"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5B4ED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Kosovo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ED459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93420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2008-2018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595C7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3D0B1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5,162</w:t>
            </w:r>
          </w:p>
        </w:tc>
      </w:tr>
      <w:tr w:rsidR="00542876" w:rsidRPr="009F19BD" w14:paraId="0343134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A2FD4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Kuwait</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DC17C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8874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1973-1983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F5919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DF6C1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3,651</w:t>
            </w:r>
          </w:p>
        </w:tc>
      </w:tr>
      <w:tr w:rsidR="00542876" w:rsidRPr="009F19BD" w14:paraId="70EA421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46C7C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Kyrgyzstan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6C1B3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5C83E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1992-2002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3D82A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CAD21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13,789</w:t>
            </w:r>
          </w:p>
        </w:tc>
      </w:tr>
      <w:tr w:rsidR="00542876" w:rsidRPr="009F19BD" w14:paraId="3BCF05B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F79EF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lastRenderedPageBreak/>
              <w:t>Latvia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994AC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D7B71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2005-2015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971F8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A07C5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4,906</w:t>
            </w:r>
          </w:p>
        </w:tc>
      </w:tr>
      <w:tr w:rsidR="00542876" w:rsidRPr="009F19BD" w14:paraId="2EE1F841"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1A73A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Lebanon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D490E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C8050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76855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E6F8C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1,375</w:t>
            </w:r>
          </w:p>
        </w:tc>
      </w:tr>
      <w:tr w:rsidR="00542876" w:rsidRPr="009F19BD" w14:paraId="33B5D55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FD9DE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Libya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A0251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BB288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2002-2012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0EF97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63BE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17,531</w:t>
            </w:r>
          </w:p>
        </w:tc>
      </w:tr>
      <w:tr w:rsidR="00542876" w:rsidRPr="009F19BD" w14:paraId="00DDFCE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C5D66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Lithuania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DF91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Nuclear</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08D2F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2003-2013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9367F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0834C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18,828</w:t>
            </w:r>
          </w:p>
        </w:tc>
      </w:tr>
      <w:tr w:rsidR="00542876" w:rsidRPr="009F19BD" w14:paraId="52898AD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CFE3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Luxembourg</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F26AD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F88E2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1990-2000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72007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8821E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624</w:t>
            </w:r>
          </w:p>
        </w:tc>
      </w:tr>
      <w:tr w:rsidR="00542876" w:rsidRPr="009F19BD" w14:paraId="1F0A6AE9"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A1020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Malaysia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D678F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EA7F3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1983-1993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1EE87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C7DA3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12,758</w:t>
            </w:r>
          </w:p>
        </w:tc>
      </w:tr>
      <w:tr w:rsidR="00542876" w:rsidRPr="009F19BD" w14:paraId="427572A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B42FB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Malta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96FC0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4FB1A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2008-2018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5DFE1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EAD18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2,312</w:t>
            </w:r>
          </w:p>
        </w:tc>
      </w:tr>
      <w:tr w:rsidR="00542876" w:rsidRPr="009F19BD" w14:paraId="622F7FC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BC2A2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Mauritius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A966C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D8562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1997-2007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EE88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DC016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1,399</w:t>
            </w:r>
          </w:p>
        </w:tc>
      </w:tr>
      <w:tr w:rsidR="00542876" w:rsidRPr="009F19BD" w14:paraId="5A0FE51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45AC3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Mexico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EC994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C1878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1998-2008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78D8C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10D8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182,304</w:t>
            </w:r>
          </w:p>
        </w:tc>
      </w:tr>
      <w:tr w:rsidR="00542876" w:rsidRPr="009F19BD" w14:paraId="6050A36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D41A9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Moldova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0CE30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6E6B0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1994-2004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0C72B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9A80E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9,483</w:t>
            </w:r>
          </w:p>
        </w:tc>
      </w:tr>
      <w:tr w:rsidR="00542876" w:rsidRPr="009F19BD" w14:paraId="5ADFC65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9A16D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Mongolia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6BF1B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2462E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F4047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5BA54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3,701</w:t>
            </w:r>
          </w:p>
        </w:tc>
      </w:tr>
      <w:tr w:rsidR="00542876" w:rsidRPr="009F19BD" w14:paraId="1FBD9B28"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8F0F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Montenegro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D1FDA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FC4D5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0483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4E591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2,144</w:t>
            </w:r>
          </w:p>
        </w:tc>
      </w:tr>
      <w:tr w:rsidR="00542876" w:rsidRPr="009F19BD" w14:paraId="4DFFAC4E"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F61D7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Morocco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D5CA4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BCFFE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1992-2002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B1DDB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929F8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9,719</w:t>
            </w:r>
          </w:p>
        </w:tc>
      </w:tr>
      <w:tr w:rsidR="00542876" w:rsidRPr="009F19BD" w14:paraId="1335F97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81FC2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Mozambique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B2A65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A4AA2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1973-1983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2083B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6AE73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641</w:t>
            </w:r>
          </w:p>
        </w:tc>
      </w:tr>
      <w:tr w:rsidR="00542876" w:rsidRPr="009F19BD" w14:paraId="2C3BEB3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B0DA3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Myanmar</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B07DD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D7B53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1999-2009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4F9CE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42296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4,639</w:t>
            </w:r>
          </w:p>
        </w:tc>
      </w:tr>
      <w:tr w:rsidR="00542876" w:rsidRPr="009F19BD" w14:paraId="1A74062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BBE57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Namibia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5FC8F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ACD24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1994-2004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0B595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6F21E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874</w:t>
            </w:r>
          </w:p>
        </w:tc>
      </w:tr>
      <w:tr w:rsidR="00542876" w:rsidRPr="009F19BD" w14:paraId="00827B6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1D470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Nepal</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3AEC9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2A82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1973-1983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4AD25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732C9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104</w:t>
            </w:r>
          </w:p>
        </w:tc>
      </w:tr>
      <w:tr w:rsidR="00542876" w:rsidRPr="009F19BD" w14:paraId="07C85B3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C5745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Netherlands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0CF77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7F392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1962-1972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BFB0D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F0A3C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19,255</w:t>
            </w:r>
          </w:p>
        </w:tc>
      </w:tr>
      <w:tr w:rsidR="00542876" w:rsidRPr="009F19BD" w14:paraId="04F4C39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6131B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New Zealand</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BD224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98CA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1995-2005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F48B2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8A97F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36,061</w:t>
            </w:r>
          </w:p>
        </w:tc>
      </w:tr>
      <w:tr w:rsidR="00542876" w:rsidRPr="009F19BD" w14:paraId="6679C50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0017B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Nicaragua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9A0F6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4EF44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D672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6A779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3,208</w:t>
            </w:r>
          </w:p>
        </w:tc>
      </w:tr>
      <w:tr w:rsidR="00542876" w:rsidRPr="009F19BD" w14:paraId="5691566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885EB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Niger</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A706D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D8CC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2006-2016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CF0DC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516B6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218</w:t>
            </w:r>
          </w:p>
        </w:tc>
      </w:tr>
      <w:tr w:rsidR="00542876" w:rsidRPr="009F19BD" w14:paraId="23549019"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ABC7E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Nigeria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204AF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E80CF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1974-1984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454A1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38850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2,287</w:t>
            </w:r>
          </w:p>
        </w:tc>
      </w:tr>
      <w:tr w:rsidR="00542876" w:rsidRPr="009F19BD" w14:paraId="2EF2E41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28E32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North Korea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9F215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CFD0A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2006-2016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84E87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D7195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22,435</w:t>
            </w:r>
          </w:p>
        </w:tc>
      </w:tr>
      <w:tr w:rsidR="00542876" w:rsidRPr="009F19BD" w14:paraId="43CF919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25DC0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North Macedonia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774B9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9CBA0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2008-2018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9958E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F4CFA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6,311</w:t>
            </w:r>
          </w:p>
        </w:tc>
      </w:tr>
      <w:tr w:rsidR="00542876" w:rsidRPr="009F19BD" w14:paraId="6EDAD3E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11FA3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Norway</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B9FDE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4F726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2000-2010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E46BD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A57E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142,511</w:t>
            </w:r>
          </w:p>
        </w:tc>
      </w:tr>
      <w:tr w:rsidR="00542876" w:rsidRPr="009F19BD" w14:paraId="576B66C0"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FFBAA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lastRenderedPageBreak/>
              <w:t>Oman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A8770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EA2F2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1977-1987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1F408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FB940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404</w:t>
            </w:r>
          </w:p>
        </w:tc>
      </w:tr>
      <w:tr w:rsidR="00542876" w:rsidRPr="009F19BD" w14:paraId="2E5E501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51BE2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Pakistan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F88EF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90BD4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2004-2014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B9D45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14B48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85,629</w:t>
            </w:r>
          </w:p>
        </w:tc>
      </w:tr>
      <w:tr w:rsidR="00542876" w:rsidRPr="009F19BD" w14:paraId="51E2727E"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348E2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Panama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3D4B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91B9C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1975-1985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1245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2C130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1,251</w:t>
            </w:r>
          </w:p>
        </w:tc>
      </w:tr>
      <w:tr w:rsidR="00542876" w:rsidRPr="009F19BD" w14:paraId="0C703B7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4F372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Paraguay</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036B7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DC88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1978-1988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43EF1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390B3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568</w:t>
            </w:r>
          </w:p>
        </w:tc>
      </w:tr>
      <w:tr w:rsidR="00542876" w:rsidRPr="009F19BD" w14:paraId="430CEE5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A5E8B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Peru</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DDC64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0CF0D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2001-2011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80D19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F51AA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20,778</w:t>
            </w:r>
          </w:p>
        </w:tc>
      </w:tr>
      <w:tr w:rsidR="00542876" w:rsidRPr="009F19BD" w14:paraId="3933F85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2109E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Philippines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5AB8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120DE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1976-1986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ABD85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976CC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14,716</w:t>
            </w:r>
          </w:p>
        </w:tc>
      </w:tr>
      <w:tr w:rsidR="00542876" w:rsidRPr="009F19BD" w14:paraId="6CE4452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BCFD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Poland</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F2477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ABCB6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A763A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A77FF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158,761</w:t>
            </w:r>
          </w:p>
        </w:tc>
      </w:tr>
      <w:tr w:rsidR="00542876" w:rsidRPr="009F19BD" w14:paraId="176B2B7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3E962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Portugal</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13490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E5A33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1966-1976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B2DFE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455F7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5,581</w:t>
            </w:r>
          </w:p>
        </w:tc>
      </w:tr>
      <w:tr w:rsidR="00542876" w:rsidRPr="009F19BD" w14:paraId="61C0C8B1"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6E938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Qatar</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1D733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DAA78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1975-1985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5AB5A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F76A9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625</w:t>
            </w:r>
          </w:p>
        </w:tc>
      </w:tr>
      <w:tr w:rsidR="00542876" w:rsidRPr="009F19BD" w14:paraId="7B356A6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E0241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Romania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D54E8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31CE5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1984-1994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C65FF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5B3CB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71,667</w:t>
            </w:r>
          </w:p>
        </w:tc>
      </w:tr>
      <w:tr w:rsidR="00542876" w:rsidRPr="009F19BD" w14:paraId="2412D6A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410D6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Russia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AAE8D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B2D56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1991-2001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B16F5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0A1D4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1,068,163</w:t>
            </w:r>
          </w:p>
        </w:tc>
      </w:tr>
      <w:tr w:rsidR="00542876" w:rsidRPr="009F19BD" w14:paraId="489DB70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C0DF8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Saudi Arabia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4B9C8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C19FA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16664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5F0DB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2,082</w:t>
            </w:r>
          </w:p>
        </w:tc>
      </w:tr>
      <w:tr w:rsidR="00542876" w:rsidRPr="009F19BD" w14:paraId="2B15423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82DB4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Senegal</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2265C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A6F48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1993-2003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FFE79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63573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1,037</w:t>
            </w:r>
          </w:p>
        </w:tc>
      </w:tr>
      <w:tr w:rsidR="00542876" w:rsidRPr="009F19BD" w14:paraId="2281F69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9965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Serbia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294C1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58E8F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1999-2009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ED568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1DE90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30,834</w:t>
            </w:r>
          </w:p>
        </w:tc>
      </w:tr>
      <w:tr w:rsidR="00542876" w:rsidRPr="009F19BD" w14:paraId="660C47CD"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DE675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Singapore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30001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80AA9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1999-2009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1DC8E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B0788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29,520</w:t>
            </w:r>
          </w:p>
        </w:tc>
      </w:tr>
      <w:tr w:rsidR="00542876" w:rsidRPr="009F19BD" w14:paraId="796E24B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2B7A3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Slovak Republic</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D25D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A08A7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1972-1982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ED8AD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F350C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11,823</w:t>
            </w:r>
          </w:p>
        </w:tc>
      </w:tr>
      <w:tr w:rsidR="00542876" w:rsidRPr="009F19BD" w14:paraId="31F8E6C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82DB6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Slovenia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27689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E52E5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2004-2014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2FC19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2336C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15,271</w:t>
            </w:r>
          </w:p>
        </w:tc>
      </w:tr>
      <w:tr w:rsidR="00542876" w:rsidRPr="009F19BD" w14:paraId="2F9598C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BA378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South Africa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F0608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B4D16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1979-1989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D1F72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04008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89,748</w:t>
            </w:r>
          </w:p>
        </w:tc>
      </w:tr>
      <w:tr w:rsidR="00542876" w:rsidRPr="009F19BD" w14:paraId="126CC22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12102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South Korea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02CBE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5498E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1977-1987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79F2A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5E3D9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26,587</w:t>
            </w:r>
          </w:p>
        </w:tc>
      </w:tr>
      <w:tr w:rsidR="00542876" w:rsidRPr="009F19BD" w14:paraId="4A53A3E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617A9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Spain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A972B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A37BD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1966-1976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D22C3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F6F64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37,679</w:t>
            </w:r>
          </w:p>
        </w:tc>
      </w:tr>
      <w:tr w:rsidR="00542876" w:rsidRPr="009F19BD" w14:paraId="173277E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42DD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Sri Lanka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1F3ED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B983C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1994-2004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008D4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38DAE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4,387</w:t>
            </w:r>
          </w:p>
        </w:tc>
      </w:tr>
      <w:tr w:rsidR="00542876" w:rsidRPr="009F19BD" w14:paraId="18DC7F5F"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2FBF2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Sudan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C4FEE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73C58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6E7FC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28A8B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5,021</w:t>
            </w:r>
          </w:p>
        </w:tc>
      </w:tr>
      <w:tr w:rsidR="00542876" w:rsidRPr="009F19BD" w14:paraId="03CB23A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0F16A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Suriname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E51F4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EC832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2001-2011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709C7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2FD35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1,235</w:t>
            </w:r>
          </w:p>
        </w:tc>
      </w:tr>
      <w:tr w:rsidR="00542876" w:rsidRPr="009F19BD" w14:paraId="0D345977"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233A8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Sweden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88E86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4829A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1967-1977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71F58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E444E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53,822</w:t>
            </w:r>
          </w:p>
        </w:tc>
      </w:tr>
      <w:tr w:rsidR="00542876" w:rsidRPr="009F19BD" w14:paraId="5141A031"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58F44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Switzerland</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9F737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1EC21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1966-1976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08455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581C4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28,361</w:t>
            </w:r>
          </w:p>
        </w:tc>
      </w:tr>
      <w:tr w:rsidR="00542876" w:rsidRPr="009F19BD" w14:paraId="1A03BC9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AB4DD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lastRenderedPageBreak/>
              <w:t>Syria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D538D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F2A23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45F97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8009C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1,345</w:t>
            </w:r>
          </w:p>
        </w:tc>
      </w:tr>
      <w:tr w:rsidR="00542876" w:rsidRPr="009F19BD" w14:paraId="40F9084B"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6771A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Taiwan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81053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B1E32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1977-1987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631BC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2DF41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30,968</w:t>
            </w:r>
          </w:p>
        </w:tc>
      </w:tr>
      <w:tr w:rsidR="00542876" w:rsidRPr="009F19BD" w14:paraId="317EFF1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BFF01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Tajikistan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6ADA8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4E590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1990-2000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B9BE7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CD27D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18,146</w:t>
            </w:r>
          </w:p>
        </w:tc>
      </w:tr>
      <w:tr w:rsidR="00542876" w:rsidRPr="009F19BD" w14:paraId="4B6A6C1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0CB28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Tanzania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28CB9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1739B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2003-2013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0D335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7743A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2,661</w:t>
            </w:r>
          </w:p>
        </w:tc>
      </w:tr>
      <w:tr w:rsidR="00542876" w:rsidRPr="009F19BD" w14:paraId="3FDD30A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C1070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Thailand</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716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724AA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1978-1988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A5D70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363D5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12,637</w:t>
            </w:r>
          </w:p>
        </w:tc>
      </w:tr>
      <w:tr w:rsidR="00542876" w:rsidRPr="009F19BD" w14:paraId="11C639C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A0CAB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Togo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8DA9F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BE609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2006-2016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8D58D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9679A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221</w:t>
            </w:r>
          </w:p>
        </w:tc>
      </w:tr>
      <w:tr w:rsidR="00542876" w:rsidRPr="009F19BD" w14:paraId="3D08D341"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A2C0E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Trinidad and Tobago</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D07B8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1F905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1979-1989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F0DFC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C49EB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1,855</w:t>
            </w:r>
          </w:p>
        </w:tc>
      </w:tr>
      <w:tr w:rsidR="00542876" w:rsidRPr="009F19BD" w14:paraId="068EFCC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9D2E1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Tunisia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F160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FC0DC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1991-2001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A9C7A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5D90F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6,030</w:t>
            </w:r>
          </w:p>
        </w:tc>
      </w:tr>
      <w:tr w:rsidR="00542876" w:rsidRPr="009F19BD" w14:paraId="2BEA76F4"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84BFE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Turkey</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C2D7B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D93B7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1962-1972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CA93A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0391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3,560</w:t>
            </w:r>
          </w:p>
        </w:tc>
      </w:tr>
      <w:tr w:rsidR="00542876" w:rsidRPr="009F19BD" w14:paraId="3F72530C"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E23B7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Turkmenistan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0F3ED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EB4B7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1990-2000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BB3AC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CB75C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14,610</w:t>
            </w:r>
          </w:p>
        </w:tc>
      </w:tr>
      <w:tr w:rsidR="00542876" w:rsidRPr="009F19BD" w14:paraId="7452DEB8"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E8C19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Ukraine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57633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8733D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1990-2000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DD862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0F42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298,626</w:t>
            </w:r>
          </w:p>
        </w:tc>
      </w:tr>
      <w:tr w:rsidR="00542876" w:rsidRPr="009F19BD" w14:paraId="2918C749"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372A4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United Arab Emirates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5E0CA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Gas</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18769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89D4A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B09A3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203</w:t>
            </w:r>
          </w:p>
        </w:tc>
      </w:tr>
      <w:tr w:rsidR="00542876" w:rsidRPr="009F19BD" w14:paraId="0B86FBC5"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A201C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United Kingdom</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2BFDD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B648A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1987-1997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0DC17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C43DE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301,644</w:t>
            </w:r>
          </w:p>
        </w:tc>
      </w:tr>
      <w:tr w:rsidR="00542876" w:rsidRPr="009F19BD" w14:paraId="6AFC8713"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7560EC"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United States</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142BF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E710E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2008-2018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80188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3AC09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4,342,980</w:t>
            </w:r>
          </w:p>
        </w:tc>
      </w:tr>
      <w:tr w:rsidR="00542876" w:rsidRPr="009F19BD" w14:paraId="56EC79A1"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D6D2A5"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Uruguay</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5BEFC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09F45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1976-1986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F07C9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E94AE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2,702</w:t>
            </w:r>
          </w:p>
        </w:tc>
      </w:tr>
      <w:tr w:rsidR="00542876" w:rsidRPr="009F19BD" w14:paraId="1158808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03085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Uzbekistan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644FF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5DA14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1998-2008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022BF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5D7B8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45,935</w:t>
            </w:r>
          </w:p>
        </w:tc>
      </w:tr>
      <w:tr w:rsidR="00542876" w:rsidRPr="009F19BD" w14:paraId="1F30FE76"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475B0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Venezuela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7C579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39F8B9"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1981-1991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07D77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E25057"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38,750</w:t>
            </w:r>
          </w:p>
        </w:tc>
      </w:tr>
      <w:tr w:rsidR="00542876" w:rsidRPr="009F19BD" w14:paraId="7C8BC528"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9EBB1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Viet Nam</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BA950"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B1AA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1972-1982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D99802"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A978C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2,200</w:t>
            </w:r>
          </w:p>
        </w:tc>
      </w:tr>
      <w:tr w:rsidR="00542876" w:rsidRPr="009F19BD" w14:paraId="6406E50A"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177F5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Yemen</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7C6D4B"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Oil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799D6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2007-2017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994DD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4D0D5F"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6,027</w:t>
            </w:r>
          </w:p>
        </w:tc>
      </w:tr>
      <w:tr w:rsidR="00542876" w:rsidRPr="009F19BD" w14:paraId="422F2668"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8DABF6"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Zambia</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0AFBD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Coal</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6B8014"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1971-1981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1D6278"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57825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1,216</w:t>
            </w:r>
          </w:p>
        </w:tc>
      </w:tr>
      <w:tr w:rsidR="00542876" w:rsidRPr="009F19BD" w14:paraId="386DCB22" w14:textId="77777777" w:rsidTr="009F19BD">
        <w:trPr>
          <w:trHeight w:hRule="exact" w:val="45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E13A7A"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Zimbabwe</w:t>
            </w:r>
          </w:p>
        </w:tc>
        <w:tc>
          <w:tcPr>
            <w:tcW w:w="1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8D13DD"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Hydro</w:t>
            </w:r>
          </w:p>
        </w:tc>
        <w:tc>
          <w:tcPr>
            <w:tcW w:w="1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3FF24E"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1977-1987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3F7F31"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FF4103" w14:textId="77777777" w:rsidR="00542876" w:rsidRPr="009F19BD" w:rsidRDefault="00542876" w:rsidP="009F19BD">
            <w:pPr>
              <w:spacing w:after="0" w:line="240" w:lineRule="auto"/>
              <w:rPr>
                <w:rFonts w:ascii="Times New Roman" w:hAnsi="Times New Roman" w:cs="Times New Roman"/>
              </w:rPr>
            </w:pPr>
            <w:r w:rsidRPr="009F19BD">
              <w:rPr>
                <w:rFonts w:ascii="Times New Roman" w:hAnsi="Times New Roman" w:cs="Times New Roman"/>
              </w:rPr>
              <w:t>6,491</w:t>
            </w:r>
          </w:p>
        </w:tc>
      </w:tr>
    </w:tbl>
    <w:p w14:paraId="6716B649" w14:textId="77777777" w:rsidR="00542876" w:rsidRPr="009F19BD" w:rsidRDefault="00542876" w:rsidP="00542876">
      <w:pPr>
        <w:rPr>
          <w:rFonts w:ascii="Times New Roman" w:hAnsi="Times New Roman" w:cs="Times New Roman"/>
        </w:rPr>
      </w:pPr>
    </w:p>
    <w:p w14:paraId="03AED198" w14:textId="77777777" w:rsidR="00A81C72" w:rsidRDefault="00A81C72" w:rsidP="00542876">
      <w:pPr>
        <w:rPr>
          <w:rFonts w:ascii="Times New Roman" w:hAnsi="Times New Roman" w:cs="Times New Roman"/>
          <w:b/>
          <w:bCs/>
        </w:rPr>
      </w:pPr>
      <w:r>
        <w:rPr>
          <w:rFonts w:ascii="Times New Roman" w:hAnsi="Times New Roman" w:cs="Times New Roman"/>
          <w:b/>
          <w:bCs/>
        </w:rPr>
        <w:br w:type="page"/>
      </w:r>
    </w:p>
    <w:p w14:paraId="7D63F4B2" w14:textId="1FAB24C8" w:rsidR="00542755" w:rsidRPr="009F19BD" w:rsidRDefault="00542755" w:rsidP="00A81C72">
      <w:pPr>
        <w:pStyle w:val="Heading3"/>
      </w:pPr>
      <w:r w:rsidRPr="009F19BD">
        <w:lastRenderedPageBreak/>
        <w:t>SI Section 2: Additional results from TIAM-UCL</w:t>
      </w:r>
    </w:p>
    <w:p w14:paraId="2DD32FD7" w14:textId="0E75A984" w:rsidR="00064508" w:rsidRDefault="00064508" w:rsidP="00064508">
      <w:pPr>
        <w:pStyle w:val="Heading4"/>
      </w:pPr>
      <w:r>
        <w:t>Alternative PPCA decline paths</w:t>
      </w:r>
    </w:p>
    <w:p w14:paraId="03276308" w14:textId="4ACA3C64" w:rsidR="2D7B357F" w:rsidRPr="009F19BD" w:rsidRDefault="32E99A2F">
      <w:pPr>
        <w:rPr>
          <w:rFonts w:ascii="Times New Roman" w:hAnsi="Times New Roman" w:cs="Times New Roman"/>
        </w:rPr>
      </w:pPr>
      <w:r w:rsidRPr="009F19BD">
        <w:rPr>
          <w:rFonts w:ascii="Times New Roman" w:hAnsi="Times New Roman" w:cs="Times New Roman"/>
          <w:noProof/>
        </w:rPr>
        <w:drawing>
          <wp:inline distT="0" distB="0" distL="0" distR="0" wp14:anchorId="526D0AF7" wp14:editId="60871A42">
            <wp:extent cx="5288280" cy="3238500"/>
            <wp:effectExtent l="0" t="0" r="7620" b="0"/>
            <wp:docPr id="1761344430" name="Picture 1761344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cstate="print">
                      <a:extLst>
                        <a:ext uri="{28A0092B-C50C-407E-A947-70E740481C1C}">
                          <a14:useLocalDpi xmlns:a14="http://schemas.microsoft.com/office/drawing/2010/main" val="0"/>
                        </a:ext>
                      </a:extLst>
                    </a:blip>
                    <a:srcRect/>
                    <a:stretch/>
                  </pic:blipFill>
                  <pic:spPr bwMode="auto">
                    <a:xfrm>
                      <a:off x="0" y="0"/>
                      <a:ext cx="5288280" cy="3238500"/>
                    </a:xfrm>
                    <a:prstGeom prst="rect">
                      <a:avLst/>
                    </a:prstGeom>
                    <a:ln>
                      <a:noFill/>
                    </a:ln>
                    <a:extLst>
                      <a:ext uri="{53640926-AAD7-44D8-BBD7-CCE9431645EC}">
                        <a14:shadowObscured xmlns:a14="http://schemas.microsoft.com/office/drawing/2010/main"/>
                      </a:ext>
                    </a:extLst>
                  </pic:spPr>
                </pic:pic>
              </a:graphicData>
            </a:graphic>
          </wp:inline>
        </w:drawing>
      </w:r>
    </w:p>
    <w:p w14:paraId="2FF78808" w14:textId="250858F2" w:rsidR="007B7EBF" w:rsidRDefault="655EB941" w:rsidP="3B13A421">
      <w:pPr>
        <w:rPr>
          <w:rFonts w:ascii="Times New Roman" w:hAnsi="Times New Roman" w:cs="Times New Roman"/>
        </w:rPr>
      </w:pPr>
      <w:r w:rsidRPr="009F19BD">
        <w:rPr>
          <w:rFonts w:ascii="Times New Roman" w:hAnsi="Times New Roman" w:cs="Times New Roman"/>
          <w:b/>
          <w:bCs/>
        </w:rPr>
        <w:t>Supplementary Figure</w:t>
      </w:r>
      <w:r w:rsidR="00A81C72">
        <w:rPr>
          <w:rFonts w:ascii="Times New Roman" w:hAnsi="Times New Roman" w:cs="Times New Roman"/>
          <w:b/>
          <w:bCs/>
        </w:rPr>
        <w:t xml:space="preserve"> 1</w:t>
      </w:r>
      <w:r w:rsidRPr="009F19BD">
        <w:rPr>
          <w:rFonts w:ascii="Times New Roman" w:hAnsi="Times New Roman" w:cs="Times New Roman"/>
          <w:b/>
          <w:bCs/>
        </w:rPr>
        <w:t>. Global carbon price output by our modelling for the four coal decline con</w:t>
      </w:r>
      <w:r w:rsidR="00A81C72">
        <w:rPr>
          <w:rFonts w:ascii="Times New Roman" w:hAnsi="Times New Roman" w:cs="Times New Roman"/>
          <w:b/>
          <w:bCs/>
        </w:rPr>
        <w:t>s</w:t>
      </w:r>
      <w:r w:rsidRPr="009F19BD">
        <w:rPr>
          <w:rFonts w:ascii="Times New Roman" w:hAnsi="Times New Roman" w:cs="Times New Roman"/>
          <w:b/>
          <w:bCs/>
        </w:rPr>
        <w:t xml:space="preserve">traint formulations we explore. </w:t>
      </w:r>
      <w:r w:rsidRPr="009817CD">
        <w:rPr>
          <w:rFonts w:ascii="Times New Roman" w:hAnsi="Times New Roman" w:cs="Times New Roman"/>
        </w:rPr>
        <w:t>PP</w:t>
      </w:r>
      <w:r w:rsidR="34E8C44E" w:rsidRPr="009817CD">
        <w:rPr>
          <w:rFonts w:ascii="Times New Roman" w:hAnsi="Times New Roman" w:cs="Times New Roman"/>
        </w:rPr>
        <w:t>CA-</w:t>
      </w:r>
      <w:proofErr w:type="spellStart"/>
      <w:r w:rsidR="34E8C44E" w:rsidRPr="009817CD">
        <w:rPr>
          <w:rFonts w:ascii="Times New Roman" w:hAnsi="Times New Roman" w:cs="Times New Roman"/>
        </w:rPr>
        <w:t>LogisticShare</w:t>
      </w:r>
      <w:proofErr w:type="spellEnd"/>
      <w:r w:rsidR="34E8C44E" w:rsidRPr="009817CD">
        <w:rPr>
          <w:rFonts w:ascii="Times New Roman" w:hAnsi="Times New Roman" w:cs="Times New Roman"/>
        </w:rPr>
        <w:t xml:space="preserve"> is the central case we report in the main manuscript.</w:t>
      </w:r>
      <w:r w:rsidR="007B7EBF">
        <w:rPr>
          <w:rFonts w:ascii="Times New Roman" w:hAnsi="Times New Roman" w:cs="Times New Roman"/>
        </w:rPr>
        <w:br w:type="page"/>
      </w:r>
    </w:p>
    <w:tbl>
      <w:tblPr>
        <w:tblW w:w="9026" w:type="dxa"/>
        <w:tblCellMar>
          <w:top w:w="15" w:type="dxa"/>
          <w:left w:w="15" w:type="dxa"/>
          <w:bottom w:w="15" w:type="dxa"/>
          <w:right w:w="15" w:type="dxa"/>
        </w:tblCellMar>
        <w:tblLook w:val="04A0" w:firstRow="1" w:lastRow="0" w:firstColumn="1" w:lastColumn="0" w:noHBand="0" w:noVBand="1"/>
      </w:tblPr>
      <w:tblGrid>
        <w:gridCol w:w="4513"/>
        <w:gridCol w:w="4513"/>
      </w:tblGrid>
      <w:tr w:rsidR="00A81C72" w:rsidRPr="009F19BD" w14:paraId="4F2D8358" w14:textId="77777777" w:rsidTr="009D7592">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7465109D" w14:textId="77777777" w:rsidR="00A81C72" w:rsidRPr="009F19BD" w:rsidRDefault="00A81C72" w:rsidP="009D7592">
            <w:pPr>
              <w:rPr>
                <w:rFonts w:ascii="Times New Roman" w:hAnsi="Times New Roman" w:cs="Times New Roman"/>
              </w:rPr>
            </w:pPr>
            <w:r w:rsidRPr="009F19BD">
              <w:rPr>
                <w:rFonts w:ascii="Times New Roman" w:hAnsi="Times New Roman" w:cs="Times New Roman"/>
                <w:noProof/>
              </w:rPr>
              <w:lastRenderedPageBreak/>
              <w:drawing>
                <wp:inline distT="0" distB="0" distL="0" distR="0" wp14:anchorId="61FAA3F2" wp14:editId="6770586C">
                  <wp:extent cx="2733675" cy="2247900"/>
                  <wp:effectExtent l="0" t="0" r="0" b="0"/>
                  <wp:docPr id="1193707098" name="Picture 119370709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07098" name="Picture 1193707098" descr="Chart, line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33675" cy="2247900"/>
                          </a:xfrm>
                          <a:prstGeom prst="rect">
                            <a:avLst/>
                          </a:prstGeom>
                        </pic:spPr>
                      </pic:pic>
                    </a:graphicData>
                  </a:graphic>
                </wp:inline>
              </w:drawing>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43B3A03" w14:textId="77777777" w:rsidR="00A81C72" w:rsidRPr="009F19BD" w:rsidRDefault="00A81C72" w:rsidP="009D7592">
            <w:pPr>
              <w:rPr>
                <w:rFonts w:ascii="Times New Roman" w:hAnsi="Times New Roman" w:cs="Times New Roman"/>
              </w:rPr>
            </w:pPr>
            <w:r w:rsidRPr="009F19BD">
              <w:rPr>
                <w:rFonts w:ascii="Times New Roman" w:hAnsi="Times New Roman" w:cs="Times New Roman"/>
                <w:noProof/>
              </w:rPr>
              <w:drawing>
                <wp:inline distT="0" distB="0" distL="0" distR="0" wp14:anchorId="5BFD1B72" wp14:editId="1812DA0E">
                  <wp:extent cx="2733675" cy="2257425"/>
                  <wp:effectExtent l="0" t="0" r="0" b="0"/>
                  <wp:docPr id="1835876205" name="Picture 183587620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876205" name="Picture 1835876205" descr="Chart, line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733675" cy="2257425"/>
                          </a:xfrm>
                          <a:prstGeom prst="rect">
                            <a:avLst/>
                          </a:prstGeom>
                        </pic:spPr>
                      </pic:pic>
                    </a:graphicData>
                  </a:graphic>
                </wp:inline>
              </w:drawing>
            </w:r>
          </w:p>
        </w:tc>
      </w:tr>
      <w:tr w:rsidR="00A81C72" w:rsidRPr="009F19BD" w14:paraId="7D4448CA" w14:textId="77777777" w:rsidTr="009D7592">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014A348" w14:textId="77777777" w:rsidR="00A81C72" w:rsidRPr="009F19BD" w:rsidRDefault="00A81C72" w:rsidP="009D7592">
            <w:pPr>
              <w:rPr>
                <w:rFonts w:ascii="Times New Roman" w:hAnsi="Times New Roman" w:cs="Times New Roman"/>
              </w:rPr>
            </w:pPr>
            <w:r w:rsidRPr="009F19BD">
              <w:rPr>
                <w:rFonts w:ascii="Times New Roman" w:hAnsi="Times New Roman" w:cs="Times New Roman"/>
                <w:noProof/>
              </w:rPr>
              <w:drawing>
                <wp:inline distT="0" distB="0" distL="0" distR="0" wp14:anchorId="2644054F" wp14:editId="1A8C6059">
                  <wp:extent cx="2733675" cy="2247900"/>
                  <wp:effectExtent l="0" t="0" r="0" b="0"/>
                  <wp:docPr id="142953685" name="Picture 14295368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685" name="Picture 142953685" descr="Chart, line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733675" cy="2247900"/>
                          </a:xfrm>
                          <a:prstGeom prst="rect">
                            <a:avLst/>
                          </a:prstGeom>
                        </pic:spPr>
                      </pic:pic>
                    </a:graphicData>
                  </a:graphic>
                </wp:inline>
              </w:drawing>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2C8D29A" w14:textId="77777777" w:rsidR="00A81C72" w:rsidRPr="009F19BD" w:rsidRDefault="00A81C72" w:rsidP="009D7592">
            <w:pPr>
              <w:rPr>
                <w:rFonts w:ascii="Times New Roman" w:hAnsi="Times New Roman" w:cs="Times New Roman"/>
              </w:rPr>
            </w:pPr>
            <w:r w:rsidRPr="009F19BD">
              <w:rPr>
                <w:rFonts w:ascii="Times New Roman" w:hAnsi="Times New Roman" w:cs="Times New Roman"/>
                <w:noProof/>
              </w:rPr>
              <w:drawing>
                <wp:inline distT="0" distB="0" distL="0" distR="0" wp14:anchorId="1658F619" wp14:editId="6DE5E6A9">
                  <wp:extent cx="2733675" cy="2257425"/>
                  <wp:effectExtent l="0" t="0" r="0" b="0"/>
                  <wp:docPr id="761614949" name="Picture 76161494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614949" name="Picture 761614949" descr="Chart, line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733675" cy="2257425"/>
                          </a:xfrm>
                          <a:prstGeom prst="rect">
                            <a:avLst/>
                          </a:prstGeom>
                        </pic:spPr>
                      </pic:pic>
                    </a:graphicData>
                  </a:graphic>
                </wp:inline>
              </w:drawing>
            </w:r>
          </w:p>
        </w:tc>
      </w:tr>
    </w:tbl>
    <w:p w14:paraId="08E5C3E7" w14:textId="320EC5EF" w:rsidR="007B7EBF" w:rsidRPr="007B3C2E" w:rsidRDefault="00A81C72" w:rsidP="007B3C2E">
      <w:pPr>
        <w:rPr>
          <w:rFonts w:ascii="Times New Roman" w:hAnsi="Times New Roman" w:cs="Times New Roman"/>
        </w:rPr>
      </w:pPr>
      <w:r w:rsidRPr="009F19BD">
        <w:rPr>
          <w:rFonts w:ascii="Times New Roman" w:hAnsi="Times New Roman" w:cs="Times New Roman"/>
          <w:b/>
          <w:bCs/>
        </w:rPr>
        <w:t>Supplementary Figure</w:t>
      </w:r>
      <w:r w:rsidR="00064508">
        <w:rPr>
          <w:rFonts w:ascii="Times New Roman" w:hAnsi="Times New Roman" w:cs="Times New Roman"/>
          <w:b/>
          <w:bCs/>
        </w:rPr>
        <w:t xml:space="preserve"> 2</w:t>
      </w:r>
      <w:r w:rsidRPr="009F19BD">
        <w:rPr>
          <w:rFonts w:ascii="Times New Roman" w:hAnsi="Times New Roman" w:cs="Times New Roman"/>
          <w:b/>
          <w:bCs/>
        </w:rPr>
        <w:t>. Coal power generation for selected countries under a range of different approaches to PPCA implementation and the default case, 2020-2050.</w:t>
      </w:r>
      <w:r w:rsidRPr="009F19BD">
        <w:rPr>
          <w:rFonts w:ascii="Times New Roman" w:hAnsi="Times New Roman" w:cs="Times New Roman"/>
        </w:rPr>
        <w:t> </w:t>
      </w:r>
      <w:r w:rsidR="00542876" w:rsidRPr="009F19BD">
        <w:br/>
      </w:r>
      <w:r w:rsidR="007B7EBF">
        <w:br w:type="page"/>
      </w:r>
    </w:p>
    <w:p w14:paraId="5BD26611" w14:textId="77777777" w:rsidR="005078AE" w:rsidRPr="007B7EBF" w:rsidRDefault="005078AE" w:rsidP="005078AE">
      <w:pPr>
        <w:pStyle w:val="Heading4"/>
      </w:pPr>
      <w:r>
        <w:lastRenderedPageBreak/>
        <w:t>Regional impacts of PPCA constraint</w:t>
      </w:r>
    </w:p>
    <w:tbl>
      <w:tblPr>
        <w:tblW w:w="9026" w:type="dxa"/>
        <w:tblCellMar>
          <w:top w:w="15" w:type="dxa"/>
          <w:left w:w="15" w:type="dxa"/>
          <w:bottom w:w="15" w:type="dxa"/>
          <w:right w:w="15" w:type="dxa"/>
        </w:tblCellMar>
        <w:tblLook w:val="04A0" w:firstRow="1" w:lastRow="0" w:firstColumn="1" w:lastColumn="0" w:noHBand="0" w:noVBand="1"/>
      </w:tblPr>
      <w:tblGrid>
        <w:gridCol w:w="4513"/>
        <w:gridCol w:w="4513"/>
      </w:tblGrid>
      <w:tr w:rsidR="005078AE" w:rsidRPr="009F19BD" w14:paraId="78B11487" w14:textId="77777777" w:rsidTr="007D6E11">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1A2724B" w14:textId="77777777" w:rsidR="005078AE" w:rsidRPr="009F19BD" w:rsidRDefault="005078AE" w:rsidP="007D6E11">
            <w:pPr>
              <w:rPr>
                <w:rFonts w:ascii="Times New Roman" w:hAnsi="Times New Roman" w:cs="Times New Roman"/>
              </w:rPr>
            </w:pPr>
            <w:r w:rsidRPr="009F19BD">
              <w:rPr>
                <w:rFonts w:ascii="Times New Roman" w:hAnsi="Times New Roman" w:cs="Times New Roman"/>
                <w:noProof/>
              </w:rPr>
              <w:drawing>
                <wp:inline distT="0" distB="0" distL="0" distR="0" wp14:anchorId="238E7D70" wp14:editId="3E0B84C5">
                  <wp:extent cx="2733675" cy="1847850"/>
                  <wp:effectExtent l="0" t="0" r="0" b="0"/>
                  <wp:docPr id="694859120" name="Picture 69485912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859120" name="Picture 694859120" descr="Chart, line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733675" cy="1847850"/>
                          </a:xfrm>
                          <a:prstGeom prst="rect">
                            <a:avLst/>
                          </a:prstGeom>
                        </pic:spPr>
                      </pic:pic>
                    </a:graphicData>
                  </a:graphic>
                </wp:inline>
              </w:drawing>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007721A" w14:textId="77777777" w:rsidR="005078AE" w:rsidRPr="009F19BD" w:rsidRDefault="005078AE" w:rsidP="007D6E11">
            <w:pPr>
              <w:rPr>
                <w:rFonts w:ascii="Times New Roman" w:hAnsi="Times New Roman" w:cs="Times New Roman"/>
              </w:rPr>
            </w:pPr>
            <w:r w:rsidRPr="009F19BD">
              <w:rPr>
                <w:rFonts w:ascii="Times New Roman" w:hAnsi="Times New Roman" w:cs="Times New Roman"/>
                <w:noProof/>
              </w:rPr>
              <w:drawing>
                <wp:inline distT="0" distB="0" distL="0" distR="0" wp14:anchorId="36A1FF30" wp14:editId="5AF15654">
                  <wp:extent cx="2733675" cy="1847850"/>
                  <wp:effectExtent l="0" t="0" r="0" b="0"/>
                  <wp:docPr id="1129106551" name="Picture 112910655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106551" name="Picture 1129106551" descr="Chart, line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2733675" cy="1847850"/>
                          </a:xfrm>
                          <a:prstGeom prst="rect">
                            <a:avLst/>
                          </a:prstGeom>
                        </pic:spPr>
                      </pic:pic>
                    </a:graphicData>
                  </a:graphic>
                </wp:inline>
              </w:drawing>
            </w:r>
          </w:p>
        </w:tc>
      </w:tr>
      <w:tr w:rsidR="005078AE" w:rsidRPr="009F19BD" w14:paraId="7B7F29BA" w14:textId="77777777" w:rsidTr="007D6E11">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C6D6B04" w14:textId="77777777" w:rsidR="005078AE" w:rsidRPr="009F19BD" w:rsidRDefault="005078AE" w:rsidP="007D6E11">
            <w:pPr>
              <w:rPr>
                <w:rFonts w:ascii="Times New Roman" w:hAnsi="Times New Roman" w:cs="Times New Roman"/>
              </w:rPr>
            </w:pPr>
            <w:r w:rsidRPr="009F19BD">
              <w:rPr>
                <w:rFonts w:ascii="Times New Roman" w:hAnsi="Times New Roman" w:cs="Times New Roman"/>
                <w:noProof/>
              </w:rPr>
              <w:drawing>
                <wp:inline distT="0" distB="0" distL="0" distR="0" wp14:anchorId="28FA3C8A" wp14:editId="7789A968">
                  <wp:extent cx="2733675" cy="1847850"/>
                  <wp:effectExtent l="0" t="0" r="0" b="0"/>
                  <wp:docPr id="1394902295" name="Picture 139490229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902295" name="Picture 1394902295"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733675" cy="1847850"/>
                          </a:xfrm>
                          <a:prstGeom prst="rect">
                            <a:avLst/>
                          </a:prstGeom>
                        </pic:spPr>
                      </pic:pic>
                    </a:graphicData>
                  </a:graphic>
                </wp:inline>
              </w:drawing>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CAF488D" w14:textId="77777777" w:rsidR="005078AE" w:rsidRPr="009F19BD" w:rsidRDefault="005078AE" w:rsidP="007D6E11">
            <w:pPr>
              <w:rPr>
                <w:rFonts w:ascii="Times New Roman" w:hAnsi="Times New Roman" w:cs="Times New Roman"/>
              </w:rPr>
            </w:pPr>
            <w:r w:rsidRPr="009F19BD">
              <w:rPr>
                <w:rFonts w:ascii="Times New Roman" w:hAnsi="Times New Roman" w:cs="Times New Roman"/>
                <w:noProof/>
              </w:rPr>
              <w:drawing>
                <wp:inline distT="0" distB="0" distL="0" distR="0" wp14:anchorId="1A6C7FF7" wp14:editId="7734F343">
                  <wp:extent cx="2733675" cy="1838325"/>
                  <wp:effectExtent l="0" t="0" r="0" b="0"/>
                  <wp:docPr id="386644905" name="Picture 38664490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644905" name="Picture 386644905" descr="Chart, line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733675" cy="1838325"/>
                          </a:xfrm>
                          <a:prstGeom prst="rect">
                            <a:avLst/>
                          </a:prstGeom>
                        </pic:spPr>
                      </pic:pic>
                    </a:graphicData>
                  </a:graphic>
                </wp:inline>
              </w:drawing>
            </w:r>
          </w:p>
        </w:tc>
      </w:tr>
      <w:tr w:rsidR="005078AE" w:rsidRPr="009F19BD" w14:paraId="5EC82CD4" w14:textId="77777777" w:rsidTr="007D6E11">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870C2F9" w14:textId="77777777" w:rsidR="005078AE" w:rsidRPr="009F19BD" w:rsidRDefault="005078AE" w:rsidP="007D6E11">
            <w:pPr>
              <w:rPr>
                <w:rFonts w:ascii="Times New Roman" w:hAnsi="Times New Roman" w:cs="Times New Roman"/>
              </w:rPr>
            </w:pPr>
            <w:r w:rsidRPr="009F19BD">
              <w:rPr>
                <w:rFonts w:ascii="Times New Roman" w:hAnsi="Times New Roman" w:cs="Times New Roman"/>
                <w:noProof/>
              </w:rPr>
              <w:drawing>
                <wp:inline distT="0" distB="0" distL="0" distR="0" wp14:anchorId="7A54917D" wp14:editId="4565548A">
                  <wp:extent cx="2733675" cy="1838325"/>
                  <wp:effectExtent l="0" t="0" r="0" b="0"/>
                  <wp:docPr id="1176615777" name="Picture 117661577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615777" name="Picture 1176615777" descr="Chart, line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2733675" cy="1838325"/>
                          </a:xfrm>
                          <a:prstGeom prst="rect">
                            <a:avLst/>
                          </a:prstGeom>
                        </pic:spPr>
                      </pic:pic>
                    </a:graphicData>
                  </a:graphic>
                </wp:inline>
              </w:drawing>
            </w:r>
          </w:p>
        </w:tc>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78F4B4C7" w14:textId="77777777" w:rsidR="005078AE" w:rsidRPr="009F19BD" w:rsidRDefault="005078AE" w:rsidP="007D6E11">
            <w:pPr>
              <w:rPr>
                <w:rFonts w:ascii="Times New Roman" w:hAnsi="Times New Roman" w:cs="Times New Roman"/>
              </w:rPr>
            </w:pPr>
            <w:r w:rsidRPr="009F19BD">
              <w:rPr>
                <w:rFonts w:ascii="Times New Roman" w:hAnsi="Times New Roman" w:cs="Times New Roman"/>
                <w:noProof/>
              </w:rPr>
              <w:drawing>
                <wp:inline distT="0" distB="0" distL="0" distR="0" wp14:anchorId="5350BE44" wp14:editId="5B690E12">
                  <wp:extent cx="2733675" cy="1838325"/>
                  <wp:effectExtent l="0" t="0" r="0" b="0"/>
                  <wp:docPr id="1765301142" name="Picture 176530114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301142" name="Picture 1765301142" descr="Chart, line char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2733675" cy="1838325"/>
                          </a:xfrm>
                          <a:prstGeom prst="rect">
                            <a:avLst/>
                          </a:prstGeom>
                        </pic:spPr>
                      </pic:pic>
                    </a:graphicData>
                  </a:graphic>
                </wp:inline>
              </w:drawing>
            </w:r>
          </w:p>
        </w:tc>
      </w:tr>
    </w:tbl>
    <w:p w14:paraId="406CA8A4" w14:textId="77777777" w:rsidR="005078AE" w:rsidRPr="007B3C2E" w:rsidRDefault="005078AE" w:rsidP="005078AE">
      <w:pPr>
        <w:rPr>
          <w:rFonts w:ascii="Times New Roman" w:hAnsi="Times New Roman" w:cs="Times New Roman"/>
        </w:rPr>
      </w:pPr>
      <w:r w:rsidRPr="009F19BD">
        <w:rPr>
          <w:rFonts w:ascii="Times New Roman" w:hAnsi="Times New Roman" w:cs="Times New Roman"/>
          <w:b/>
          <w:bCs/>
        </w:rPr>
        <w:t xml:space="preserve">Supplementary Figure </w:t>
      </w:r>
      <w:r>
        <w:rPr>
          <w:rFonts w:ascii="Times New Roman" w:hAnsi="Times New Roman" w:cs="Times New Roman"/>
          <w:b/>
          <w:bCs/>
        </w:rPr>
        <w:t>3</w:t>
      </w:r>
      <w:r w:rsidRPr="009F19BD">
        <w:rPr>
          <w:rFonts w:ascii="Times New Roman" w:hAnsi="Times New Roman" w:cs="Times New Roman"/>
          <w:b/>
          <w:bCs/>
        </w:rPr>
        <w:t>. Coal power generation by country / region under 1.5</w:t>
      </w:r>
      <w:r w:rsidRPr="009F19BD">
        <w:rPr>
          <w:rFonts w:ascii="Times New Roman" w:hAnsi="Times New Roman" w:cs="Times New Roman"/>
        </w:rPr>
        <w:t>°</w:t>
      </w:r>
      <w:r w:rsidRPr="009F19BD">
        <w:rPr>
          <w:rFonts w:ascii="Times New Roman" w:hAnsi="Times New Roman" w:cs="Times New Roman"/>
          <w:b/>
          <w:bCs/>
        </w:rPr>
        <w:t>C PPCA and default scenarios, 2020-2050.</w:t>
      </w:r>
      <w:r w:rsidRPr="009F19BD">
        <w:rPr>
          <w:rFonts w:ascii="Times New Roman" w:hAnsi="Times New Roman" w:cs="Times New Roman"/>
        </w:rPr>
        <w:t xml:space="preserve"> OGS = Other Global South (to include Africa, Latin America, Other Developing Asia, Mexico, and Middle East); OGN = Other Global North (to include Canada, Australia, Japan, South Korea, and Russia and former Soviet states) </w:t>
      </w:r>
      <w:r w:rsidRPr="009F19BD">
        <w:br/>
      </w:r>
      <w:r>
        <w:br w:type="page"/>
      </w:r>
    </w:p>
    <w:p w14:paraId="4C90D89D" w14:textId="05D93E26" w:rsidR="00E9512B" w:rsidRPr="009F19BD" w:rsidRDefault="008903F7" w:rsidP="00064508">
      <w:pPr>
        <w:pStyle w:val="Heading3"/>
      </w:pPr>
      <w:r w:rsidRPr="009F19BD">
        <w:lastRenderedPageBreak/>
        <w:t xml:space="preserve">SI </w:t>
      </w:r>
      <w:r w:rsidR="00AA1EC6" w:rsidRPr="009F19BD">
        <w:t xml:space="preserve">Section </w:t>
      </w:r>
      <w:r w:rsidR="00542755" w:rsidRPr="009F19BD">
        <w:t>3</w:t>
      </w:r>
      <w:r w:rsidR="00AA1EC6" w:rsidRPr="009F19BD">
        <w:t>: Key assumptions in</w:t>
      </w:r>
      <w:r w:rsidR="00542876" w:rsidRPr="009F19BD">
        <w:t xml:space="preserve"> the TIAM-UCL Model</w:t>
      </w:r>
    </w:p>
    <w:p w14:paraId="02F08496" w14:textId="10B252AE"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This supplementary information describes some of the core assumptions used in this analysis. Many of the same model assumptions were used in </w:t>
      </w:r>
      <w:r w:rsidR="00F04086">
        <w:rPr>
          <w:rFonts w:ascii="Times New Roman" w:hAnsi="Times New Roman" w:cs="Times New Roman"/>
        </w:rPr>
        <w:t>Welsby</w:t>
      </w:r>
      <w:r w:rsidRPr="009F19BD">
        <w:rPr>
          <w:rFonts w:ascii="Times New Roman" w:hAnsi="Times New Roman" w:cs="Times New Roman"/>
        </w:rPr>
        <w:t xml:space="preserve"> et al</w:t>
      </w:r>
      <w:r w:rsidR="00F04086">
        <w:rPr>
          <w:rFonts w:ascii="Times New Roman" w:hAnsi="Times New Roman" w:cs="Times New Roman"/>
        </w:rPr>
        <w:t xml:space="preserve"> (2021)</w:t>
      </w:r>
      <w:r w:rsidR="00377CFD">
        <w:rPr>
          <w:rStyle w:val="FootnoteReference"/>
          <w:rFonts w:ascii="Times New Roman" w:hAnsi="Times New Roman" w:cs="Times New Roman"/>
        </w:rPr>
        <w:footnoteReference w:id="1"/>
      </w:r>
      <w:r w:rsidR="00377CFD">
        <w:rPr>
          <w:rFonts w:ascii="Times New Roman" w:hAnsi="Times New Roman" w:cs="Times New Roman"/>
        </w:rPr>
        <w:t>.</w:t>
      </w:r>
      <w:r w:rsidR="00377CFD" w:rsidRPr="009F19BD">
        <w:rPr>
          <w:rFonts w:ascii="Times New Roman" w:hAnsi="Times New Roman" w:cs="Times New Roman"/>
        </w:rPr>
        <w:t xml:space="preserve"> </w:t>
      </w:r>
    </w:p>
    <w:p w14:paraId="601B0E8F" w14:textId="77777777" w:rsidR="008903F7" w:rsidRPr="009F19BD" w:rsidRDefault="008903F7" w:rsidP="00064508">
      <w:pPr>
        <w:pStyle w:val="Heading4"/>
      </w:pPr>
      <w:r w:rsidRPr="009F19BD">
        <w:t>Demand drivers</w:t>
      </w:r>
    </w:p>
    <w:p w14:paraId="090A7A44" w14:textId="51A457C9" w:rsidR="008903F7" w:rsidRPr="009F19BD" w:rsidRDefault="00F04086" w:rsidP="008903F7">
      <w:pPr>
        <w:rPr>
          <w:rFonts w:ascii="Times New Roman" w:hAnsi="Times New Roman" w:cs="Times New Roman"/>
          <w:lang w:eastAsia="en-GB"/>
        </w:rPr>
      </w:pPr>
      <w:r>
        <w:rPr>
          <w:rFonts w:ascii="Times New Roman" w:hAnsi="Times New Roman" w:cs="Times New Roman"/>
          <w:lang w:eastAsia="en-GB"/>
        </w:rPr>
        <w:t>P</w:t>
      </w:r>
      <w:r w:rsidR="008903F7" w:rsidRPr="009F19BD">
        <w:rPr>
          <w:rFonts w:ascii="Times New Roman" w:hAnsi="Times New Roman" w:cs="Times New Roman"/>
          <w:lang w:eastAsia="en-GB"/>
        </w:rPr>
        <w:t xml:space="preserve">opulation and economic growth drivers are based on the SSP2 'Middle of the Road' scenario narrative. These drivers are used to construct the energy service demands across different sectors. Some adjustments have been made to energy service demands to ensure final energy demand globally falls within the SSP2 marker model (MESSAGE) range. As SSPs are independent of climate ambition, defining the socio-economic backdrop that a given climate ambition </w:t>
      </w:r>
      <w:proofErr w:type="gramStart"/>
      <w:r w:rsidR="008903F7" w:rsidRPr="009F19BD">
        <w:rPr>
          <w:rFonts w:ascii="Times New Roman" w:hAnsi="Times New Roman" w:cs="Times New Roman"/>
          <w:lang w:eastAsia="en-GB"/>
        </w:rPr>
        <w:t>has to</w:t>
      </w:r>
      <w:proofErr w:type="gramEnd"/>
      <w:r w:rsidR="008903F7" w:rsidRPr="009F19BD">
        <w:rPr>
          <w:rFonts w:ascii="Times New Roman" w:hAnsi="Times New Roman" w:cs="Times New Roman"/>
          <w:lang w:eastAsia="en-GB"/>
        </w:rPr>
        <w:t xml:space="preserve"> be achieved within, the demands for SSP2 in TIAM have been tuned to match the marker model's base / reference SSP2 run with no climate constraints</w:t>
      </w:r>
      <w:r w:rsidR="00377CFD">
        <w:rPr>
          <w:rStyle w:val="FootnoteReference"/>
          <w:rFonts w:ascii="Times New Roman" w:hAnsi="Times New Roman" w:cs="Times New Roman"/>
          <w:lang w:eastAsia="en-GB"/>
        </w:rPr>
        <w:footnoteReference w:id="2"/>
      </w:r>
      <w:r w:rsidR="008903F7" w:rsidRPr="009F19BD">
        <w:rPr>
          <w:rFonts w:ascii="Times New Roman" w:hAnsi="Times New Roman" w:cs="Times New Roman"/>
          <w:lang w:eastAsia="en-GB"/>
        </w:rPr>
        <w:t xml:space="preserve">. Region specific values are used but global values are shown in </w:t>
      </w:r>
      <w:r w:rsidR="008903F7" w:rsidRPr="009F19BD">
        <w:rPr>
          <w:rFonts w:ascii="Times New Roman" w:hAnsi="Times New Roman" w:cs="Times New Roman"/>
          <w:lang w:eastAsia="en-GB"/>
        </w:rPr>
        <w:fldChar w:fldCharType="begin"/>
      </w:r>
      <w:r w:rsidR="008903F7" w:rsidRPr="009F19BD">
        <w:rPr>
          <w:rFonts w:ascii="Times New Roman" w:hAnsi="Times New Roman" w:cs="Times New Roman"/>
          <w:lang w:eastAsia="en-GB"/>
        </w:rPr>
        <w:instrText xml:space="preserve"> REF _Ref64821318 \h  \* MERGEFORMAT </w:instrText>
      </w:r>
      <w:r w:rsidR="008903F7" w:rsidRPr="009F19BD">
        <w:rPr>
          <w:rFonts w:ascii="Times New Roman" w:hAnsi="Times New Roman" w:cs="Times New Roman"/>
          <w:lang w:eastAsia="en-GB"/>
        </w:rPr>
      </w:r>
      <w:r w:rsidR="008903F7" w:rsidRPr="009F19BD">
        <w:rPr>
          <w:rFonts w:ascii="Times New Roman" w:hAnsi="Times New Roman" w:cs="Times New Roman"/>
          <w:lang w:eastAsia="en-GB"/>
        </w:rPr>
        <w:fldChar w:fldCharType="separate"/>
      </w:r>
      <w:r w:rsidR="008903F7" w:rsidRPr="009F19BD">
        <w:rPr>
          <w:rFonts w:ascii="Times New Roman" w:hAnsi="Times New Roman" w:cs="Times New Roman"/>
        </w:rPr>
        <w:t>Supplementary Table</w:t>
      </w:r>
      <w:r w:rsidR="009817CD">
        <w:rPr>
          <w:rFonts w:ascii="Times New Roman" w:hAnsi="Times New Roman" w:cs="Times New Roman"/>
        </w:rPr>
        <w:t xml:space="preserve"> 2</w:t>
      </w:r>
      <w:r w:rsidR="008903F7" w:rsidRPr="009F19BD">
        <w:rPr>
          <w:rFonts w:ascii="Times New Roman" w:hAnsi="Times New Roman" w:cs="Times New Roman"/>
          <w:lang w:eastAsia="en-GB"/>
        </w:rPr>
        <w:fldChar w:fldCharType="end"/>
      </w:r>
      <w:r w:rsidR="008903F7" w:rsidRPr="009F19BD">
        <w:rPr>
          <w:rFonts w:ascii="Times New Roman" w:hAnsi="Times New Roman" w:cs="Times New Roman"/>
          <w:lang w:eastAsia="en-GB"/>
        </w:rPr>
        <w:t>.</w:t>
      </w:r>
    </w:p>
    <w:p w14:paraId="720145E9" w14:textId="02BD5140" w:rsidR="008903F7" w:rsidRPr="009817CD" w:rsidRDefault="008903F7" w:rsidP="008903F7">
      <w:pPr>
        <w:rPr>
          <w:rFonts w:ascii="Times New Roman" w:hAnsi="Times New Roman" w:cs="Times New Roman"/>
          <w:b/>
          <w:bCs/>
        </w:rPr>
      </w:pPr>
      <w:bookmarkStart w:id="0" w:name="_Ref64821318"/>
      <w:bookmarkStart w:id="1" w:name="_Ref6207726"/>
      <w:r w:rsidRPr="009817CD">
        <w:rPr>
          <w:rFonts w:ascii="Times New Roman" w:hAnsi="Times New Roman" w:cs="Times New Roman"/>
          <w:b/>
          <w:bCs/>
        </w:rPr>
        <w:t>Supplementary Table</w:t>
      </w:r>
      <w:bookmarkEnd w:id="0"/>
      <w:r w:rsidR="00064508" w:rsidRPr="009817CD">
        <w:rPr>
          <w:rFonts w:ascii="Times New Roman" w:hAnsi="Times New Roman" w:cs="Times New Roman"/>
          <w:b/>
          <w:bCs/>
        </w:rPr>
        <w:t xml:space="preserve"> 2</w:t>
      </w:r>
      <w:r w:rsidRPr="009817CD">
        <w:rPr>
          <w:rFonts w:ascii="Times New Roman" w:hAnsi="Times New Roman" w:cs="Times New Roman"/>
          <w:b/>
          <w:bCs/>
        </w:rPr>
        <w:t xml:space="preserve">. </w:t>
      </w:r>
      <w:bookmarkEnd w:id="1"/>
      <w:r w:rsidRPr="009817CD">
        <w:rPr>
          <w:rFonts w:ascii="Times New Roman" w:hAnsi="Times New Roman" w:cs="Times New Roman"/>
          <w:b/>
          <w:bCs/>
        </w:rPr>
        <w:t>Demand drivers used in TIAM-UCL scenarios</w:t>
      </w:r>
    </w:p>
    <w:tbl>
      <w:tblPr>
        <w:tblW w:w="890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956"/>
        <w:gridCol w:w="992"/>
        <w:gridCol w:w="851"/>
        <w:gridCol w:w="850"/>
        <w:gridCol w:w="992"/>
        <w:gridCol w:w="1985"/>
      </w:tblGrid>
      <w:tr w:rsidR="008903F7" w:rsidRPr="009F19BD" w14:paraId="316BC7F2" w14:textId="77777777" w:rsidTr="00B50CDC">
        <w:trPr>
          <w:trHeight w:val="300"/>
        </w:trPr>
        <w:tc>
          <w:tcPr>
            <w:tcW w:w="1276" w:type="dxa"/>
            <w:shd w:val="clear" w:color="000000" w:fill="D9D9D9" w:themeFill="background1" w:themeFillShade="D9"/>
            <w:noWrap/>
            <w:vAlign w:val="center"/>
            <w:hideMark/>
          </w:tcPr>
          <w:p w14:paraId="35E3F93A"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Category</w:t>
            </w:r>
          </w:p>
        </w:tc>
        <w:tc>
          <w:tcPr>
            <w:tcW w:w="1956" w:type="dxa"/>
            <w:shd w:val="clear" w:color="000000" w:fill="D9D9D9" w:themeFill="background1" w:themeFillShade="D9"/>
            <w:vAlign w:val="center"/>
          </w:tcPr>
          <w:p w14:paraId="05DCEA09"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Assumption</w:t>
            </w:r>
          </w:p>
        </w:tc>
        <w:tc>
          <w:tcPr>
            <w:tcW w:w="3685" w:type="dxa"/>
            <w:gridSpan w:val="4"/>
            <w:shd w:val="clear" w:color="000000" w:fill="D9D9D9" w:themeFill="background1" w:themeFillShade="D9"/>
            <w:noWrap/>
            <w:vAlign w:val="center"/>
            <w:hideMark/>
          </w:tcPr>
          <w:p w14:paraId="070B0515"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Values</w:t>
            </w:r>
          </w:p>
        </w:tc>
        <w:tc>
          <w:tcPr>
            <w:tcW w:w="1985" w:type="dxa"/>
            <w:shd w:val="clear" w:color="000000" w:fill="D9D9D9" w:themeFill="background1" w:themeFillShade="D9"/>
            <w:noWrap/>
            <w:vAlign w:val="center"/>
            <w:hideMark/>
          </w:tcPr>
          <w:p w14:paraId="4CCEB7BE"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Units</w:t>
            </w:r>
          </w:p>
        </w:tc>
      </w:tr>
      <w:tr w:rsidR="008903F7" w:rsidRPr="009F19BD" w14:paraId="48B98A20" w14:textId="77777777" w:rsidTr="00B50CDC">
        <w:trPr>
          <w:trHeight w:val="321"/>
        </w:trPr>
        <w:tc>
          <w:tcPr>
            <w:tcW w:w="1276" w:type="dxa"/>
            <w:shd w:val="clear" w:color="000000" w:fill="auto"/>
            <w:noWrap/>
            <w:vAlign w:val="center"/>
            <w:hideMark/>
          </w:tcPr>
          <w:p w14:paraId="0EE2532D" w14:textId="77777777" w:rsidR="008903F7" w:rsidRPr="009F19BD" w:rsidRDefault="008903F7" w:rsidP="00B50CDC">
            <w:pPr>
              <w:pStyle w:val="NoSpacing"/>
              <w:rPr>
                <w:rFonts w:ascii="Times New Roman" w:hAnsi="Times New Roman" w:cs="Times New Roman"/>
                <w:b/>
                <w:lang w:eastAsia="en-GB"/>
              </w:rPr>
            </w:pPr>
          </w:p>
        </w:tc>
        <w:tc>
          <w:tcPr>
            <w:tcW w:w="1956" w:type="dxa"/>
            <w:shd w:val="clear" w:color="000000" w:fill="auto"/>
            <w:vAlign w:val="center"/>
          </w:tcPr>
          <w:p w14:paraId="1B9DAB09" w14:textId="77777777" w:rsidR="008903F7" w:rsidRPr="009F19BD" w:rsidRDefault="008903F7" w:rsidP="00B50CDC">
            <w:pPr>
              <w:pStyle w:val="NoSpacing"/>
              <w:rPr>
                <w:rFonts w:ascii="Times New Roman" w:hAnsi="Times New Roman" w:cs="Times New Roman"/>
                <w:b/>
                <w:lang w:eastAsia="en-GB"/>
              </w:rPr>
            </w:pPr>
          </w:p>
        </w:tc>
        <w:tc>
          <w:tcPr>
            <w:tcW w:w="992" w:type="dxa"/>
            <w:shd w:val="clear" w:color="000000" w:fill="auto"/>
            <w:noWrap/>
            <w:vAlign w:val="center"/>
            <w:hideMark/>
          </w:tcPr>
          <w:p w14:paraId="0AB728E7"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2030</w:t>
            </w:r>
          </w:p>
        </w:tc>
        <w:tc>
          <w:tcPr>
            <w:tcW w:w="851" w:type="dxa"/>
            <w:shd w:val="clear" w:color="000000" w:fill="auto"/>
            <w:noWrap/>
            <w:vAlign w:val="center"/>
            <w:hideMark/>
          </w:tcPr>
          <w:p w14:paraId="2FA8D4F9"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2050</w:t>
            </w:r>
          </w:p>
        </w:tc>
        <w:tc>
          <w:tcPr>
            <w:tcW w:w="850" w:type="dxa"/>
            <w:shd w:val="clear" w:color="000000" w:fill="auto"/>
            <w:noWrap/>
            <w:vAlign w:val="center"/>
            <w:hideMark/>
          </w:tcPr>
          <w:p w14:paraId="7AFF30FD"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2080</w:t>
            </w:r>
          </w:p>
        </w:tc>
        <w:tc>
          <w:tcPr>
            <w:tcW w:w="992" w:type="dxa"/>
            <w:shd w:val="clear" w:color="000000" w:fill="auto"/>
            <w:noWrap/>
            <w:vAlign w:val="center"/>
            <w:hideMark/>
          </w:tcPr>
          <w:p w14:paraId="2B0766A1"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2100</w:t>
            </w:r>
          </w:p>
        </w:tc>
        <w:tc>
          <w:tcPr>
            <w:tcW w:w="1985" w:type="dxa"/>
            <w:shd w:val="clear" w:color="000000" w:fill="auto"/>
            <w:noWrap/>
            <w:vAlign w:val="center"/>
            <w:hideMark/>
          </w:tcPr>
          <w:p w14:paraId="55F8E6C2" w14:textId="77777777" w:rsidR="008903F7" w:rsidRPr="009F19BD" w:rsidRDefault="008903F7" w:rsidP="00B50CDC">
            <w:pPr>
              <w:pStyle w:val="NoSpacing"/>
              <w:rPr>
                <w:rFonts w:ascii="Times New Roman" w:hAnsi="Times New Roman" w:cs="Times New Roman"/>
                <w:b/>
                <w:lang w:eastAsia="en-GB"/>
              </w:rPr>
            </w:pPr>
          </w:p>
        </w:tc>
      </w:tr>
      <w:tr w:rsidR="008903F7" w:rsidRPr="009F19BD" w14:paraId="1A38111E" w14:textId="77777777" w:rsidTr="00B50CDC">
        <w:trPr>
          <w:trHeight w:val="283"/>
        </w:trPr>
        <w:tc>
          <w:tcPr>
            <w:tcW w:w="1276" w:type="dxa"/>
            <w:vMerge w:val="restart"/>
            <w:shd w:val="clear" w:color="auto" w:fill="auto"/>
            <w:noWrap/>
            <w:vAlign w:val="center"/>
            <w:hideMark/>
          </w:tcPr>
          <w:p w14:paraId="10F4CBD0" w14:textId="77777777" w:rsidR="008903F7" w:rsidRPr="009F19BD" w:rsidRDefault="008903F7" w:rsidP="00B50CDC">
            <w:pPr>
              <w:pStyle w:val="NoSpacing"/>
              <w:rPr>
                <w:rFonts w:ascii="Times New Roman" w:hAnsi="Times New Roman" w:cs="Times New Roman"/>
                <w:bCs/>
                <w:lang w:eastAsia="en-GB"/>
              </w:rPr>
            </w:pPr>
            <w:r w:rsidRPr="009F19BD">
              <w:rPr>
                <w:rFonts w:ascii="Times New Roman" w:hAnsi="Times New Roman" w:cs="Times New Roman"/>
                <w:bCs/>
                <w:lang w:eastAsia="en-GB"/>
              </w:rPr>
              <w:t>SSP2</w:t>
            </w:r>
          </w:p>
        </w:tc>
        <w:tc>
          <w:tcPr>
            <w:tcW w:w="1956" w:type="dxa"/>
            <w:vAlign w:val="center"/>
          </w:tcPr>
          <w:p w14:paraId="1A3BAA6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Population</w:t>
            </w:r>
          </w:p>
        </w:tc>
        <w:tc>
          <w:tcPr>
            <w:tcW w:w="992" w:type="dxa"/>
            <w:shd w:val="clear" w:color="auto" w:fill="auto"/>
            <w:noWrap/>
            <w:vAlign w:val="center"/>
            <w:hideMark/>
          </w:tcPr>
          <w:p w14:paraId="7E0501F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8.3</w:t>
            </w:r>
          </w:p>
        </w:tc>
        <w:tc>
          <w:tcPr>
            <w:tcW w:w="851" w:type="dxa"/>
            <w:shd w:val="clear" w:color="auto" w:fill="auto"/>
            <w:noWrap/>
            <w:vAlign w:val="center"/>
            <w:hideMark/>
          </w:tcPr>
          <w:p w14:paraId="212944B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9.2</w:t>
            </w:r>
          </w:p>
        </w:tc>
        <w:tc>
          <w:tcPr>
            <w:tcW w:w="850" w:type="dxa"/>
            <w:shd w:val="clear" w:color="auto" w:fill="auto"/>
            <w:noWrap/>
            <w:vAlign w:val="center"/>
            <w:hideMark/>
          </w:tcPr>
          <w:p w14:paraId="473CD36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9.4</w:t>
            </w:r>
          </w:p>
        </w:tc>
        <w:tc>
          <w:tcPr>
            <w:tcW w:w="992" w:type="dxa"/>
            <w:shd w:val="clear" w:color="auto" w:fill="auto"/>
            <w:noWrap/>
            <w:vAlign w:val="center"/>
            <w:hideMark/>
          </w:tcPr>
          <w:p w14:paraId="0386EA7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9.0</w:t>
            </w:r>
          </w:p>
        </w:tc>
        <w:tc>
          <w:tcPr>
            <w:tcW w:w="1985" w:type="dxa"/>
            <w:shd w:val="clear" w:color="auto" w:fill="auto"/>
            <w:noWrap/>
            <w:vAlign w:val="center"/>
            <w:hideMark/>
          </w:tcPr>
          <w:p w14:paraId="69DE8F9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billion</w:t>
            </w:r>
          </w:p>
        </w:tc>
      </w:tr>
      <w:tr w:rsidR="008903F7" w:rsidRPr="009F19BD" w14:paraId="313C577E" w14:textId="77777777" w:rsidTr="00B50CDC">
        <w:trPr>
          <w:trHeight w:val="300"/>
        </w:trPr>
        <w:tc>
          <w:tcPr>
            <w:tcW w:w="1276" w:type="dxa"/>
            <w:vMerge/>
            <w:shd w:val="clear" w:color="auto" w:fill="auto"/>
            <w:noWrap/>
            <w:vAlign w:val="center"/>
            <w:hideMark/>
          </w:tcPr>
          <w:p w14:paraId="73F55D46" w14:textId="77777777" w:rsidR="008903F7" w:rsidRPr="009F19BD" w:rsidRDefault="008903F7" w:rsidP="00B50CDC">
            <w:pPr>
              <w:pStyle w:val="NoSpacing"/>
              <w:rPr>
                <w:rFonts w:ascii="Times New Roman" w:hAnsi="Times New Roman" w:cs="Times New Roman"/>
                <w:lang w:eastAsia="en-GB"/>
              </w:rPr>
            </w:pPr>
          </w:p>
        </w:tc>
        <w:tc>
          <w:tcPr>
            <w:tcW w:w="1956" w:type="dxa"/>
            <w:vAlign w:val="center"/>
          </w:tcPr>
          <w:p w14:paraId="27083B2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GDP</w:t>
            </w:r>
          </w:p>
        </w:tc>
        <w:tc>
          <w:tcPr>
            <w:tcW w:w="992" w:type="dxa"/>
            <w:shd w:val="clear" w:color="auto" w:fill="auto"/>
            <w:noWrap/>
            <w:vAlign w:val="center"/>
          </w:tcPr>
          <w:p w14:paraId="01D2BA7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17</w:t>
            </w:r>
          </w:p>
        </w:tc>
        <w:tc>
          <w:tcPr>
            <w:tcW w:w="851" w:type="dxa"/>
            <w:shd w:val="clear" w:color="auto" w:fill="auto"/>
            <w:noWrap/>
            <w:vAlign w:val="center"/>
          </w:tcPr>
          <w:p w14:paraId="0C48128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25</w:t>
            </w:r>
          </w:p>
        </w:tc>
        <w:tc>
          <w:tcPr>
            <w:tcW w:w="850" w:type="dxa"/>
            <w:shd w:val="clear" w:color="auto" w:fill="auto"/>
            <w:noWrap/>
            <w:vAlign w:val="center"/>
          </w:tcPr>
          <w:p w14:paraId="43FC118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42</w:t>
            </w:r>
          </w:p>
        </w:tc>
        <w:tc>
          <w:tcPr>
            <w:tcW w:w="992" w:type="dxa"/>
            <w:shd w:val="clear" w:color="auto" w:fill="auto"/>
            <w:noWrap/>
            <w:vAlign w:val="center"/>
          </w:tcPr>
          <w:p w14:paraId="383926E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59</w:t>
            </w:r>
          </w:p>
        </w:tc>
        <w:tc>
          <w:tcPr>
            <w:tcW w:w="1985" w:type="dxa"/>
            <w:shd w:val="clear" w:color="auto" w:fill="auto"/>
            <w:noWrap/>
            <w:vAlign w:val="center"/>
          </w:tcPr>
          <w:p w14:paraId="03961F5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000 US$2005/cap</w:t>
            </w:r>
          </w:p>
        </w:tc>
      </w:tr>
    </w:tbl>
    <w:p w14:paraId="72F55A48" w14:textId="77777777" w:rsidR="008903F7" w:rsidRPr="009F19BD" w:rsidRDefault="008903F7" w:rsidP="008903F7">
      <w:pPr>
        <w:rPr>
          <w:rFonts w:ascii="Times New Roman" w:hAnsi="Times New Roman" w:cs="Times New Roman"/>
        </w:rPr>
      </w:pPr>
    </w:p>
    <w:p w14:paraId="4995705F" w14:textId="77777777" w:rsidR="008903F7" w:rsidRPr="009F19BD" w:rsidRDefault="008903F7" w:rsidP="009817CD">
      <w:pPr>
        <w:pStyle w:val="Heading4"/>
      </w:pPr>
      <w:r w:rsidRPr="009F19BD">
        <w:t>Bioenergy characterisation and availability</w:t>
      </w:r>
    </w:p>
    <w:p w14:paraId="0504BBDD" w14:textId="799AF1CD"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Bioenergy is characterised into </w:t>
      </w:r>
      <w:proofErr w:type="gramStart"/>
      <w:r w:rsidRPr="009F19BD">
        <w:rPr>
          <w:rFonts w:ascii="Times New Roman" w:hAnsi="Times New Roman" w:cs="Times New Roman"/>
        </w:rPr>
        <w:t>first and second generation</w:t>
      </w:r>
      <w:proofErr w:type="gramEnd"/>
      <w:r w:rsidRPr="009F19BD">
        <w:rPr>
          <w:rFonts w:ascii="Times New Roman" w:hAnsi="Times New Roman" w:cs="Times New Roman"/>
        </w:rPr>
        <w:t xml:space="preserve"> fuels. First generation fuels are represented as bioliquids (bioethanol and biodiesel from crops which might compete with food crops for land) and biomethane (gas captured from controlled landfill sites). Four types of second-generation bioenergy feedstock </w:t>
      </w:r>
      <w:r w:rsidR="00F04086">
        <w:rPr>
          <w:rFonts w:ascii="Times New Roman" w:hAnsi="Times New Roman" w:cs="Times New Roman"/>
        </w:rPr>
        <w:t xml:space="preserve">are </w:t>
      </w:r>
      <w:r w:rsidRPr="009F19BD">
        <w:rPr>
          <w:rFonts w:ascii="Times New Roman" w:hAnsi="Times New Roman" w:cs="Times New Roman"/>
        </w:rPr>
        <w:t xml:space="preserve">distinguished: </w:t>
      </w:r>
      <w:r w:rsidRPr="009F19BD">
        <w:rPr>
          <w:rFonts w:ascii="Times New Roman" w:hAnsi="Times New Roman" w:cs="Times New Roman"/>
          <w:bCs/>
        </w:rPr>
        <w:t xml:space="preserve">i) </w:t>
      </w:r>
      <w:r w:rsidRPr="009F19BD">
        <w:rPr>
          <w:rFonts w:ascii="Times New Roman" w:hAnsi="Times New Roman" w:cs="Times New Roman"/>
        </w:rPr>
        <w:t xml:space="preserve">Solid biomass (BIOSLD), comprising woody residues from forestry and agriculture; </w:t>
      </w:r>
      <w:r w:rsidRPr="009F19BD">
        <w:rPr>
          <w:rFonts w:ascii="Times New Roman" w:hAnsi="Times New Roman" w:cs="Times New Roman"/>
          <w:bCs/>
        </w:rPr>
        <w:t>ii)</w:t>
      </w:r>
      <w:r w:rsidRPr="009F19BD">
        <w:rPr>
          <w:rFonts w:ascii="Times New Roman" w:hAnsi="Times New Roman" w:cs="Times New Roman"/>
        </w:rPr>
        <w:t xml:space="preserve"> Energy crops (BIOCRP), comprising second generation purposely grown energy crops (grassy and woody bioenergy crops); </w:t>
      </w:r>
      <w:r w:rsidRPr="009F19BD">
        <w:rPr>
          <w:rFonts w:ascii="Times New Roman" w:hAnsi="Times New Roman" w:cs="Times New Roman"/>
          <w:bCs/>
        </w:rPr>
        <w:t xml:space="preserve">iii) </w:t>
      </w:r>
      <w:r w:rsidRPr="009F19BD">
        <w:rPr>
          <w:rFonts w:ascii="Times New Roman" w:hAnsi="Times New Roman" w:cs="Times New Roman"/>
        </w:rPr>
        <w:t xml:space="preserve">Municipal waste (BIOBMU), comprises wastes produced by households, industry, hospitals and the tertiary sector that are collected by local authorities; and </w:t>
      </w:r>
      <w:r w:rsidRPr="009F19BD">
        <w:rPr>
          <w:rFonts w:ascii="Times New Roman" w:hAnsi="Times New Roman" w:cs="Times New Roman"/>
          <w:bCs/>
        </w:rPr>
        <w:t>iv)</w:t>
      </w:r>
      <w:r w:rsidRPr="009F19BD">
        <w:rPr>
          <w:rFonts w:ascii="Times New Roman" w:hAnsi="Times New Roman" w:cs="Times New Roman"/>
        </w:rPr>
        <w:t xml:space="preserve"> Industrial waste (BIOBIN), Solid and liquid products (e.g. tyres, sulphite </w:t>
      </w:r>
      <w:proofErr w:type="spellStart"/>
      <w:r w:rsidRPr="009F19BD">
        <w:rPr>
          <w:rFonts w:ascii="Times New Roman" w:hAnsi="Times New Roman" w:cs="Times New Roman"/>
        </w:rPr>
        <w:t>lyes</w:t>
      </w:r>
      <w:proofErr w:type="spellEnd"/>
      <w:r w:rsidRPr="009F19BD">
        <w:rPr>
          <w:rFonts w:ascii="Times New Roman" w:hAnsi="Times New Roman" w:cs="Times New Roman"/>
        </w:rPr>
        <w:t xml:space="preserve"> (black liquor), animal materials/wastes), usually combusted directly in specialised plants to produce heat and/or power. For each of these fractions cost supply curves are specified within the model for each of the 16 regions, </w:t>
      </w:r>
      <w:proofErr w:type="gramStart"/>
      <w:r w:rsidRPr="009F19BD">
        <w:rPr>
          <w:rFonts w:ascii="Times New Roman" w:hAnsi="Times New Roman" w:cs="Times New Roman"/>
        </w:rPr>
        <w:t>i.e.</w:t>
      </w:r>
      <w:proofErr w:type="gramEnd"/>
      <w:r w:rsidRPr="009F19BD">
        <w:rPr>
          <w:rFonts w:ascii="Times New Roman" w:hAnsi="Times New Roman" w:cs="Times New Roman"/>
        </w:rPr>
        <w:t xml:space="preserve"> amount of biomass available at different costs in each region. Cost ranges for solid biomass range between 4-16 $/GJ, and for energy crops between 9-15 $/GJ, with zero cost for waste fractions. To avoid competition for land, energy crops are assumed to be grown only on marginal and degraded land.  Importantly, only solid biomass and energy crops fractions can be used for </w:t>
      </w:r>
      <w:proofErr w:type="gramStart"/>
      <w:r w:rsidRPr="009F19BD">
        <w:rPr>
          <w:rFonts w:ascii="Times New Roman" w:hAnsi="Times New Roman" w:cs="Times New Roman"/>
        </w:rPr>
        <w:t>BECCS, and</w:t>
      </w:r>
      <w:proofErr w:type="gramEnd"/>
      <w:r w:rsidRPr="009F19BD">
        <w:rPr>
          <w:rFonts w:ascii="Times New Roman" w:hAnsi="Times New Roman" w:cs="Times New Roman"/>
        </w:rPr>
        <w:t xml:space="preserve"> traded between regions. </w:t>
      </w:r>
      <w:r w:rsidRPr="009F19BD">
        <w:rPr>
          <w:rFonts w:ascii="Times New Roman" w:hAnsi="Times New Roman" w:cs="Times New Roman"/>
        </w:rPr>
        <w:fldChar w:fldCharType="begin"/>
      </w:r>
      <w:r w:rsidRPr="009F19BD">
        <w:rPr>
          <w:rFonts w:ascii="Times New Roman" w:hAnsi="Times New Roman" w:cs="Times New Roman"/>
        </w:rPr>
        <w:instrText xml:space="preserve"> REF _Ref64821391 \h  \* MERGEFORMAT </w:instrText>
      </w:r>
      <w:r w:rsidRPr="009F19BD">
        <w:rPr>
          <w:rFonts w:ascii="Times New Roman" w:hAnsi="Times New Roman" w:cs="Times New Roman"/>
        </w:rPr>
      </w:r>
      <w:r w:rsidRPr="009F19BD">
        <w:rPr>
          <w:rFonts w:ascii="Times New Roman" w:hAnsi="Times New Roman" w:cs="Times New Roman"/>
        </w:rPr>
        <w:fldChar w:fldCharType="separate"/>
      </w:r>
      <w:r w:rsidRPr="009F19BD">
        <w:rPr>
          <w:rFonts w:ascii="Times New Roman" w:hAnsi="Times New Roman" w:cs="Times New Roman"/>
        </w:rPr>
        <w:t>Supplementary Table</w:t>
      </w:r>
      <w:r w:rsidR="009817CD">
        <w:rPr>
          <w:rFonts w:ascii="Times New Roman" w:hAnsi="Times New Roman" w:cs="Times New Roman"/>
        </w:rPr>
        <w:t xml:space="preserve"> 3</w:t>
      </w:r>
      <w:r w:rsidRPr="009F19BD">
        <w:rPr>
          <w:rFonts w:ascii="Times New Roman" w:hAnsi="Times New Roman" w:cs="Times New Roman"/>
        </w:rPr>
        <w:fldChar w:fldCharType="end"/>
      </w:r>
      <w:r w:rsidRPr="009F19BD">
        <w:rPr>
          <w:rFonts w:ascii="Times New Roman" w:hAnsi="Times New Roman" w:cs="Times New Roman"/>
        </w:rPr>
        <w:t xml:space="preserve"> lists the global potentials for each bioenergy type.</w:t>
      </w:r>
    </w:p>
    <w:p w14:paraId="3DA8D2D8" w14:textId="57337B44" w:rsidR="008903F7" w:rsidRPr="007C7C7F" w:rsidRDefault="008903F7" w:rsidP="008903F7">
      <w:pPr>
        <w:rPr>
          <w:rFonts w:ascii="Times New Roman" w:hAnsi="Times New Roman" w:cs="Times New Roman"/>
          <w:b/>
          <w:bCs/>
        </w:rPr>
      </w:pPr>
      <w:bookmarkStart w:id="2" w:name="_Ref64821391"/>
      <w:r w:rsidRPr="007C7C7F">
        <w:rPr>
          <w:rFonts w:ascii="Times New Roman" w:hAnsi="Times New Roman" w:cs="Times New Roman"/>
          <w:b/>
          <w:bCs/>
        </w:rPr>
        <w:t>Supplementary Table</w:t>
      </w:r>
      <w:r w:rsidR="007C7C7F" w:rsidRPr="007C7C7F">
        <w:rPr>
          <w:rFonts w:ascii="Times New Roman" w:hAnsi="Times New Roman" w:cs="Times New Roman"/>
          <w:b/>
          <w:bCs/>
        </w:rPr>
        <w:t xml:space="preserve"> 3</w:t>
      </w:r>
      <w:bookmarkEnd w:id="2"/>
      <w:r w:rsidRPr="007C7C7F">
        <w:rPr>
          <w:rFonts w:ascii="Times New Roman" w:hAnsi="Times New Roman" w:cs="Times New Roman"/>
          <w:b/>
          <w:bCs/>
        </w:rPr>
        <w:t>. Bioenergy availability (central estimates)</w:t>
      </w: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809"/>
        <w:gridCol w:w="703"/>
        <w:gridCol w:w="703"/>
        <w:gridCol w:w="703"/>
        <w:gridCol w:w="5900"/>
      </w:tblGrid>
      <w:tr w:rsidR="008903F7" w:rsidRPr="009F19BD" w14:paraId="7FDC718F" w14:textId="77777777" w:rsidTr="007B7EBF">
        <w:trPr>
          <w:trHeight w:val="300"/>
        </w:trPr>
        <w:tc>
          <w:tcPr>
            <w:tcW w:w="1134" w:type="dxa"/>
            <w:shd w:val="clear" w:color="000000" w:fill="D9D9D9" w:themeFill="background1" w:themeFillShade="D9"/>
            <w:vAlign w:val="center"/>
          </w:tcPr>
          <w:p w14:paraId="10AD8EF9"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Bioenergy category</w:t>
            </w:r>
          </w:p>
        </w:tc>
        <w:tc>
          <w:tcPr>
            <w:tcW w:w="2918" w:type="dxa"/>
            <w:gridSpan w:val="4"/>
            <w:shd w:val="clear" w:color="000000" w:fill="D9D9D9" w:themeFill="background1" w:themeFillShade="D9"/>
            <w:noWrap/>
            <w:vAlign w:val="center"/>
            <w:hideMark/>
          </w:tcPr>
          <w:p w14:paraId="6D52AC83"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Values by year, EJ potential</w:t>
            </w:r>
          </w:p>
        </w:tc>
        <w:tc>
          <w:tcPr>
            <w:tcW w:w="5900" w:type="dxa"/>
            <w:shd w:val="clear" w:color="000000" w:fill="D9D9D9" w:themeFill="background1" w:themeFillShade="D9"/>
            <w:vAlign w:val="center"/>
          </w:tcPr>
          <w:p w14:paraId="17B1176D"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Source</w:t>
            </w:r>
          </w:p>
        </w:tc>
      </w:tr>
      <w:tr w:rsidR="008903F7" w:rsidRPr="009F19BD" w14:paraId="04A95860" w14:textId="77777777" w:rsidTr="007B7EBF">
        <w:trPr>
          <w:trHeight w:val="321"/>
        </w:trPr>
        <w:tc>
          <w:tcPr>
            <w:tcW w:w="1134" w:type="dxa"/>
            <w:shd w:val="clear" w:color="000000" w:fill="D9D9D9" w:themeFill="background1" w:themeFillShade="D9"/>
            <w:vAlign w:val="center"/>
          </w:tcPr>
          <w:p w14:paraId="46FD674C" w14:textId="77777777" w:rsidR="008903F7" w:rsidRPr="009F19BD" w:rsidRDefault="008903F7" w:rsidP="00B50CDC">
            <w:pPr>
              <w:pStyle w:val="NoSpacing"/>
              <w:rPr>
                <w:rFonts w:ascii="Times New Roman" w:hAnsi="Times New Roman" w:cs="Times New Roman"/>
                <w:b/>
                <w:lang w:eastAsia="en-GB"/>
              </w:rPr>
            </w:pPr>
          </w:p>
        </w:tc>
        <w:tc>
          <w:tcPr>
            <w:tcW w:w="809" w:type="dxa"/>
            <w:shd w:val="clear" w:color="000000" w:fill="D9D9D9" w:themeFill="background1" w:themeFillShade="D9"/>
            <w:noWrap/>
            <w:vAlign w:val="center"/>
            <w:hideMark/>
          </w:tcPr>
          <w:p w14:paraId="02709B44"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2030</w:t>
            </w:r>
          </w:p>
        </w:tc>
        <w:tc>
          <w:tcPr>
            <w:tcW w:w="703" w:type="dxa"/>
            <w:shd w:val="clear" w:color="000000" w:fill="D9D9D9" w:themeFill="background1" w:themeFillShade="D9"/>
            <w:noWrap/>
            <w:vAlign w:val="center"/>
            <w:hideMark/>
          </w:tcPr>
          <w:p w14:paraId="35012C36"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2050</w:t>
            </w:r>
          </w:p>
        </w:tc>
        <w:tc>
          <w:tcPr>
            <w:tcW w:w="703" w:type="dxa"/>
            <w:shd w:val="clear" w:color="000000" w:fill="D9D9D9" w:themeFill="background1" w:themeFillShade="D9"/>
            <w:noWrap/>
            <w:vAlign w:val="center"/>
            <w:hideMark/>
          </w:tcPr>
          <w:p w14:paraId="0909E96B"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2080</w:t>
            </w:r>
          </w:p>
        </w:tc>
        <w:tc>
          <w:tcPr>
            <w:tcW w:w="703" w:type="dxa"/>
            <w:shd w:val="clear" w:color="000000" w:fill="D9D9D9" w:themeFill="background1" w:themeFillShade="D9"/>
            <w:noWrap/>
            <w:vAlign w:val="center"/>
            <w:hideMark/>
          </w:tcPr>
          <w:p w14:paraId="5C4C5129"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2100</w:t>
            </w:r>
          </w:p>
        </w:tc>
        <w:tc>
          <w:tcPr>
            <w:tcW w:w="5900" w:type="dxa"/>
            <w:shd w:val="clear" w:color="000000" w:fill="D9D9D9" w:themeFill="background1" w:themeFillShade="D9"/>
            <w:vAlign w:val="center"/>
          </w:tcPr>
          <w:p w14:paraId="76D280EF" w14:textId="77777777" w:rsidR="008903F7" w:rsidRPr="009F19BD" w:rsidRDefault="008903F7" w:rsidP="00B50CDC">
            <w:pPr>
              <w:pStyle w:val="NoSpacing"/>
              <w:rPr>
                <w:rFonts w:ascii="Times New Roman" w:hAnsi="Times New Roman" w:cs="Times New Roman"/>
                <w:b/>
                <w:lang w:eastAsia="en-GB"/>
              </w:rPr>
            </w:pPr>
          </w:p>
        </w:tc>
      </w:tr>
      <w:tr w:rsidR="008903F7" w:rsidRPr="009F19BD" w14:paraId="58DC66E5" w14:textId="77777777" w:rsidTr="007B7EBF">
        <w:trPr>
          <w:trHeight w:val="300"/>
        </w:trPr>
        <w:tc>
          <w:tcPr>
            <w:tcW w:w="1134" w:type="dxa"/>
            <w:vAlign w:val="center"/>
          </w:tcPr>
          <w:p w14:paraId="6FAFFE9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lastRenderedPageBreak/>
              <w:t>Solid biomass</w:t>
            </w:r>
          </w:p>
        </w:tc>
        <w:tc>
          <w:tcPr>
            <w:tcW w:w="809" w:type="dxa"/>
            <w:shd w:val="clear" w:color="auto" w:fill="auto"/>
            <w:noWrap/>
            <w:vAlign w:val="center"/>
          </w:tcPr>
          <w:p w14:paraId="4DC7BF8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43</w:t>
            </w:r>
          </w:p>
        </w:tc>
        <w:tc>
          <w:tcPr>
            <w:tcW w:w="703" w:type="dxa"/>
            <w:shd w:val="clear" w:color="auto" w:fill="auto"/>
            <w:noWrap/>
            <w:vAlign w:val="center"/>
          </w:tcPr>
          <w:p w14:paraId="030B668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45</w:t>
            </w:r>
          </w:p>
        </w:tc>
        <w:tc>
          <w:tcPr>
            <w:tcW w:w="703" w:type="dxa"/>
            <w:shd w:val="clear" w:color="auto" w:fill="auto"/>
            <w:noWrap/>
            <w:vAlign w:val="center"/>
          </w:tcPr>
          <w:p w14:paraId="676808C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48</w:t>
            </w:r>
          </w:p>
        </w:tc>
        <w:tc>
          <w:tcPr>
            <w:tcW w:w="703" w:type="dxa"/>
            <w:shd w:val="clear" w:color="auto" w:fill="auto"/>
            <w:noWrap/>
            <w:vAlign w:val="center"/>
          </w:tcPr>
          <w:p w14:paraId="1D2590B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50</w:t>
            </w:r>
          </w:p>
        </w:tc>
        <w:tc>
          <w:tcPr>
            <w:tcW w:w="5900" w:type="dxa"/>
            <w:vAlign w:val="center"/>
          </w:tcPr>
          <w:p w14:paraId="452C8AFA" w14:textId="63453517" w:rsidR="008903F7" w:rsidRPr="009F19BD" w:rsidRDefault="008903F7" w:rsidP="00B50CDC">
            <w:pPr>
              <w:pStyle w:val="NoSpacing"/>
              <w:rPr>
                <w:rFonts w:ascii="Times New Roman" w:hAnsi="Times New Roman" w:cs="Times New Roman"/>
                <w:lang w:eastAsia="en-GB"/>
              </w:rPr>
            </w:pPr>
            <w:proofErr w:type="spellStart"/>
            <w:r w:rsidRPr="009F19BD">
              <w:rPr>
                <w:rFonts w:ascii="Times New Roman" w:hAnsi="Times New Roman" w:cs="Times New Roman"/>
                <w:lang w:eastAsia="en-GB"/>
              </w:rPr>
              <w:t>Daioglou</w:t>
            </w:r>
            <w:proofErr w:type="spellEnd"/>
            <w:r w:rsidRPr="009F19BD">
              <w:rPr>
                <w:rFonts w:ascii="Times New Roman" w:hAnsi="Times New Roman" w:cs="Times New Roman"/>
                <w:lang w:eastAsia="en-GB"/>
              </w:rPr>
              <w:t xml:space="preserve"> et al. (2016)</w:t>
            </w:r>
            <w:r w:rsidR="00B82774">
              <w:rPr>
                <w:rStyle w:val="FootnoteReference"/>
                <w:rFonts w:ascii="Times New Roman" w:hAnsi="Times New Roman" w:cs="Times New Roman"/>
                <w:lang w:eastAsia="en-GB"/>
              </w:rPr>
              <w:footnoteReference w:id="3"/>
            </w:r>
            <w:r w:rsidRPr="009F19BD">
              <w:rPr>
                <w:rFonts w:ascii="Times New Roman" w:hAnsi="Times New Roman" w:cs="Times New Roman"/>
                <w:lang w:eastAsia="en-GB"/>
              </w:rPr>
              <w:fldChar w:fldCharType="begin" w:fldLock="1"/>
            </w:r>
            <w:r w:rsidRPr="009F19BD">
              <w:rPr>
                <w:rFonts w:ascii="Times New Roman" w:hAnsi="Times New Roman" w:cs="Times New Roman"/>
                <w:lang w:eastAsia="en-GB"/>
              </w:rPr>
              <w:instrText>ADDIN CSL_CITATION {"citationItems":[{"id":"ITEM-1","itemData":{"DOI":"10.1111/gcbb.12285","ISSN":"17571707","abstract":"By-products of agricultural and forestry processes, known as residues, may act as a primary source of renewable energy. Studies assessing the availability of this resource so far offer few insights on the drivers and constraints of the available potential, the associated costs and how the availability may vary across scenarios. This study projects long-term global supply curves of the available potential by using consistent scenarios of agriculture and forestry production, livestock production and fuel use from a spatially explicit integrated assessment model. Particular attention is paid to the drivers and constraints. In the projections residue production is related to agricultural and forestry production and intensification, and the limiting effect of ecological and alternative uses of residues are accounted for. Depending on the scenario, theoretical potential is projected to increase from approximately 120 EJ/yr today to 140-170 EJ/yr by 2100, coming mostly from agricultural production. In order to maintain ecological functions approximately 40% is required to remain in the field, and a further 20-30% is diverted towards alternative uses. Of the remaining potential (approximately 50 EJ/yr in 2100), more than 90%, is available at less than 10$2005/GJ. Crop yield improvements increase residue productivity, albeit at a lower rate. The consequent decrease in agricultural land results in a lower requirement of residues for erosion control. The theoretical potential is most sensitive to baseline projections of agriculture and forestry demand; however this does not necessarily affect the available potential which is relatively constant across scenarios. The most important limiting factors are the alternative uses. Asia and North America account for two thirds of the available potential due to the production of crops with high residue yields and socioeconomic conditions which limit alternative uses. This article is protected by copyright. All rights reserved.","author":[{"dropping-particle":"","family":"Daioglou","given":"Vassilis","non-dropping-particle":"","parse-names":false,"suffix":""},{"dropping-particle":"","family":"Stehfest","given":"Elk","non-dropping-particle":"","parse-names":false,"suffix":""},{"dropping-particle":"","family":"Wicke","given":"Birka","non-dropping-particle":"","parse-names":false,"suffix":""},{"dropping-particle":"","family":"Faaij","given":"Andre","non-dropping-particle":"","parse-names":false,"suffix":""},{"dropping-particle":"","family":"Vuuren","given":"Detlef P.","non-dropping-particle":"van","parse-names":false,"suffix":""}],"container-title":"GCB Bioenergy","id":"ITEM-1","issue":"2","issued":{"date-parts":[["2016"]]},"page":"456-470","title":"Projections of the availability and cost of residues from agriculture and forestry","type":"article-journal","volume":"8"},"uris":["http://www.mendeley.com/documents/?uuid=448305f2-b963-4bab-ad49-a74c7a6183bb"]}],"mendeley":{"formattedCitation":"&lt;sup&gt;55&lt;/sup&gt;","plainTextFormattedCitation":"55","previouslyFormattedCitation":"&lt;sup&gt;55&lt;/sup&gt;"},"properties":{"noteIndex":0},"schema":"https://github.com/citation-style-language/schema/raw/master/csl-citation.json"}</w:instrText>
            </w:r>
            <w:r w:rsidR="00A872DB">
              <w:rPr>
                <w:rFonts w:ascii="Times New Roman" w:hAnsi="Times New Roman" w:cs="Times New Roman"/>
                <w:lang w:eastAsia="en-GB"/>
              </w:rPr>
              <w:fldChar w:fldCharType="separate"/>
            </w:r>
            <w:r w:rsidRPr="009F19BD">
              <w:rPr>
                <w:rFonts w:ascii="Times New Roman" w:hAnsi="Times New Roman" w:cs="Times New Roman"/>
                <w:lang w:eastAsia="en-GB"/>
              </w:rPr>
              <w:fldChar w:fldCharType="end"/>
            </w:r>
            <w:r w:rsidRPr="009F19BD">
              <w:rPr>
                <w:rFonts w:ascii="Times New Roman" w:hAnsi="Times New Roman" w:cs="Times New Roman"/>
                <w:lang w:eastAsia="en-GB"/>
              </w:rPr>
              <w:t xml:space="preserve"> </w:t>
            </w:r>
          </w:p>
        </w:tc>
      </w:tr>
      <w:tr w:rsidR="008903F7" w:rsidRPr="009F19BD" w14:paraId="084AAF58" w14:textId="77777777" w:rsidTr="007B7EBF">
        <w:trPr>
          <w:trHeight w:val="940"/>
        </w:trPr>
        <w:tc>
          <w:tcPr>
            <w:tcW w:w="1134" w:type="dxa"/>
            <w:vAlign w:val="center"/>
          </w:tcPr>
          <w:p w14:paraId="1A64436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Energy crops</w:t>
            </w:r>
          </w:p>
        </w:tc>
        <w:tc>
          <w:tcPr>
            <w:tcW w:w="809" w:type="dxa"/>
            <w:shd w:val="clear" w:color="auto" w:fill="auto"/>
            <w:noWrap/>
            <w:vAlign w:val="center"/>
          </w:tcPr>
          <w:p w14:paraId="137967B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17</w:t>
            </w:r>
          </w:p>
        </w:tc>
        <w:tc>
          <w:tcPr>
            <w:tcW w:w="703" w:type="dxa"/>
            <w:shd w:val="clear" w:color="auto" w:fill="auto"/>
            <w:noWrap/>
            <w:vAlign w:val="center"/>
          </w:tcPr>
          <w:p w14:paraId="338D511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31</w:t>
            </w:r>
          </w:p>
        </w:tc>
        <w:tc>
          <w:tcPr>
            <w:tcW w:w="703" w:type="dxa"/>
            <w:shd w:val="clear" w:color="auto" w:fill="auto"/>
            <w:noWrap/>
            <w:vAlign w:val="center"/>
          </w:tcPr>
          <w:p w14:paraId="4F6BD4B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31</w:t>
            </w:r>
          </w:p>
        </w:tc>
        <w:tc>
          <w:tcPr>
            <w:tcW w:w="703" w:type="dxa"/>
            <w:shd w:val="clear" w:color="auto" w:fill="auto"/>
            <w:noWrap/>
            <w:vAlign w:val="center"/>
          </w:tcPr>
          <w:p w14:paraId="76CD2F2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31</w:t>
            </w:r>
          </w:p>
        </w:tc>
        <w:tc>
          <w:tcPr>
            <w:tcW w:w="5900" w:type="dxa"/>
            <w:vAlign w:val="center"/>
          </w:tcPr>
          <w:p w14:paraId="3896B280" w14:textId="412B3D6D"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Marginal land availability and energy crop yields from Ricardo-AEA. (2017)</w:t>
            </w:r>
            <w:r w:rsidR="00B82774">
              <w:rPr>
                <w:rStyle w:val="FootnoteReference"/>
                <w:rFonts w:ascii="Times New Roman" w:hAnsi="Times New Roman" w:cs="Times New Roman"/>
                <w:lang w:eastAsia="en-GB"/>
              </w:rPr>
              <w:footnoteReference w:id="4"/>
            </w:r>
            <w:r w:rsidRPr="009F19BD">
              <w:rPr>
                <w:rFonts w:ascii="Times New Roman" w:hAnsi="Times New Roman" w:cs="Times New Roman"/>
                <w:lang w:eastAsia="en-GB"/>
              </w:rPr>
              <w:fldChar w:fldCharType="begin" w:fldLock="1"/>
            </w:r>
            <w:r w:rsidRPr="009F19BD">
              <w:rPr>
                <w:rFonts w:ascii="Times New Roman" w:hAnsi="Times New Roman" w:cs="Times New Roman"/>
                <w:lang w:eastAsia="en-GB"/>
              </w:rPr>
              <w:instrText>ADDIN CSL_CITATION {"citationItems":[{"id":"ITEM-1","itemData":{"author":[{"dropping-particle":"","family":"Ricardo Energy &amp; Environment","given":"","non-dropping-particle":"","parse-names":false,"suffix":""}],"container-title":"Ref: ED662421043 - Issue Number 3","id":"ITEM-1","issued":{"date-parts":[["2017"]]},"title":"Biomass Feedstock Availability, Final Report for BEIS","type":"article-journal"},"uris":["http://www.mendeley.com/documents/?uuid=6bbfd5d8-b628-4760-b2b0-96f5be270d2c"]}],"mendeley":{"formattedCitation":"&lt;sup&gt;56&lt;/sup&gt;","plainTextFormattedCitation":"56","previouslyFormattedCitation":"&lt;sup&gt;56&lt;/sup&gt;"},"properties":{"noteIndex":0},"schema":"https://github.com/citation-style-language/schema/raw/master/csl-citation.json"}</w:instrText>
            </w:r>
            <w:r w:rsidR="00A872DB">
              <w:rPr>
                <w:rFonts w:ascii="Times New Roman" w:hAnsi="Times New Roman" w:cs="Times New Roman"/>
                <w:lang w:eastAsia="en-GB"/>
              </w:rPr>
              <w:fldChar w:fldCharType="separate"/>
            </w:r>
            <w:r w:rsidRPr="009F19BD">
              <w:rPr>
                <w:rFonts w:ascii="Times New Roman" w:hAnsi="Times New Roman" w:cs="Times New Roman"/>
                <w:lang w:eastAsia="en-GB"/>
              </w:rPr>
              <w:fldChar w:fldCharType="end"/>
            </w:r>
            <w:r w:rsidRPr="009F19BD">
              <w:rPr>
                <w:rFonts w:ascii="Times New Roman" w:hAnsi="Times New Roman" w:cs="Times New Roman"/>
                <w:lang w:eastAsia="en-GB"/>
              </w:rPr>
              <w:t xml:space="preserve">. Biomass Feedstock Availability. Final report for BEIS. Supply cost curves based on </w:t>
            </w:r>
            <w:proofErr w:type="spellStart"/>
            <w:r w:rsidRPr="009F19BD">
              <w:rPr>
                <w:rFonts w:ascii="Times New Roman" w:hAnsi="Times New Roman" w:cs="Times New Roman"/>
                <w:lang w:eastAsia="en-GB"/>
              </w:rPr>
              <w:t>Hoogwijk</w:t>
            </w:r>
            <w:proofErr w:type="spellEnd"/>
            <w:r w:rsidRPr="009F19BD">
              <w:rPr>
                <w:rFonts w:ascii="Times New Roman" w:hAnsi="Times New Roman" w:cs="Times New Roman"/>
                <w:lang w:eastAsia="en-GB"/>
              </w:rPr>
              <w:t xml:space="preserve"> et al. (2009)</w:t>
            </w:r>
            <w:r w:rsidR="00B82774">
              <w:rPr>
                <w:rStyle w:val="FootnoteReference"/>
                <w:rFonts w:ascii="Times New Roman" w:hAnsi="Times New Roman" w:cs="Times New Roman"/>
                <w:lang w:eastAsia="en-GB"/>
              </w:rPr>
              <w:footnoteReference w:id="5"/>
            </w:r>
            <w:r w:rsidR="00B82774" w:rsidRPr="009F19BD">
              <w:rPr>
                <w:rFonts w:ascii="Times New Roman" w:hAnsi="Times New Roman" w:cs="Times New Roman"/>
                <w:lang w:eastAsia="en-GB"/>
              </w:rPr>
              <w:t xml:space="preserve"> </w:t>
            </w:r>
          </w:p>
        </w:tc>
      </w:tr>
      <w:tr w:rsidR="008903F7" w:rsidRPr="009F19BD" w14:paraId="7526A29E" w14:textId="77777777" w:rsidTr="007B7EBF">
        <w:trPr>
          <w:trHeight w:val="300"/>
        </w:trPr>
        <w:tc>
          <w:tcPr>
            <w:tcW w:w="1134" w:type="dxa"/>
            <w:vAlign w:val="center"/>
          </w:tcPr>
          <w:p w14:paraId="34358A7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MSW</w:t>
            </w:r>
          </w:p>
        </w:tc>
        <w:tc>
          <w:tcPr>
            <w:tcW w:w="809" w:type="dxa"/>
            <w:shd w:val="clear" w:color="auto" w:fill="auto"/>
            <w:noWrap/>
            <w:vAlign w:val="center"/>
          </w:tcPr>
          <w:p w14:paraId="050D428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17</w:t>
            </w:r>
          </w:p>
        </w:tc>
        <w:tc>
          <w:tcPr>
            <w:tcW w:w="703" w:type="dxa"/>
            <w:shd w:val="clear" w:color="auto" w:fill="auto"/>
            <w:noWrap/>
            <w:vAlign w:val="center"/>
          </w:tcPr>
          <w:p w14:paraId="68BF273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27</w:t>
            </w:r>
          </w:p>
        </w:tc>
        <w:tc>
          <w:tcPr>
            <w:tcW w:w="703" w:type="dxa"/>
            <w:shd w:val="clear" w:color="auto" w:fill="auto"/>
            <w:noWrap/>
            <w:vAlign w:val="center"/>
          </w:tcPr>
          <w:p w14:paraId="084F41F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27</w:t>
            </w:r>
          </w:p>
        </w:tc>
        <w:tc>
          <w:tcPr>
            <w:tcW w:w="703" w:type="dxa"/>
            <w:shd w:val="clear" w:color="auto" w:fill="auto"/>
            <w:noWrap/>
            <w:vAlign w:val="center"/>
          </w:tcPr>
          <w:p w14:paraId="63A27F4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28</w:t>
            </w:r>
          </w:p>
        </w:tc>
        <w:tc>
          <w:tcPr>
            <w:tcW w:w="5900" w:type="dxa"/>
            <w:vAlign w:val="center"/>
          </w:tcPr>
          <w:p w14:paraId="6BFA1C9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TIAM-ETSAP</w:t>
            </w:r>
          </w:p>
        </w:tc>
      </w:tr>
    </w:tbl>
    <w:p w14:paraId="66396D39" w14:textId="77777777" w:rsidR="008903F7" w:rsidRPr="009F19BD" w:rsidRDefault="008903F7" w:rsidP="008903F7">
      <w:pPr>
        <w:rPr>
          <w:rFonts w:ascii="Times New Roman" w:hAnsi="Times New Roman" w:cs="Times New Roman"/>
        </w:rPr>
      </w:pPr>
    </w:p>
    <w:p w14:paraId="44201E37" w14:textId="77777777" w:rsidR="008903F7" w:rsidRPr="009F19BD" w:rsidRDefault="008903F7" w:rsidP="007C7C7F">
      <w:pPr>
        <w:pStyle w:val="Heading4"/>
      </w:pPr>
      <w:r w:rsidRPr="009F19BD">
        <w:t>Conversion technology assumptions</w:t>
      </w:r>
    </w:p>
    <w:p w14:paraId="1F33FD26" w14:textId="483B362A" w:rsidR="008903F7" w:rsidRPr="009F19BD" w:rsidRDefault="008903F7" w:rsidP="008903F7">
      <w:pPr>
        <w:rPr>
          <w:rFonts w:ascii="Times New Roman" w:eastAsia="Arial" w:hAnsi="Times New Roman" w:cs="Times New Roman"/>
          <w:color w:val="000000" w:themeColor="text1"/>
        </w:rPr>
      </w:pPr>
      <w:r w:rsidRPr="009F19BD">
        <w:rPr>
          <w:rFonts w:ascii="Times New Roman" w:hAnsi="Times New Roman" w:cs="Times New Roman"/>
        </w:rPr>
        <w:t xml:space="preserve">A key input into the TIAM-UCL model is the assumptions on costs and performance of different conversion technologies, which produce low carbon vectors. This section provides an overview of the key assumptions for different technology groups. </w:t>
      </w:r>
      <w:r w:rsidRPr="009F19BD">
        <w:rPr>
          <w:rFonts w:ascii="Times New Roman" w:hAnsi="Times New Roman" w:cs="Times New Roman"/>
        </w:rPr>
        <w:fldChar w:fldCharType="begin"/>
      </w:r>
      <w:r w:rsidRPr="009F19BD">
        <w:rPr>
          <w:rFonts w:ascii="Times New Roman" w:hAnsi="Times New Roman" w:cs="Times New Roman"/>
        </w:rPr>
        <w:instrText xml:space="preserve"> REF _Ref64821929 \h  \* MERGEFORMAT </w:instrText>
      </w:r>
      <w:r w:rsidRPr="009F19BD">
        <w:rPr>
          <w:rFonts w:ascii="Times New Roman" w:hAnsi="Times New Roman" w:cs="Times New Roman"/>
        </w:rPr>
      </w:r>
      <w:r w:rsidRPr="009F19BD">
        <w:rPr>
          <w:rFonts w:ascii="Times New Roman" w:hAnsi="Times New Roman" w:cs="Times New Roman"/>
        </w:rPr>
        <w:fldChar w:fldCharType="separate"/>
      </w:r>
      <w:r w:rsidRPr="009F19BD">
        <w:rPr>
          <w:rFonts w:ascii="Times New Roman" w:hAnsi="Times New Roman" w:cs="Times New Roman"/>
        </w:rPr>
        <w:t>Supplementary Table</w:t>
      </w:r>
      <w:r w:rsidR="007C7C7F">
        <w:rPr>
          <w:rFonts w:ascii="Times New Roman" w:hAnsi="Times New Roman" w:cs="Times New Roman"/>
        </w:rPr>
        <w:t xml:space="preserve"> 4</w:t>
      </w:r>
      <w:r w:rsidRPr="009F19BD">
        <w:rPr>
          <w:rFonts w:ascii="Times New Roman" w:hAnsi="Times New Roman" w:cs="Times New Roman"/>
        </w:rPr>
        <w:fldChar w:fldCharType="end"/>
      </w:r>
      <w:r w:rsidRPr="009F19BD">
        <w:rPr>
          <w:rFonts w:ascii="Times New Roman" w:hAnsi="Times New Roman" w:cs="Times New Roman"/>
        </w:rPr>
        <w:t xml:space="preserve"> provides information regarding the </w:t>
      </w:r>
      <w:r w:rsidRPr="009F19BD">
        <w:rPr>
          <w:rFonts w:ascii="Times New Roman" w:eastAsia="Arial" w:hAnsi="Times New Roman" w:cs="Times New Roman"/>
        </w:rPr>
        <w:t xml:space="preserve">power generation sector. </w:t>
      </w:r>
    </w:p>
    <w:p w14:paraId="28835420" w14:textId="73272198"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The assumptions for the suite of BECCS technologies available in the model can be found in </w:t>
      </w:r>
      <w:r w:rsidRPr="009F19BD">
        <w:rPr>
          <w:rFonts w:ascii="Times New Roman" w:hAnsi="Times New Roman" w:cs="Times New Roman"/>
        </w:rPr>
        <w:fldChar w:fldCharType="begin"/>
      </w:r>
      <w:r w:rsidRPr="009F19BD">
        <w:rPr>
          <w:rFonts w:ascii="Times New Roman" w:hAnsi="Times New Roman" w:cs="Times New Roman"/>
        </w:rPr>
        <w:instrText xml:space="preserve"> REF _Ref64821956 \h  \* MERGEFORMAT </w:instrText>
      </w:r>
      <w:r w:rsidRPr="009F19BD">
        <w:rPr>
          <w:rFonts w:ascii="Times New Roman" w:hAnsi="Times New Roman" w:cs="Times New Roman"/>
        </w:rPr>
      </w:r>
      <w:r w:rsidRPr="009F19BD">
        <w:rPr>
          <w:rFonts w:ascii="Times New Roman" w:hAnsi="Times New Roman" w:cs="Times New Roman"/>
        </w:rPr>
        <w:fldChar w:fldCharType="separate"/>
      </w:r>
      <w:r w:rsidRPr="009F19BD">
        <w:rPr>
          <w:rFonts w:ascii="Times New Roman" w:hAnsi="Times New Roman" w:cs="Times New Roman"/>
        </w:rPr>
        <w:t>Supplementary Table</w:t>
      </w:r>
      <w:r w:rsidR="007B7EBF">
        <w:rPr>
          <w:rFonts w:ascii="Times New Roman" w:hAnsi="Times New Roman" w:cs="Times New Roman"/>
        </w:rPr>
        <w:t xml:space="preserve"> 5</w:t>
      </w:r>
      <w:r w:rsidRPr="009F19BD">
        <w:rPr>
          <w:rFonts w:ascii="Times New Roman" w:hAnsi="Times New Roman" w:cs="Times New Roman"/>
        </w:rPr>
        <w:fldChar w:fldCharType="end"/>
      </w:r>
      <w:r w:rsidRPr="009F19BD">
        <w:rPr>
          <w:rFonts w:ascii="Times New Roman" w:hAnsi="Times New Roman" w:cs="Times New Roman"/>
        </w:rPr>
        <w:t xml:space="preserve">. The main ‘brake’ on this technology set is the bioenergy resource availability. The other negative emission technology in TIAM-UCL is Direct Air Capture (DAC) which draws on heat and electricity inputs to capture CO2 directly from the atmosphere and sequester it. </w:t>
      </w:r>
      <w:r w:rsidRPr="009F19BD">
        <w:rPr>
          <w:rFonts w:ascii="Times New Roman" w:hAnsi="Times New Roman" w:cs="Times New Roman"/>
        </w:rPr>
        <w:fldChar w:fldCharType="begin"/>
      </w:r>
      <w:r w:rsidRPr="009F19BD">
        <w:rPr>
          <w:rFonts w:ascii="Times New Roman" w:hAnsi="Times New Roman" w:cs="Times New Roman"/>
        </w:rPr>
        <w:instrText xml:space="preserve"> REF _Ref64821989 \h  \* MERGEFORMAT </w:instrText>
      </w:r>
      <w:r w:rsidRPr="009F19BD">
        <w:rPr>
          <w:rFonts w:ascii="Times New Roman" w:hAnsi="Times New Roman" w:cs="Times New Roman"/>
        </w:rPr>
      </w:r>
      <w:r w:rsidRPr="009F19BD">
        <w:rPr>
          <w:rFonts w:ascii="Times New Roman" w:hAnsi="Times New Roman" w:cs="Times New Roman"/>
        </w:rPr>
        <w:fldChar w:fldCharType="separate"/>
      </w:r>
      <w:r w:rsidRPr="009F19BD">
        <w:rPr>
          <w:rFonts w:ascii="Times New Roman" w:hAnsi="Times New Roman" w:cs="Times New Roman"/>
          <w:bCs/>
        </w:rPr>
        <w:t xml:space="preserve">Supplementary </w:t>
      </w:r>
      <w:r w:rsidRPr="009F19BD">
        <w:rPr>
          <w:rFonts w:ascii="Times New Roman" w:hAnsi="Times New Roman" w:cs="Times New Roman"/>
        </w:rPr>
        <w:t>Table</w:t>
      </w:r>
      <w:r w:rsidR="007B7EBF">
        <w:rPr>
          <w:rFonts w:ascii="Times New Roman" w:hAnsi="Times New Roman" w:cs="Times New Roman"/>
        </w:rPr>
        <w:t xml:space="preserve"> 6</w:t>
      </w:r>
      <w:r w:rsidRPr="009F19BD">
        <w:rPr>
          <w:rFonts w:ascii="Times New Roman" w:hAnsi="Times New Roman" w:cs="Times New Roman"/>
        </w:rPr>
        <w:fldChar w:fldCharType="end"/>
      </w:r>
      <w:r w:rsidRPr="009F19BD">
        <w:rPr>
          <w:rFonts w:ascii="Times New Roman" w:hAnsi="Times New Roman" w:cs="Times New Roman"/>
        </w:rPr>
        <w:t xml:space="preserve"> has the cost and technical lifetime assumptions used for DAC.</w:t>
      </w:r>
    </w:p>
    <w:p w14:paraId="513F27BD" w14:textId="39506DB0"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On the supply side, hydrogen production technologies are divided into three different scales: centralised large-scale, centralised medium and decentralised small-scale production. Large-scale plants are based on biomass, </w:t>
      </w:r>
      <w:proofErr w:type="gramStart"/>
      <w:r w:rsidRPr="009F19BD">
        <w:rPr>
          <w:rFonts w:ascii="Times New Roman" w:hAnsi="Times New Roman" w:cs="Times New Roman"/>
        </w:rPr>
        <w:t>coal</w:t>
      </w:r>
      <w:proofErr w:type="gramEnd"/>
      <w:r w:rsidRPr="009F19BD">
        <w:rPr>
          <w:rFonts w:ascii="Times New Roman" w:hAnsi="Times New Roman" w:cs="Times New Roman"/>
        </w:rPr>
        <w:t xml:space="preserve"> and gas with continuous production of hydrogen. These plants are available with and without CCS technology. Hydrogen produced from centralised plants are transported with two different transportation options: long-distance </w:t>
      </w:r>
      <w:proofErr w:type="gramStart"/>
      <w:r w:rsidRPr="009F19BD">
        <w:rPr>
          <w:rFonts w:ascii="Times New Roman" w:hAnsi="Times New Roman" w:cs="Times New Roman"/>
        </w:rPr>
        <w:t>pipe line</w:t>
      </w:r>
      <w:proofErr w:type="gramEnd"/>
      <w:r w:rsidRPr="009F19BD">
        <w:rPr>
          <w:rFonts w:ascii="Times New Roman" w:hAnsi="Times New Roman" w:cs="Times New Roman"/>
        </w:rPr>
        <w:t xml:space="preserve"> transportation (gaseous hydrogen) and liquefaction plus trucks (liquid hydrogen). Hydrogen production data is presented in </w:t>
      </w:r>
      <w:r w:rsidRPr="009F19BD">
        <w:rPr>
          <w:rFonts w:ascii="Times New Roman" w:hAnsi="Times New Roman" w:cs="Times New Roman"/>
        </w:rPr>
        <w:fldChar w:fldCharType="begin"/>
      </w:r>
      <w:r w:rsidRPr="009F19BD">
        <w:rPr>
          <w:rFonts w:ascii="Times New Roman" w:hAnsi="Times New Roman" w:cs="Times New Roman"/>
        </w:rPr>
        <w:instrText xml:space="preserve"> REF _Ref64822024 \h  \* MERGEFORMAT </w:instrText>
      </w:r>
      <w:r w:rsidRPr="009F19BD">
        <w:rPr>
          <w:rFonts w:ascii="Times New Roman" w:hAnsi="Times New Roman" w:cs="Times New Roman"/>
        </w:rPr>
      </w:r>
      <w:r w:rsidRPr="009F19BD">
        <w:rPr>
          <w:rFonts w:ascii="Times New Roman" w:hAnsi="Times New Roman" w:cs="Times New Roman"/>
        </w:rPr>
        <w:fldChar w:fldCharType="separate"/>
      </w:r>
      <w:r w:rsidRPr="009F19BD">
        <w:rPr>
          <w:rFonts w:ascii="Times New Roman" w:hAnsi="Times New Roman" w:cs="Times New Roman"/>
          <w:bCs/>
        </w:rPr>
        <w:t xml:space="preserve">Supplementary </w:t>
      </w:r>
      <w:r w:rsidRPr="009F19BD">
        <w:rPr>
          <w:rFonts w:ascii="Times New Roman" w:hAnsi="Times New Roman" w:cs="Times New Roman"/>
        </w:rPr>
        <w:t>Table</w:t>
      </w:r>
      <w:r w:rsidR="007B7EBF">
        <w:rPr>
          <w:rFonts w:ascii="Times New Roman" w:hAnsi="Times New Roman" w:cs="Times New Roman"/>
        </w:rPr>
        <w:t xml:space="preserve"> 7</w:t>
      </w:r>
      <w:r w:rsidRPr="009F19BD">
        <w:rPr>
          <w:rFonts w:ascii="Times New Roman" w:hAnsi="Times New Roman" w:cs="Times New Roman"/>
        </w:rPr>
        <w:fldChar w:fldCharType="end"/>
      </w:r>
      <w:r w:rsidRPr="009F19BD">
        <w:rPr>
          <w:rFonts w:ascii="Times New Roman" w:hAnsi="Times New Roman" w:cs="Times New Roman"/>
        </w:rPr>
        <w:t xml:space="preserve">, and are based on the review by </w:t>
      </w:r>
      <w:proofErr w:type="spellStart"/>
      <w:r w:rsidRPr="009F19BD">
        <w:rPr>
          <w:rFonts w:ascii="Times New Roman" w:hAnsi="Times New Roman" w:cs="Times New Roman"/>
        </w:rPr>
        <w:t>Dodds</w:t>
      </w:r>
      <w:proofErr w:type="spellEnd"/>
      <w:r w:rsidRPr="009F19BD">
        <w:rPr>
          <w:rFonts w:ascii="Times New Roman" w:hAnsi="Times New Roman" w:cs="Times New Roman"/>
        </w:rPr>
        <w:t xml:space="preserve"> and McDowall, 2012</w:t>
      </w:r>
      <w:r w:rsidR="00B82774">
        <w:rPr>
          <w:rStyle w:val="FootnoteReference"/>
          <w:rFonts w:ascii="Times New Roman" w:hAnsi="Times New Roman" w:cs="Times New Roman"/>
        </w:rPr>
        <w:footnoteReference w:id="6"/>
      </w:r>
      <w:r w:rsidRPr="009F19BD">
        <w:rPr>
          <w:rFonts w:ascii="Times New Roman" w:hAnsi="Times New Roman" w:cs="Times New Roman"/>
        </w:rPr>
        <w:fldChar w:fldCharType="begin" w:fldLock="1"/>
      </w:r>
      <w:r w:rsidRPr="009F19BD">
        <w:rPr>
          <w:rFonts w:ascii="Times New Roman" w:hAnsi="Times New Roman" w:cs="Times New Roman"/>
        </w:rPr>
        <w:instrText>ADDIN CSL_CITATION {"citationItems":[{"id":"ITEM-1","itemData":{"author":[{"dropping-particle":"","family":"Dodds","given":"Paul","non-dropping-particle":"","parse-names":false,"suffix":""},{"dropping-particle":"","family":"McDowall","given":"Will","non-dropping-particle":"","parse-names":false,"suffix":""}],"collection-title":"UKSHEC Working Paper Series","id":"ITEM-1","issued":{"date-parts":[["2012"]]},"publisher-place":"London","title":"A review of hydrogen production technologies for energy system models","type":"report"},"uris":["http://www.mendeley.com/documents/?uuid=7021cfae-fa58-4553-ace1-e4580c27fe51"]}],"mendeley":{"formattedCitation":"&lt;sup&gt;58&lt;/sup&gt;","plainTextFormattedCitation":"58","previouslyFormattedCitation":"&lt;sup&gt;58&lt;/sup&gt;"},"properties":{"noteIndex":0},"schema":"https://github.com/citation-style-language/schema/raw/master/csl-citation.json"}</w:instrText>
      </w:r>
      <w:r w:rsidR="00A872DB">
        <w:rPr>
          <w:rFonts w:ascii="Times New Roman" w:hAnsi="Times New Roman" w:cs="Times New Roman"/>
        </w:rPr>
        <w:fldChar w:fldCharType="separate"/>
      </w:r>
      <w:r w:rsidRPr="009F19BD">
        <w:rPr>
          <w:rFonts w:ascii="Times New Roman" w:hAnsi="Times New Roman" w:cs="Times New Roman"/>
        </w:rPr>
        <w:fldChar w:fldCharType="end"/>
      </w:r>
      <w:r w:rsidRPr="009F19BD">
        <w:rPr>
          <w:rFonts w:ascii="Times New Roman" w:hAnsi="Times New Roman" w:cs="Times New Roman"/>
        </w:rPr>
        <w:t>.</w:t>
      </w:r>
    </w:p>
    <w:p w14:paraId="7EE46EE0" w14:textId="77777777" w:rsidR="008903F7" w:rsidRPr="009F19BD" w:rsidRDefault="008903F7" w:rsidP="008903F7">
      <w:pPr>
        <w:rPr>
          <w:rFonts w:ascii="Times New Roman" w:hAnsi="Times New Roman" w:cs="Times New Roman"/>
        </w:rPr>
      </w:pPr>
      <w:r w:rsidRPr="009F19BD">
        <w:rPr>
          <w:rFonts w:ascii="Times New Roman" w:hAnsi="Times New Roman" w:cs="Times New Roman"/>
        </w:rPr>
        <w:br w:type="page"/>
      </w:r>
    </w:p>
    <w:p w14:paraId="1C7E72D3" w14:textId="20082F33" w:rsidR="008903F7" w:rsidRPr="007C7C7F" w:rsidRDefault="008903F7" w:rsidP="008903F7">
      <w:pPr>
        <w:rPr>
          <w:rFonts w:ascii="Times New Roman" w:hAnsi="Times New Roman" w:cs="Times New Roman"/>
          <w:b/>
          <w:iCs/>
        </w:rPr>
      </w:pPr>
      <w:bookmarkStart w:id="3" w:name="_Ref64821929"/>
      <w:r w:rsidRPr="007C7C7F">
        <w:rPr>
          <w:rFonts w:ascii="Times New Roman" w:hAnsi="Times New Roman" w:cs="Times New Roman"/>
          <w:b/>
          <w:iCs/>
        </w:rPr>
        <w:lastRenderedPageBreak/>
        <w:t xml:space="preserve">Supplementary Table </w:t>
      </w:r>
      <w:bookmarkEnd w:id="3"/>
      <w:r w:rsidR="007C7C7F" w:rsidRPr="007C7C7F">
        <w:rPr>
          <w:rFonts w:ascii="Times New Roman" w:hAnsi="Times New Roman" w:cs="Times New Roman"/>
          <w:b/>
          <w:iCs/>
        </w:rPr>
        <w:t>4</w:t>
      </w:r>
      <w:r w:rsidRPr="007C7C7F">
        <w:rPr>
          <w:rFonts w:ascii="Times New Roman" w:hAnsi="Times New Roman" w:cs="Times New Roman"/>
          <w:b/>
          <w:iCs/>
        </w:rPr>
        <w:t>. Power generation costs and efficiency assumptions</w:t>
      </w:r>
    </w:p>
    <w:tbl>
      <w:tblPr>
        <w:tblW w:w="8909"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547"/>
        <w:gridCol w:w="834"/>
        <w:gridCol w:w="730"/>
        <w:gridCol w:w="730"/>
        <w:gridCol w:w="730"/>
        <w:gridCol w:w="730"/>
        <w:gridCol w:w="656"/>
        <w:gridCol w:w="680"/>
        <w:gridCol w:w="680"/>
        <w:gridCol w:w="780"/>
      </w:tblGrid>
      <w:tr w:rsidR="008903F7" w:rsidRPr="009F19BD" w14:paraId="64119C59" w14:textId="77777777" w:rsidTr="00B50CDC">
        <w:trPr>
          <w:trHeight w:val="300"/>
        </w:trPr>
        <w:tc>
          <w:tcPr>
            <w:tcW w:w="2547" w:type="dxa"/>
            <w:tcBorders>
              <w:top w:val="single" w:sz="4" w:space="0" w:color="auto"/>
              <w:bottom w:val="nil"/>
              <w:right w:val="single" w:sz="4" w:space="0" w:color="auto"/>
            </w:tcBorders>
            <w:shd w:val="clear" w:color="auto" w:fill="D9D9D9" w:themeFill="background1" w:themeFillShade="D9"/>
            <w:noWrap/>
            <w:vAlign w:val="bottom"/>
            <w:hideMark/>
          </w:tcPr>
          <w:p w14:paraId="3A07CE69" w14:textId="77777777" w:rsidR="008903F7" w:rsidRPr="009F19BD" w:rsidRDefault="008903F7" w:rsidP="00B50CDC">
            <w:pPr>
              <w:rPr>
                <w:rFonts w:ascii="Times New Roman" w:eastAsia="Times New Roman" w:hAnsi="Times New Roman" w:cs="Times New Roman"/>
                <w:b/>
                <w:lang w:eastAsia="en-GB"/>
              </w:rPr>
            </w:pPr>
          </w:p>
        </w:tc>
        <w:tc>
          <w:tcPr>
            <w:tcW w:w="2188" w:type="dxa"/>
            <w:gridSpan w:val="3"/>
            <w:tcBorders>
              <w:top w:val="single" w:sz="4" w:space="0" w:color="auto"/>
              <w:left w:val="single" w:sz="4" w:space="0" w:color="auto"/>
              <w:bottom w:val="nil"/>
            </w:tcBorders>
            <w:shd w:val="clear" w:color="auto" w:fill="D9D9D9" w:themeFill="background1" w:themeFillShade="D9"/>
            <w:noWrap/>
            <w:vAlign w:val="bottom"/>
            <w:hideMark/>
          </w:tcPr>
          <w:p w14:paraId="5886701A" w14:textId="77777777" w:rsidR="008903F7" w:rsidRPr="009F19BD" w:rsidRDefault="008903F7" w:rsidP="00B50CDC">
            <w:pPr>
              <w:rPr>
                <w:rFonts w:ascii="Times New Roman" w:eastAsia="Times New Roman" w:hAnsi="Times New Roman" w:cs="Times New Roman"/>
                <w:b/>
                <w:color w:val="000000"/>
                <w:lang w:eastAsia="en-GB"/>
              </w:rPr>
            </w:pPr>
            <w:r w:rsidRPr="009F19BD">
              <w:rPr>
                <w:rFonts w:ascii="Times New Roman" w:eastAsia="Times New Roman" w:hAnsi="Times New Roman" w:cs="Times New Roman"/>
                <w:b/>
                <w:color w:val="000000"/>
                <w:lang w:eastAsia="en-GB"/>
              </w:rPr>
              <w:t>CAPEX, $2005 /kW</w:t>
            </w:r>
          </w:p>
        </w:tc>
        <w:tc>
          <w:tcPr>
            <w:tcW w:w="677" w:type="dxa"/>
            <w:tcBorders>
              <w:top w:val="single" w:sz="4" w:space="0" w:color="auto"/>
              <w:bottom w:val="nil"/>
            </w:tcBorders>
            <w:shd w:val="clear" w:color="auto" w:fill="D9D9D9" w:themeFill="background1" w:themeFillShade="D9"/>
            <w:noWrap/>
            <w:vAlign w:val="bottom"/>
            <w:hideMark/>
          </w:tcPr>
          <w:p w14:paraId="38878D1B" w14:textId="77777777" w:rsidR="008903F7" w:rsidRPr="009F19BD" w:rsidRDefault="008903F7" w:rsidP="00B50CDC">
            <w:pPr>
              <w:rPr>
                <w:rFonts w:ascii="Times New Roman" w:eastAsia="Times New Roman" w:hAnsi="Times New Roman" w:cs="Times New Roman"/>
                <w:b/>
                <w:color w:val="000000"/>
                <w:lang w:eastAsia="en-GB"/>
              </w:rPr>
            </w:pPr>
          </w:p>
        </w:tc>
        <w:tc>
          <w:tcPr>
            <w:tcW w:w="720" w:type="dxa"/>
            <w:tcBorders>
              <w:top w:val="single" w:sz="4" w:space="0" w:color="auto"/>
              <w:bottom w:val="nil"/>
              <w:right w:val="single" w:sz="4" w:space="0" w:color="auto"/>
            </w:tcBorders>
            <w:shd w:val="clear" w:color="auto" w:fill="D9D9D9" w:themeFill="background1" w:themeFillShade="D9"/>
            <w:noWrap/>
            <w:vAlign w:val="bottom"/>
            <w:hideMark/>
          </w:tcPr>
          <w:p w14:paraId="433D21B8" w14:textId="77777777" w:rsidR="008903F7" w:rsidRPr="009F19BD" w:rsidRDefault="008903F7" w:rsidP="00B50CDC">
            <w:pPr>
              <w:rPr>
                <w:rFonts w:ascii="Times New Roman" w:eastAsia="Times New Roman" w:hAnsi="Times New Roman" w:cs="Times New Roman"/>
                <w:b/>
                <w:lang w:eastAsia="en-GB"/>
              </w:rPr>
            </w:pPr>
          </w:p>
        </w:tc>
        <w:tc>
          <w:tcPr>
            <w:tcW w:w="1317" w:type="dxa"/>
            <w:gridSpan w:val="2"/>
            <w:tcBorders>
              <w:top w:val="single" w:sz="4" w:space="0" w:color="auto"/>
              <w:left w:val="single" w:sz="4" w:space="0" w:color="auto"/>
              <w:bottom w:val="nil"/>
            </w:tcBorders>
            <w:shd w:val="clear" w:color="auto" w:fill="D9D9D9" w:themeFill="background1" w:themeFillShade="D9"/>
            <w:noWrap/>
            <w:vAlign w:val="bottom"/>
            <w:hideMark/>
          </w:tcPr>
          <w:p w14:paraId="1B4372AD" w14:textId="77777777" w:rsidR="008903F7" w:rsidRPr="009F19BD" w:rsidRDefault="008903F7" w:rsidP="00B50CDC">
            <w:pPr>
              <w:rPr>
                <w:rFonts w:ascii="Times New Roman" w:eastAsia="Times New Roman" w:hAnsi="Times New Roman" w:cs="Times New Roman"/>
                <w:b/>
                <w:color w:val="000000"/>
                <w:lang w:eastAsia="en-GB"/>
              </w:rPr>
            </w:pPr>
            <w:r w:rsidRPr="009F19BD">
              <w:rPr>
                <w:rFonts w:ascii="Times New Roman" w:eastAsia="Times New Roman" w:hAnsi="Times New Roman" w:cs="Times New Roman"/>
                <w:b/>
                <w:color w:val="000000"/>
                <w:lang w:eastAsia="en-GB"/>
              </w:rPr>
              <w:t>Efficiency, %</w:t>
            </w:r>
          </w:p>
        </w:tc>
        <w:tc>
          <w:tcPr>
            <w:tcW w:w="680" w:type="dxa"/>
            <w:tcBorders>
              <w:top w:val="single" w:sz="4" w:space="0" w:color="auto"/>
              <w:bottom w:val="nil"/>
            </w:tcBorders>
            <w:shd w:val="clear" w:color="auto" w:fill="D9D9D9" w:themeFill="background1" w:themeFillShade="D9"/>
            <w:noWrap/>
            <w:vAlign w:val="bottom"/>
            <w:hideMark/>
          </w:tcPr>
          <w:p w14:paraId="059320BB" w14:textId="77777777" w:rsidR="008903F7" w:rsidRPr="009F19BD" w:rsidRDefault="008903F7" w:rsidP="00B50CDC">
            <w:pPr>
              <w:rPr>
                <w:rFonts w:ascii="Times New Roman" w:eastAsia="Times New Roman" w:hAnsi="Times New Roman" w:cs="Times New Roman"/>
                <w:b/>
                <w:color w:val="000000"/>
                <w:lang w:eastAsia="en-GB"/>
              </w:rPr>
            </w:pPr>
          </w:p>
        </w:tc>
        <w:tc>
          <w:tcPr>
            <w:tcW w:w="780" w:type="dxa"/>
            <w:tcBorders>
              <w:top w:val="single" w:sz="4" w:space="0" w:color="auto"/>
              <w:bottom w:val="nil"/>
            </w:tcBorders>
            <w:shd w:val="clear" w:color="auto" w:fill="D9D9D9" w:themeFill="background1" w:themeFillShade="D9"/>
            <w:noWrap/>
            <w:vAlign w:val="bottom"/>
            <w:hideMark/>
          </w:tcPr>
          <w:p w14:paraId="785B5D27" w14:textId="77777777" w:rsidR="008903F7" w:rsidRPr="009F19BD" w:rsidRDefault="008903F7" w:rsidP="00B50CDC">
            <w:pPr>
              <w:rPr>
                <w:rFonts w:ascii="Times New Roman" w:eastAsia="Times New Roman" w:hAnsi="Times New Roman" w:cs="Times New Roman"/>
                <w:b/>
                <w:lang w:eastAsia="en-GB"/>
              </w:rPr>
            </w:pPr>
          </w:p>
        </w:tc>
      </w:tr>
      <w:tr w:rsidR="008903F7" w:rsidRPr="009F19BD" w14:paraId="33627DBB" w14:textId="77777777" w:rsidTr="00B50CDC">
        <w:trPr>
          <w:trHeight w:val="300"/>
        </w:trPr>
        <w:tc>
          <w:tcPr>
            <w:tcW w:w="2547" w:type="dxa"/>
            <w:tcBorders>
              <w:top w:val="nil"/>
              <w:bottom w:val="single" w:sz="4" w:space="0" w:color="auto"/>
              <w:right w:val="single" w:sz="4" w:space="0" w:color="auto"/>
            </w:tcBorders>
            <w:shd w:val="clear" w:color="auto" w:fill="D9D9D9" w:themeFill="background1" w:themeFillShade="D9"/>
            <w:noWrap/>
            <w:vAlign w:val="bottom"/>
            <w:hideMark/>
          </w:tcPr>
          <w:p w14:paraId="12A7F3DA" w14:textId="77777777" w:rsidR="008903F7" w:rsidRPr="009F19BD" w:rsidRDefault="008903F7" w:rsidP="00B50CDC">
            <w:pPr>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Technology</w:t>
            </w:r>
          </w:p>
        </w:tc>
        <w:tc>
          <w:tcPr>
            <w:tcW w:w="834" w:type="dxa"/>
            <w:tcBorders>
              <w:top w:val="nil"/>
              <w:left w:val="single" w:sz="4" w:space="0" w:color="auto"/>
              <w:bottom w:val="single" w:sz="4" w:space="0" w:color="auto"/>
            </w:tcBorders>
            <w:shd w:val="clear" w:color="auto" w:fill="D9D9D9" w:themeFill="background1" w:themeFillShade="D9"/>
            <w:noWrap/>
            <w:vAlign w:val="bottom"/>
            <w:hideMark/>
          </w:tcPr>
          <w:p w14:paraId="5042ACCA"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2010</w:t>
            </w:r>
          </w:p>
        </w:tc>
        <w:tc>
          <w:tcPr>
            <w:tcW w:w="677" w:type="dxa"/>
            <w:tcBorders>
              <w:top w:val="nil"/>
              <w:bottom w:val="single" w:sz="4" w:space="0" w:color="auto"/>
            </w:tcBorders>
            <w:shd w:val="clear" w:color="auto" w:fill="D9D9D9" w:themeFill="background1" w:themeFillShade="D9"/>
            <w:noWrap/>
            <w:vAlign w:val="bottom"/>
            <w:hideMark/>
          </w:tcPr>
          <w:p w14:paraId="28EB9CDF"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2020</w:t>
            </w:r>
          </w:p>
        </w:tc>
        <w:tc>
          <w:tcPr>
            <w:tcW w:w="677" w:type="dxa"/>
            <w:tcBorders>
              <w:top w:val="nil"/>
              <w:bottom w:val="single" w:sz="4" w:space="0" w:color="auto"/>
            </w:tcBorders>
            <w:shd w:val="clear" w:color="auto" w:fill="D9D9D9" w:themeFill="background1" w:themeFillShade="D9"/>
            <w:noWrap/>
            <w:vAlign w:val="bottom"/>
            <w:hideMark/>
          </w:tcPr>
          <w:p w14:paraId="71EDE888"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2030</w:t>
            </w:r>
          </w:p>
        </w:tc>
        <w:tc>
          <w:tcPr>
            <w:tcW w:w="677" w:type="dxa"/>
            <w:tcBorders>
              <w:top w:val="nil"/>
              <w:bottom w:val="single" w:sz="4" w:space="0" w:color="auto"/>
            </w:tcBorders>
            <w:shd w:val="clear" w:color="auto" w:fill="D9D9D9" w:themeFill="background1" w:themeFillShade="D9"/>
            <w:noWrap/>
            <w:vAlign w:val="bottom"/>
            <w:hideMark/>
          </w:tcPr>
          <w:p w14:paraId="4EFE9B39"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2040</w:t>
            </w:r>
          </w:p>
        </w:tc>
        <w:tc>
          <w:tcPr>
            <w:tcW w:w="720" w:type="dxa"/>
            <w:tcBorders>
              <w:top w:val="nil"/>
              <w:bottom w:val="single" w:sz="4" w:space="0" w:color="auto"/>
              <w:right w:val="single" w:sz="4" w:space="0" w:color="auto"/>
            </w:tcBorders>
            <w:shd w:val="clear" w:color="auto" w:fill="D9D9D9" w:themeFill="background1" w:themeFillShade="D9"/>
            <w:noWrap/>
            <w:vAlign w:val="bottom"/>
            <w:hideMark/>
          </w:tcPr>
          <w:p w14:paraId="1895B040"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2050</w:t>
            </w:r>
          </w:p>
        </w:tc>
        <w:tc>
          <w:tcPr>
            <w:tcW w:w="637" w:type="dxa"/>
            <w:tcBorders>
              <w:top w:val="nil"/>
              <w:left w:val="single" w:sz="4" w:space="0" w:color="auto"/>
              <w:bottom w:val="single" w:sz="4" w:space="0" w:color="auto"/>
            </w:tcBorders>
            <w:shd w:val="clear" w:color="auto" w:fill="D9D9D9" w:themeFill="background1" w:themeFillShade="D9"/>
            <w:noWrap/>
            <w:vAlign w:val="bottom"/>
            <w:hideMark/>
          </w:tcPr>
          <w:p w14:paraId="41975939"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2010</w:t>
            </w:r>
          </w:p>
        </w:tc>
        <w:tc>
          <w:tcPr>
            <w:tcW w:w="680" w:type="dxa"/>
            <w:tcBorders>
              <w:top w:val="nil"/>
              <w:bottom w:val="single" w:sz="4" w:space="0" w:color="auto"/>
            </w:tcBorders>
            <w:shd w:val="clear" w:color="auto" w:fill="D9D9D9" w:themeFill="background1" w:themeFillShade="D9"/>
            <w:noWrap/>
            <w:vAlign w:val="bottom"/>
            <w:hideMark/>
          </w:tcPr>
          <w:p w14:paraId="6646AE9B"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2020</w:t>
            </w:r>
          </w:p>
        </w:tc>
        <w:tc>
          <w:tcPr>
            <w:tcW w:w="680" w:type="dxa"/>
            <w:tcBorders>
              <w:top w:val="nil"/>
              <w:bottom w:val="single" w:sz="4" w:space="0" w:color="auto"/>
            </w:tcBorders>
            <w:shd w:val="clear" w:color="auto" w:fill="D9D9D9" w:themeFill="background1" w:themeFillShade="D9"/>
            <w:noWrap/>
            <w:vAlign w:val="bottom"/>
            <w:hideMark/>
          </w:tcPr>
          <w:p w14:paraId="40A5546A"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2030</w:t>
            </w:r>
          </w:p>
        </w:tc>
        <w:tc>
          <w:tcPr>
            <w:tcW w:w="780" w:type="dxa"/>
            <w:tcBorders>
              <w:top w:val="nil"/>
              <w:bottom w:val="single" w:sz="4" w:space="0" w:color="auto"/>
            </w:tcBorders>
            <w:shd w:val="clear" w:color="auto" w:fill="D9D9D9" w:themeFill="background1" w:themeFillShade="D9"/>
            <w:noWrap/>
            <w:vAlign w:val="bottom"/>
            <w:hideMark/>
          </w:tcPr>
          <w:p w14:paraId="21A433C3" w14:textId="77777777" w:rsidR="008903F7" w:rsidRPr="009F19BD" w:rsidRDefault="008903F7" w:rsidP="00B50CDC">
            <w:pPr>
              <w:jc w:val="right"/>
              <w:rPr>
                <w:rFonts w:ascii="Times New Roman" w:eastAsia="Times New Roman" w:hAnsi="Times New Roman" w:cs="Times New Roman"/>
                <w:b/>
                <w:bCs/>
                <w:color w:val="000000"/>
                <w:lang w:eastAsia="en-GB"/>
              </w:rPr>
            </w:pPr>
            <w:r w:rsidRPr="009F19BD">
              <w:rPr>
                <w:rFonts w:ascii="Times New Roman" w:eastAsia="Times New Roman" w:hAnsi="Times New Roman" w:cs="Times New Roman"/>
                <w:b/>
                <w:bCs/>
                <w:color w:val="000000"/>
                <w:lang w:eastAsia="en-GB"/>
              </w:rPr>
              <w:t>2050</w:t>
            </w:r>
          </w:p>
        </w:tc>
      </w:tr>
      <w:tr w:rsidR="008903F7" w:rsidRPr="009F19BD" w14:paraId="4702C2A3" w14:textId="77777777" w:rsidTr="00B50CDC">
        <w:trPr>
          <w:trHeight w:val="300"/>
        </w:trPr>
        <w:tc>
          <w:tcPr>
            <w:tcW w:w="2547" w:type="dxa"/>
            <w:tcBorders>
              <w:top w:val="single" w:sz="4" w:space="0" w:color="auto"/>
              <w:bottom w:val="nil"/>
              <w:right w:val="single" w:sz="4" w:space="0" w:color="auto"/>
            </w:tcBorders>
            <w:shd w:val="clear" w:color="auto" w:fill="auto"/>
            <w:noWrap/>
            <w:vAlign w:val="bottom"/>
            <w:hideMark/>
          </w:tcPr>
          <w:p w14:paraId="647E4A1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MSW combustion</w:t>
            </w:r>
          </w:p>
        </w:tc>
        <w:tc>
          <w:tcPr>
            <w:tcW w:w="834" w:type="dxa"/>
            <w:tcBorders>
              <w:top w:val="single" w:sz="4" w:space="0" w:color="auto"/>
              <w:left w:val="single" w:sz="4" w:space="0" w:color="auto"/>
              <w:bottom w:val="nil"/>
            </w:tcBorders>
            <w:shd w:val="clear" w:color="auto" w:fill="auto"/>
            <w:noWrap/>
            <w:vAlign w:val="bottom"/>
            <w:hideMark/>
          </w:tcPr>
          <w:p w14:paraId="5BEE634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5236</w:t>
            </w:r>
          </w:p>
        </w:tc>
        <w:tc>
          <w:tcPr>
            <w:tcW w:w="677" w:type="dxa"/>
            <w:tcBorders>
              <w:top w:val="single" w:sz="4" w:space="0" w:color="auto"/>
              <w:bottom w:val="nil"/>
            </w:tcBorders>
            <w:shd w:val="clear" w:color="auto" w:fill="auto"/>
            <w:noWrap/>
            <w:vAlign w:val="bottom"/>
            <w:hideMark/>
          </w:tcPr>
          <w:p w14:paraId="6363505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4862</w:t>
            </w:r>
          </w:p>
        </w:tc>
        <w:tc>
          <w:tcPr>
            <w:tcW w:w="677" w:type="dxa"/>
            <w:tcBorders>
              <w:top w:val="single" w:sz="4" w:space="0" w:color="auto"/>
              <w:bottom w:val="nil"/>
            </w:tcBorders>
            <w:shd w:val="clear" w:color="auto" w:fill="auto"/>
            <w:noWrap/>
            <w:vAlign w:val="bottom"/>
            <w:hideMark/>
          </w:tcPr>
          <w:p w14:paraId="740EFB1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4488</w:t>
            </w:r>
          </w:p>
        </w:tc>
        <w:tc>
          <w:tcPr>
            <w:tcW w:w="677" w:type="dxa"/>
            <w:tcBorders>
              <w:top w:val="single" w:sz="4" w:space="0" w:color="auto"/>
              <w:bottom w:val="nil"/>
            </w:tcBorders>
            <w:shd w:val="clear" w:color="auto" w:fill="auto"/>
            <w:noWrap/>
            <w:vAlign w:val="bottom"/>
            <w:hideMark/>
          </w:tcPr>
          <w:p w14:paraId="7DC486FC" w14:textId="77777777" w:rsidR="008903F7" w:rsidRPr="009F19BD" w:rsidRDefault="008903F7" w:rsidP="00B50CDC">
            <w:pPr>
              <w:pStyle w:val="NoSpacing"/>
              <w:rPr>
                <w:rFonts w:ascii="Times New Roman" w:hAnsi="Times New Roman" w:cs="Times New Roman"/>
                <w:lang w:eastAsia="en-GB"/>
              </w:rPr>
            </w:pPr>
          </w:p>
        </w:tc>
        <w:tc>
          <w:tcPr>
            <w:tcW w:w="720" w:type="dxa"/>
            <w:tcBorders>
              <w:top w:val="single" w:sz="4" w:space="0" w:color="auto"/>
              <w:bottom w:val="nil"/>
              <w:right w:val="single" w:sz="4" w:space="0" w:color="auto"/>
            </w:tcBorders>
            <w:shd w:val="clear" w:color="auto" w:fill="auto"/>
            <w:noWrap/>
            <w:vAlign w:val="bottom"/>
            <w:hideMark/>
          </w:tcPr>
          <w:p w14:paraId="777B70B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4114</w:t>
            </w:r>
          </w:p>
        </w:tc>
        <w:tc>
          <w:tcPr>
            <w:tcW w:w="637" w:type="dxa"/>
            <w:tcBorders>
              <w:top w:val="single" w:sz="4" w:space="0" w:color="auto"/>
              <w:left w:val="single" w:sz="4" w:space="0" w:color="auto"/>
              <w:bottom w:val="nil"/>
            </w:tcBorders>
            <w:shd w:val="clear" w:color="auto" w:fill="auto"/>
            <w:noWrap/>
            <w:vAlign w:val="bottom"/>
            <w:hideMark/>
          </w:tcPr>
          <w:p w14:paraId="559F664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23</w:t>
            </w:r>
          </w:p>
        </w:tc>
        <w:tc>
          <w:tcPr>
            <w:tcW w:w="680" w:type="dxa"/>
            <w:tcBorders>
              <w:top w:val="single" w:sz="4" w:space="0" w:color="auto"/>
              <w:bottom w:val="nil"/>
            </w:tcBorders>
            <w:shd w:val="clear" w:color="auto" w:fill="auto"/>
            <w:noWrap/>
            <w:vAlign w:val="bottom"/>
            <w:hideMark/>
          </w:tcPr>
          <w:p w14:paraId="5F24B21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27</w:t>
            </w:r>
          </w:p>
        </w:tc>
        <w:tc>
          <w:tcPr>
            <w:tcW w:w="680" w:type="dxa"/>
            <w:tcBorders>
              <w:top w:val="single" w:sz="4" w:space="0" w:color="auto"/>
              <w:bottom w:val="nil"/>
            </w:tcBorders>
            <w:shd w:val="clear" w:color="auto" w:fill="auto"/>
            <w:noWrap/>
            <w:vAlign w:val="bottom"/>
            <w:hideMark/>
          </w:tcPr>
          <w:p w14:paraId="1DD15B4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30</w:t>
            </w:r>
          </w:p>
        </w:tc>
        <w:tc>
          <w:tcPr>
            <w:tcW w:w="780" w:type="dxa"/>
            <w:tcBorders>
              <w:top w:val="single" w:sz="4" w:space="0" w:color="auto"/>
              <w:bottom w:val="nil"/>
            </w:tcBorders>
            <w:shd w:val="clear" w:color="auto" w:fill="auto"/>
            <w:noWrap/>
            <w:vAlign w:val="bottom"/>
            <w:hideMark/>
          </w:tcPr>
          <w:p w14:paraId="03A75F6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33</w:t>
            </w:r>
          </w:p>
        </w:tc>
      </w:tr>
      <w:tr w:rsidR="008903F7" w:rsidRPr="009F19BD" w14:paraId="0819B3E0"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4FF1BC1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Bioenergy combustion</w:t>
            </w:r>
          </w:p>
        </w:tc>
        <w:tc>
          <w:tcPr>
            <w:tcW w:w="834" w:type="dxa"/>
            <w:tcBorders>
              <w:top w:val="nil"/>
              <w:left w:val="single" w:sz="4" w:space="0" w:color="auto"/>
              <w:bottom w:val="nil"/>
            </w:tcBorders>
            <w:shd w:val="clear" w:color="auto" w:fill="auto"/>
            <w:noWrap/>
            <w:vAlign w:val="bottom"/>
            <w:hideMark/>
          </w:tcPr>
          <w:p w14:paraId="07CA504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2618</w:t>
            </w:r>
          </w:p>
        </w:tc>
        <w:tc>
          <w:tcPr>
            <w:tcW w:w="677" w:type="dxa"/>
            <w:tcBorders>
              <w:top w:val="nil"/>
              <w:bottom w:val="nil"/>
            </w:tcBorders>
            <w:shd w:val="clear" w:color="auto" w:fill="auto"/>
            <w:noWrap/>
            <w:vAlign w:val="bottom"/>
            <w:hideMark/>
          </w:tcPr>
          <w:p w14:paraId="77772A1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2431</w:t>
            </w:r>
          </w:p>
        </w:tc>
        <w:tc>
          <w:tcPr>
            <w:tcW w:w="677" w:type="dxa"/>
            <w:tcBorders>
              <w:top w:val="nil"/>
              <w:bottom w:val="nil"/>
            </w:tcBorders>
            <w:shd w:val="clear" w:color="auto" w:fill="auto"/>
            <w:noWrap/>
            <w:vAlign w:val="bottom"/>
            <w:hideMark/>
          </w:tcPr>
          <w:p w14:paraId="3196437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2244</w:t>
            </w:r>
          </w:p>
        </w:tc>
        <w:tc>
          <w:tcPr>
            <w:tcW w:w="677" w:type="dxa"/>
            <w:tcBorders>
              <w:top w:val="nil"/>
              <w:bottom w:val="nil"/>
            </w:tcBorders>
            <w:shd w:val="clear" w:color="auto" w:fill="auto"/>
            <w:noWrap/>
            <w:vAlign w:val="bottom"/>
            <w:hideMark/>
          </w:tcPr>
          <w:p w14:paraId="6CA806EC"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051E76E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2057</w:t>
            </w:r>
          </w:p>
        </w:tc>
        <w:tc>
          <w:tcPr>
            <w:tcW w:w="637" w:type="dxa"/>
            <w:tcBorders>
              <w:top w:val="nil"/>
              <w:left w:val="single" w:sz="4" w:space="0" w:color="auto"/>
              <w:bottom w:val="nil"/>
            </w:tcBorders>
            <w:shd w:val="clear" w:color="auto" w:fill="auto"/>
            <w:noWrap/>
            <w:vAlign w:val="bottom"/>
            <w:hideMark/>
          </w:tcPr>
          <w:p w14:paraId="7CC38C5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28</w:t>
            </w:r>
          </w:p>
        </w:tc>
        <w:tc>
          <w:tcPr>
            <w:tcW w:w="680" w:type="dxa"/>
            <w:tcBorders>
              <w:top w:val="nil"/>
              <w:bottom w:val="nil"/>
            </w:tcBorders>
            <w:shd w:val="clear" w:color="auto" w:fill="auto"/>
            <w:noWrap/>
            <w:vAlign w:val="bottom"/>
            <w:hideMark/>
          </w:tcPr>
          <w:p w14:paraId="74EC20C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c>
          <w:tcPr>
            <w:tcW w:w="680" w:type="dxa"/>
            <w:tcBorders>
              <w:top w:val="nil"/>
              <w:bottom w:val="nil"/>
            </w:tcBorders>
            <w:shd w:val="clear" w:color="auto" w:fill="auto"/>
            <w:noWrap/>
            <w:vAlign w:val="bottom"/>
            <w:hideMark/>
          </w:tcPr>
          <w:p w14:paraId="21B2423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34</w:t>
            </w:r>
          </w:p>
        </w:tc>
        <w:tc>
          <w:tcPr>
            <w:tcW w:w="780" w:type="dxa"/>
            <w:tcBorders>
              <w:top w:val="nil"/>
              <w:bottom w:val="nil"/>
            </w:tcBorders>
            <w:shd w:val="clear" w:color="auto" w:fill="auto"/>
            <w:noWrap/>
            <w:vAlign w:val="bottom"/>
            <w:hideMark/>
          </w:tcPr>
          <w:p w14:paraId="4EA4172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37</w:t>
            </w:r>
          </w:p>
        </w:tc>
      </w:tr>
      <w:tr w:rsidR="008903F7" w:rsidRPr="009F19BD" w14:paraId="291BE033"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5D16576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Bioenergy combustion (</w:t>
            </w:r>
            <w:proofErr w:type="spellStart"/>
            <w:r w:rsidRPr="009F19BD">
              <w:rPr>
                <w:rFonts w:ascii="Times New Roman" w:hAnsi="Times New Roman" w:cs="Times New Roman"/>
                <w:lang w:eastAsia="en-GB"/>
              </w:rPr>
              <w:t>dcn</w:t>
            </w:r>
            <w:proofErr w:type="spellEnd"/>
            <w:r w:rsidRPr="009F19BD">
              <w:rPr>
                <w:rFonts w:ascii="Times New Roman" w:hAnsi="Times New Roman" w:cs="Times New Roman"/>
                <w:lang w:eastAsia="en-GB"/>
              </w:rPr>
              <w:t xml:space="preserve">) </w:t>
            </w:r>
          </w:p>
        </w:tc>
        <w:tc>
          <w:tcPr>
            <w:tcW w:w="834" w:type="dxa"/>
            <w:tcBorders>
              <w:top w:val="nil"/>
              <w:left w:val="single" w:sz="4" w:space="0" w:color="auto"/>
              <w:bottom w:val="nil"/>
            </w:tcBorders>
            <w:shd w:val="clear" w:color="auto" w:fill="auto"/>
            <w:noWrap/>
            <w:vAlign w:val="bottom"/>
            <w:hideMark/>
          </w:tcPr>
          <w:p w14:paraId="3D2367F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2880</w:t>
            </w:r>
          </w:p>
        </w:tc>
        <w:tc>
          <w:tcPr>
            <w:tcW w:w="677" w:type="dxa"/>
            <w:tcBorders>
              <w:top w:val="nil"/>
              <w:bottom w:val="nil"/>
            </w:tcBorders>
            <w:shd w:val="clear" w:color="auto" w:fill="auto"/>
            <w:noWrap/>
            <w:vAlign w:val="bottom"/>
            <w:hideMark/>
          </w:tcPr>
          <w:p w14:paraId="1257C03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2674</w:t>
            </w:r>
          </w:p>
        </w:tc>
        <w:tc>
          <w:tcPr>
            <w:tcW w:w="677" w:type="dxa"/>
            <w:tcBorders>
              <w:top w:val="nil"/>
              <w:bottom w:val="nil"/>
            </w:tcBorders>
            <w:shd w:val="clear" w:color="auto" w:fill="auto"/>
            <w:noWrap/>
            <w:vAlign w:val="bottom"/>
            <w:hideMark/>
          </w:tcPr>
          <w:p w14:paraId="4B75461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2468</w:t>
            </w:r>
          </w:p>
        </w:tc>
        <w:tc>
          <w:tcPr>
            <w:tcW w:w="677" w:type="dxa"/>
            <w:tcBorders>
              <w:top w:val="nil"/>
              <w:bottom w:val="nil"/>
            </w:tcBorders>
            <w:shd w:val="clear" w:color="auto" w:fill="auto"/>
            <w:noWrap/>
            <w:vAlign w:val="bottom"/>
            <w:hideMark/>
          </w:tcPr>
          <w:p w14:paraId="6D0E807F"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6064856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2263</w:t>
            </w:r>
          </w:p>
        </w:tc>
        <w:tc>
          <w:tcPr>
            <w:tcW w:w="637" w:type="dxa"/>
            <w:tcBorders>
              <w:top w:val="nil"/>
              <w:left w:val="single" w:sz="4" w:space="0" w:color="auto"/>
              <w:bottom w:val="nil"/>
            </w:tcBorders>
            <w:shd w:val="clear" w:color="auto" w:fill="auto"/>
            <w:noWrap/>
            <w:vAlign w:val="bottom"/>
            <w:hideMark/>
          </w:tcPr>
          <w:p w14:paraId="0B5F285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28</w:t>
            </w:r>
          </w:p>
        </w:tc>
        <w:tc>
          <w:tcPr>
            <w:tcW w:w="680" w:type="dxa"/>
            <w:tcBorders>
              <w:top w:val="nil"/>
              <w:bottom w:val="nil"/>
            </w:tcBorders>
            <w:shd w:val="clear" w:color="auto" w:fill="auto"/>
            <w:noWrap/>
            <w:vAlign w:val="bottom"/>
            <w:hideMark/>
          </w:tcPr>
          <w:p w14:paraId="5C9AB27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c>
          <w:tcPr>
            <w:tcW w:w="680" w:type="dxa"/>
            <w:tcBorders>
              <w:top w:val="nil"/>
              <w:bottom w:val="nil"/>
            </w:tcBorders>
            <w:shd w:val="clear" w:color="auto" w:fill="auto"/>
            <w:noWrap/>
            <w:vAlign w:val="bottom"/>
            <w:hideMark/>
          </w:tcPr>
          <w:p w14:paraId="35BCA56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34</w:t>
            </w:r>
          </w:p>
        </w:tc>
        <w:tc>
          <w:tcPr>
            <w:tcW w:w="780" w:type="dxa"/>
            <w:tcBorders>
              <w:top w:val="nil"/>
              <w:bottom w:val="nil"/>
            </w:tcBorders>
            <w:shd w:val="clear" w:color="auto" w:fill="auto"/>
            <w:noWrap/>
            <w:vAlign w:val="bottom"/>
            <w:hideMark/>
          </w:tcPr>
          <w:p w14:paraId="2121CF5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37</w:t>
            </w:r>
          </w:p>
        </w:tc>
      </w:tr>
      <w:tr w:rsidR="008903F7" w:rsidRPr="009F19BD" w14:paraId="442C1B82"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2D74C2B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Bioenergy gasification</w:t>
            </w:r>
          </w:p>
        </w:tc>
        <w:tc>
          <w:tcPr>
            <w:tcW w:w="834" w:type="dxa"/>
            <w:tcBorders>
              <w:top w:val="nil"/>
              <w:left w:val="single" w:sz="4" w:space="0" w:color="auto"/>
              <w:bottom w:val="nil"/>
            </w:tcBorders>
            <w:shd w:val="clear" w:color="auto" w:fill="auto"/>
            <w:noWrap/>
            <w:vAlign w:val="bottom"/>
            <w:hideMark/>
          </w:tcPr>
          <w:p w14:paraId="735EDD8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3080</w:t>
            </w:r>
          </w:p>
        </w:tc>
        <w:tc>
          <w:tcPr>
            <w:tcW w:w="677" w:type="dxa"/>
            <w:tcBorders>
              <w:top w:val="nil"/>
              <w:bottom w:val="nil"/>
            </w:tcBorders>
            <w:shd w:val="clear" w:color="auto" w:fill="auto"/>
            <w:noWrap/>
            <w:vAlign w:val="bottom"/>
            <w:hideMark/>
          </w:tcPr>
          <w:p w14:paraId="1965E90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2860</w:t>
            </w:r>
          </w:p>
        </w:tc>
        <w:tc>
          <w:tcPr>
            <w:tcW w:w="677" w:type="dxa"/>
            <w:tcBorders>
              <w:top w:val="nil"/>
              <w:bottom w:val="nil"/>
            </w:tcBorders>
            <w:shd w:val="clear" w:color="auto" w:fill="auto"/>
            <w:noWrap/>
            <w:vAlign w:val="bottom"/>
            <w:hideMark/>
          </w:tcPr>
          <w:p w14:paraId="75A9689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2640</w:t>
            </w:r>
          </w:p>
        </w:tc>
        <w:tc>
          <w:tcPr>
            <w:tcW w:w="677" w:type="dxa"/>
            <w:tcBorders>
              <w:top w:val="nil"/>
              <w:bottom w:val="nil"/>
            </w:tcBorders>
            <w:shd w:val="clear" w:color="auto" w:fill="auto"/>
            <w:noWrap/>
            <w:vAlign w:val="bottom"/>
            <w:hideMark/>
          </w:tcPr>
          <w:p w14:paraId="7F1F3C47"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6C5869B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2420</w:t>
            </w:r>
          </w:p>
        </w:tc>
        <w:tc>
          <w:tcPr>
            <w:tcW w:w="637" w:type="dxa"/>
            <w:tcBorders>
              <w:top w:val="nil"/>
              <w:left w:val="single" w:sz="4" w:space="0" w:color="auto"/>
              <w:bottom w:val="nil"/>
            </w:tcBorders>
            <w:shd w:val="clear" w:color="auto" w:fill="auto"/>
            <w:noWrap/>
            <w:vAlign w:val="bottom"/>
            <w:hideMark/>
          </w:tcPr>
          <w:p w14:paraId="16DBE64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c>
          <w:tcPr>
            <w:tcW w:w="680" w:type="dxa"/>
            <w:tcBorders>
              <w:top w:val="nil"/>
              <w:bottom w:val="nil"/>
            </w:tcBorders>
            <w:shd w:val="clear" w:color="auto" w:fill="auto"/>
            <w:noWrap/>
            <w:vAlign w:val="bottom"/>
            <w:hideMark/>
          </w:tcPr>
          <w:p w14:paraId="0D1CE03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34</w:t>
            </w:r>
          </w:p>
        </w:tc>
        <w:tc>
          <w:tcPr>
            <w:tcW w:w="680" w:type="dxa"/>
            <w:tcBorders>
              <w:top w:val="nil"/>
              <w:bottom w:val="nil"/>
            </w:tcBorders>
            <w:shd w:val="clear" w:color="auto" w:fill="auto"/>
            <w:noWrap/>
            <w:vAlign w:val="bottom"/>
            <w:hideMark/>
          </w:tcPr>
          <w:p w14:paraId="27D29C5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37</w:t>
            </w:r>
          </w:p>
        </w:tc>
        <w:tc>
          <w:tcPr>
            <w:tcW w:w="780" w:type="dxa"/>
            <w:tcBorders>
              <w:top w:val="nil"/>
              <w:bottom w:val="nil"/>
            </w:tcBorders>
            <w:shd w:val="clear" w:color="auto" w:fill="auto"/>
            <w:noWrap/>
            <w:vAlign w:val="bottom"/>
            <w:hideMark/>
          </w:tcPr>
          <w:p w14:paraId="55C365F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40</w:t>
            </w:r>
          </w:p>
        </w:tc>
      </w:tr>
      <w:tr w:rsidR="008903F7" w:rsidRPr="009F19BD" w14:paraId="42178576" w14:textId="77777777" w:rsidTr="00B50CDC">
        <w:trPr>
          <w:trHeight w:val="300"/>
        </w:trPr>
        <w:tc>
          <w:tcPr>
            <w:tcW w:w="2547" w:type="dxa"/>
            <w:tcBorders>
              <w:top w:val="nil"/>
              <w:bottom w:val="single" w:sz="4" w:space="0" w:color="auto"/>
              <w:right w:val="single" w:sz="4" w:space="0" w:color="auto"/>
            </w:tcBorders>
            <w:shd w:val="clear" w:color="auto" w:fill="auto"/>
            <w:noWrap/>
            <w:vAlign w:val="bottom"/>
            <w:hideMark/>
          </w:tcPr>
          <w:p w14:paraId="6B28357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Bioenergy gasification (</w:t>
            </w:r>
            <w:proofErr w:type="spellStart"/>
            <w:r w:rsidRPr="009F19BD">
              <w:rPr>
                <w:rFonts w:ascii="Times New Roman" w:hAnsi="Times New Roman" w:cs="Times New Roman"/>
                <w:lang w:eastAsia="en-GB"/>
              </w:rPr>
              <w:t>dcn</w:t>
            </w:r>
            <w:proofErr w:type="spellEnd"/>
            <w:r w:rsidRPr="009F19BD">
              <w:rPr>
                <w:rFonts w:ascii="Times New Roman" w:hAnsi="Times New Roman" w:cs="Times New Roman"/>
                <w:lang w:eastAsia="en-GB"/>
              </w:rPr>
              <w:t xml:space="preserve">) </w:t>
            </w:r>
          </w:p>
        </w:tc>
        <w:tc>
          <w:tcPr>
            <w:tcW w:w="834" w:type="dxa"/>
            <w:tcBorders>
              <w:top w:val="nil"/>
              <w:left w:val="single" w:sz="4" w:space="0" w:color="auto"/>
              <w:bottom w:val="single" w:sz="4" w:space="0" w:color="auto"/>
            </w:tcBorders>
            <w:shd w:val="clear" w:color="auto" w:fill="auto"/>
            <w:noWrap/>
            <w:vAlign w:val="bottom"/>
            <w:hideMark/>
          </w:tcPr>
          <w:p w14:paraId="009753D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3388</w:t>
            </w:r>
          </w:p>
        </w:tc>
        <w:tc>
          <w:tcPr>
            <w:tcW w:w="677" w:type="dxa"/>
            <w:tcBorders>
              <w:top w:val="nil"/>
              <w:bottom w:val="single" w:sz="4" w:space="0" w:color="auto"/>
            </w:tcBorders>
            <w:shd w:val="clear" w:color="auto" w:fill="auto"/>
            <w:noWrap/>
            <w:vAlign w:val="bottom"/>
            <w:hideMark/>
          </w:tcPr>
          <w:p w14:paraId="4878620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3146</w:t>
            </w:r>
          </w:p>
        </w:tc>
        <w:tc>
          <w:tcPr>
            <w:tcW w:w="677" w:type="dxa"/>
            <w:tcBorders>
              <w:top w:val="nil"/>
              <w:bottom w:val="single" w:sz="4" w:space="0" w:color="auto"/>
            </w:tcBorders>
            <w:shd w:val="clear" w:color="auto" w:fill="auto"/>
            <w:noWrap/>
            <w:vAlign w:val="bottom"/>
            <w:hideMark/>
          </w:tcPr>
          <w:p w14:paraId="4D54A6B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2904</w:t>
            </w:r>
          </w:p>
        </w:tc>
        <w:tc>
          <w:tcPr>
            <w:tcW w:w="677" w:type="dxa"/>
            <w:tcBorders>
              <w:top w:val="nil"/>
              <w:bottom w:val="single" w:sz="4" w:space="0" w:color="auto"/>
            </w:tcBorders>
            <w:shd w:val="clear" w:color="auto" w:fill="auto"/>
            <w:noWrap/>
            <w:vAlign w:val="bottom"/>
            <w:hideMark/>
          </w:tcPr>
          <w:p w14:paraId="438CA46E"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single" w:sz="4" w:space="0" w:color="auto"/>
              <w:right w:val="single" w:sz="4" w:space="0" w:color="auto"/>
            </w:tcBorders>
            <w:shd w:val="clear" w:color="auto" w:fill="auto"/>
            <w:noWrap/>
            <w:vAlign w:val="bottom"/>
            <w:hideMark/>
          </w:tcPr>
          <w:p w14:paraId="058CE3A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2662</w:t>
            </w:r>
          </w:p>
        </w:tc>
        <w:tc>
          <w:tcPr>
            <w:tcW w:w="637" w:type="dxa"/>
            <w:tcBorders>
              <w:top w:val="nil"/>
              <w:left w:val="single" w:sz="4" w:space="0" w:color="auto"/>
              <w:bottom w:val="single" w:sz="4" w:space="0" w:color="auto"/>
            </w:tcBorders>
            <w:shd w:val="clear" w:color="auto" w:fill="auto"/>
            <w:noWrap/>
            <w:vAlign w:val="bottom"/>
            <w:hideMark/>
          </w:tcPr>
          <w:p w14:paraId="090679C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c>
          <w:tcPr>
            <w:tcW w:w="680" w:type="dxa"/>
            <w:tcBorders>
              <w:top w:val="nil"/>
              <w:bottom w:val="single" w:sz="4" w:space="0" w:color="auto"/>
            </w:tcBorders>
            <w:shd w:val="clear" w:color="auto" w:fill="auto"/>
            <w:noWrap/>
            <w:vAlign w:val="bottom"/>
            <w:hideMark/>
          </w:tcPr>
          <w:p w14:paraId="58798CC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34</w:t>
            </w:r>
          </w:p>
        </w:tc>
        <w:tc>
          <w:tcPr>
            <w:tcW w:w="680" w:type="dxa"/>
            <w:tcBorders>
              <w:top w:val="nil"/>
              <w:bottom w:val="single" w:sz="4" w:space="0" w:color="auto"/>
            </w:tcBorders>
            <w:shd w:val="clear" w:color="auto" w:fill="auto"/>
            <w:noWrap/>
            <w:vAlign w:val="bottom"/>
            <w:hideMark/>
          </w:tcPr>
          <w:p w14:paraId="4A1B43F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37</w:t>
            </w:r>
          </w:p>
        </w:tc>
        <w:tc>
          <w:tcPr>
            <w:tcW w:w="780" w:type="dxa"/>
            <w:tcBorders>
              <w:top w:val="nil"/>
              <w:bottom w:val="single" w:sz="4" w:space="0" w:color="auto"/>
            </w:tcBorders>
            <w:shd w:val="clear" w:color="auto" w:fill="auto"/>
            <w:noWrap/>
            <w:vAlign w:val="bottom"/>
            <w:hideMark/>
          </w:tcPr>
          <w:p w14:paraId="130BADC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40</w:t>
            </w:r>
          </w:p>
        </w:tc>
      </w:tr>
      <w:tr w:rsidR="008903F7" w:rsidRPr="009F19BD" w14:paraId="35DE0EA4" w14:textId="77777777" w:rsidTr="00B50CDC">
        <w:trPr>
          <w:trHeight w:val="300"/>
        </w:trPr>
        <w:tc>
          <w:tcPr>
            <w:tcW w:w="2547" w:type="dxa"/>
            <w:tcBorders>
              <w:top w:val="single" w:sz="4" w:space="0" w:color="auto"/>
              <w:bottom w:val="nil"/>
              <w:right w:val="single" w:sz="4" w:space="0" w:color="auto"/>
            </w:tcBorders>
            <w:shd w:val="clear" w:color="auto" w:fill="auto"/>
            <w:noWrap/>
            <w:vAlign w:val="bottom"/>
            <w:hideMark/>
          </w:tcPr>
          <w:p w14:paraId="1B67E09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Coal IGCC</w:t>
            </w:r>
          </w:p>
        </w:tc>
        <w:tc>
          <w:tcPr>
            <w:tcW w:w="834" w:type="dxa"/>
            <w:tcBorders>
              <w:top w:val="single" w:sz="4" w:space="0" w:color="auto"/>
              <w:left w:val="single" w:sz="4" w:space="0" w:color="auto"/>
              <w:bottom w:val="nil"/>
            </w:tcBorders>
            <w:shd w:val="clear" w:color="auto" w:fill="auto"/>
            <w:noWrap/>
            <w:vAlign w:val="bottom"/>
            <w:hideMark/>
          </w:tcPr>
          <w:p w14:paraId="7B203A8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2376</w:t>
            </w:r>
          </w:p>
        </w:tc>
        <w:tc>
          <w:tcPr>
            <w:tcW w:w="677" w:type="dxa"/>
            <w:tcBorders>
              <w:top w:val="single" w:sz="4" w:space="0" w:color="auto"/>
              <w:bottom w:val="nil"/>
            </w:tcBorders>
            <w:shd w:val="clear" w:color="auto" w:fill="auto"/>
            <w:noWrap/>
            <w:vAlign w:val="bottom"/>
            <w:hideMark/>
          </w:tcPr>
          <w:p w14:paraId="1E722AEE" w14:textId="77777777" w:rsidR="008903F7" w:rsidRPr="009F19BD" w:rsidRDefault="008903F7" w:rsidP="00B50CDC">
            <w:pPr>
              <w:pStyle w:val="NoSpacing"/>
              <w:rPr>
                <w:rFonts w:ascii="Times New Roman" w:hAnsi="Times New Roman" w:cs="Times New Roman"/>
                <w:lang w:eastAsia="en-GB"/>
              </w:rPr>
            </w:pPr>
          </w:p>
        </w:tc>
        <w:tc>
          <w:tcPr>
            <w:tcW w:w="677" w:type="dxa"/>
            <w:tcBorders>
              <w:top w:val="single" w:sz="4" w:space="0" w:color="auto"/>
              <w:bottom w:val="nil"/>
            </w:tcBorders>
            <w:shd w:val="clear" w:color="auto" w:fill="auto"/>
            <w:noWrap/>
            <w:vAlign w:val="bottom"/>
            <w:hideMark/>
          </w:tcPr>
          <w:p w14:paraId="1CE5B6DE" w14:textId="77777777" w:rsidR="008903F7" w:rsidRPr="009F19BD" w:rsidRDefault="008903F7" w:rsidP="00B50CDC">
            <w:pPr>
              <w:pStyle w:val="NoSpacing"/>
              <w:rPr>
                <w:rFonts w:ascii="Times New Roman" w:hAnsi="Times New Roman" w:cs="Times New Roman"/>
                <w:lang w:eastAsia="en-GB"/>
              </w:rPr>
            </w:pPr>
          </w:p>
        </w:tc>
        <w:tc>
          <w:tcPr>
            <w:tcW w:w="677" w:type="dxa"/>
            <w:tcBorders>
              <w:top w:val="single" w:sz="4" w:space="0" w:color="auto"/>
              <w:bottom w:val="nil"/>
            </w:tcBorders>
            <w:shd w:val="clear" w:color="auto" w:fill="auto"/>
            <w:noWrap/>
            <w:vAlign w:val="bottom"/>
            <w:hideMark/>
          </w:tcPr>
          <w:p w14:paraId="33A52449" w14:textId="77777777" w:rsidR="008903F7" w:rsidRPr="009F19BD" w:rsidRDefault="008903F7" w:rsidP="00B50CDC">
            <w:pPr>
              <w:pStyle w:val="NoSpacing"/>
              <w:rPr>
                <w:rFonts w:ascii="Times New Roman" w:hAnsi="Times New Roman" w:cs="Times New Roman"/>
                <w:lang w:eastAsia="en-GB"/>
              </w:rPr>
            </w:pPr>
          </w:p>
        </w:tc>
        <w:tc>
          <w:tcPr>
            <w:tcW w:w="720" w:type="dxa"/>
            <w:tcBorders>
              <w:top w:val="single" w:sz="4" w:space="0" w:color="auto"/>
              <w:bottom w:val="nil"/>
              <w:right w:val="single" w:sz="4" w:space="0" w:color="auto"/>
            </w:tcBorders>
            <w:shd w:val="clear" w:color="auto" w:fill="auto"/>
            <w:noWrap/>
            <w:vAlign w:val="bottom"/>
            <w:hideMark/>
          </w:tcPr>
          <w:p w14:paraId="616DE2DA" w14:textId="77777777" w:rsidR="008903F7" w:rsidRPr="009F19BD" w:rsidRDefault="008903F7" w:rsidP="00B50CDC">
            <w:pPr>
              <w:pStyle w:val="NoSpacing"/>
              <w:rPr>
                <w:rFonts w:ascii="Times New Roman" w:hAnsi="Times New Roman" w:cs="Times New Roman"/>
                <w:lang w:eastAsia="en-GB"/>
              </w:rPr>
            </w:pPr>
          </w:p>
        </w:tc>
        <w:tc>
          <w:tcPr>
            <w:tcW w:w="637" w:type="dxa"/>
            <w:tcBorders>
              <w:top w:val="single" w:sz="4" w:space="0" w:color="auto"/>
              <w:left w:val="single" w:sz="4" w:space="0" w:color="auto"/>
              <w:bottom w:val="nil"/>
            </w:tcBorders>
            <w:shd w:val="clear" w:color="auto" w:fill="auto"/>
            <w:noWrap/>
            <w:vAlign w:val="bottom"/>
            <w:hideMark/>
          </w:tcPr>
          <w:p w14:paraId="4FA4B95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44</w:t>
            </w:r>
          </w:p>
        </w:tc>
        <w:tc>
          <w:tcPr>
            <w:tcW w:w="680" w:type="dxa"/>
            <w:tcBorders>
              <w:top w:val="single" w:sz="4" w:space="0" w:color="auto"/>
              <w:bottom w:val="nil"/>
            </w:tcBorders>
            <w:shd w:val="clear" w:color="auto" w:fill="auto"/>
            <w:noWrap/>
            <w:vAlign w:val="bottom"/>
            <w:hideMark/>
          </w:tcPr>
          <w:p w14:paraId="7D66E08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48</w:t>
            </w:r>
          </w:p>
        </w:tc>
        <w:tc>
          <w:tcPr>
            <w:tcW w:w="680" w:type="dxa"/>
            <w:tcBorders>
              <w:top w:val="single" w:sz="4" w:space="0" w:color="auto"/>
              <w:bottom w:val="nil"/>
            </w:tcBorders>
            <w:shd w:val="clear" w:color="auto" w:fill="auto"/>
            <w:noWrap/>
            <w:vAlign w:val="bottom"/>
            <w:hideMark/>
          </w:tcPr>
          <w:p w14:paraId="6EC13F8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51</w:t>
            </w:r>
          </w:p>
        </w:tc>
        <w:tc>
          <w:tcPr>
            <w:tcW w:w="780" w:type="dxa"/>
            <w:tcBorders>
              <w:top w:val="single" w:sz="4" w:space="0" w:color="auto"/>
              <w:bottom w:val="nil"/>
            </w:tcBorders>
            <w:shd w:val="clear" w:color="auto" w:fill="auto"/>
            <w:noWrap/>
            <w:vAlign w:val="bottom"/>
            <w:hideMark/>
          </w:tcPr>
          <w:p w14:paraId="06B055F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54</w:t>
            </w:r>
          </w:p>
        </w:tc>
      </w:tr>
      <w:tr w:rsidR="008903F7" w:rsidRPr="009F19BD" w14:paraId="523B3F95"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22E4685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Coal super critical</w:t>
            </w:r>
          </w:p>
        </w:tc>
        <w:tc>
          <w:tcPr>
            <w:tcW w:w="834" w:type="dxa"/>
            <w:tcBorders>
              <w:top w:val="nil"/>
              <w:left w:val="single" w:sz="4" w:space="0" w:color="auto"/>
              <w:bottom w:val="nil"/>
            </w:tcBorders>
            <w:shd w:val="clear" w:color="auto" w:fill="auto"/>
            <w:noWrap/>
            <w:vAlign w:val="bottom"/>
            <w:hideMark/>
          </w:tcPr>
          <w:p w14:paraId="2F84C03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1870</w:t>
            </w:r>
          </w:p>
        </w:tc>
        <w:tc>
          <w:tcPr>
            <w:tcW w:w="677" w:type="dxa"/>
            <w:tcBorders>
              <w:top w:val="nil"/>
              <w:bottom w:val="nil"/>
            </w:tcBorders>
            <w:shd w:val="clear" w:color="auto" w:fill="auto"/>
            <w:noWrap/>
            <w:vAlign w:val="bottom"/>
            <w:hideMark/>
          </w:tcPr>
          <w:p w14:paraId="12CF685C"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39E34B7E"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5FD3F1D8"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60F1D9D6" w14:textId="77777777" w:rsidR="008903F7" w:rsidRPr="009F19BD" w:rsidRDefault="008903F7" w:rsidP="00B50CDC">
            <w:pPr>
              <w:pStyle w:val="NoSpacing"/>
              <w:rPr>
                <w:rFonts w:ascii="Times New Roman" w:hAnsi="Times New Roman" w:cs="Times New Roman"/>
                <w:lang w:eastAsia="en-GB"/>
              </w:rPr>
            </w:pPr>
          </w:p>
        </w:tc>
        <w:tc>
          <w:tcPr>
            <w:tcW w:w="637" w:type="dxa"/>
            <w:tcBorders>
              <w:top w:val="nil"/>
              <w:left w:val="single" w:sz="4" w:space="0" w:color="auto"/>
              <w:bottom w:val="nil"/>
            </w:tcBorders>
            <w:shd w:val="clear" w:color="auto" w:fill="auto"/>
            <w:noWrap/>
            <w:vAlign w:val="bottom"/>
            <w:hideMark/>
          </w:tcPr>
          <w:p w14:paraId="393ED5F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41</w:t>
            </w:r>
          </w:p>
        </w:tc>
        <w:tc>
          <w:tcPr>
            <w:tcW w:w="680" w:type="dxa"/>
            <w:tcBorders>
              <w:top w:val="nil"/>
              <w:bottom w:val="nil"/>
            </w:tcBorders>
            <w:shd w:val="clear" w:color="auto" w:fill="auto"/>
            <w:noWrap/>
            <w:vAlign w:val="bottom"/>
            <w:hideMark/>
          </w:tcPr>
          <w:p w14:paraId="3AA220F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42</w:t>
            </w:r>
          </w:p>
        </w:tc>
        <w:tc>
          <w:tcPr>
            <w:tcW w:w="680" w:type="dxa"/>
            <w:tcBorders>
              <w:top w:val="nil"/>
              <w:bottom w:val="nil"/>
            </w:tcBorders>
            <w:shd w:val="clear" w:color="auto" w:fill="auto"/>
            <w:noWrap/>
            <w:vAlign w:val="bottom"/>
            <w:hideMark/>
          </w:tcPr>
          <w:p w14:paraId="78D6A5B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42</w:t>
            </w:r>
          </w:p>
        </w:tc>
        <w:tc>
          <w:tcPr>
            <w:tcW w:w="780" w:type="dxa"/>
            <w:tcBorders>
              <w:top w:val="nil"/>
              <w:bottom w:val="nil"/>
            </w:tcBorders>
            <w:shd w:val="clear" w:color="auto" w:fill="auto"/>
            <w:noWrap/>
            <w:vAlign w:val="bottom"/>
            <w:hideMark/>
          </w:tcPr>
          <w:p w14:paraId="5D9FB04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42</w:t>
            </w:r>
          </w:p>
        </w:tc>
      </w:tr>
      <w:tr w:rsidR="008903F7" w:rsidRPr="009F19BD" w14:paraId="65BA4DF7"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4603072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 xml:space="preserve">Coal </w:t>
            </w:r>
            <w:proofErr w:type="spellStart"/>
            <w:r w:rsidRPr="009F19BD">
              <w:rPr>
                <w:rFonts w:ascii="Times New Roman" w:hAnsi="Times New Roman" w:cs="Times New Roman"/>
                <w:lang w:eastAsia="en-GB"/>
              </w:rPr>
              <w:t>ultra super</w:t>
            </w:r>
            <w:proofErr w:type="spellEnd"/>
            <w:r w:rsidRPr="009F19BD">
              <w:rPr>
                <w:rFonts w:ascii="Times New Roman" w:hAnsi="Times New Roman" w:cs="Times New Roman"/>
                <w:lang w:eastAsia="en-GB"/>
              </w:rPr>
              <w:t xml:space="preserve"> critical</w:t>
            </w:r>
          </w:p>
        </w:tc>
        <w:tc>
          <w:tcPr>
            <w:tcW w:w="834" w:type="dxa"/>
            <w:tcBorders>
              <w:top w:val="nil"/>
              <w:left w:val="single" w:sz="4" w:space="0" w:color="auto"/>
              <w:bottom w:val="nil"/>
            </w:tcBorders>
            <w:shd w:val="clear" w:color="auto" w:fill="auto"/>
            <w:noWrap/>
            <w:vAlign w:val="bottom"/>
            <w:hideMark/>
          </w:tcPr>
          <w:p w14:paraId="7D363CB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2277</w:t>
            </w:r>
          </w:p>
        </w:tc>
        <w:tc>
          <w:tcPr>
            <w:tcW w:w="677" w:type="dxa"/>
            <w:tcBorders>
              <w:top w:val="nil"/>
              <w:bottom w:val="nil"/>
            </w:tcBorders>
            <w:shd w:val="clear" w:color="auto" w:fill="auto"/>
            <w:noWrap/>
            <w:vAlign w:val="bottom"/>
            <w:hideMark/>
          </w:tcPr>
          <w:p w14:paraId="24C3C7EB"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05D94609"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7B607B91"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3F7161A3" w14:textId="77777777" w:rsidR="008903F7" w:rsidRPr="009F19BD" w:rsidRDefault="008903F7" w:rsidP="00B50CDC">
            <w:pPr>
              <w:pStyle w:val="NoSpacing"/>
              <w:rPr>
                <w:rFonts w:ascii="Times New Roman" w:hAnsi="Times New Roman" w:cs="Times New Roman"/>
                <w:lang w:eastAsia="en-GB"/>
              </w:rPr>
            </w:pPr>
          </w:p>
        </w:tc>
        <w:tc>
          <w:tcPr>
            <w:tcW w:w="637" w:type="dxa"/>
            <w:tcBorders>
              <w:top w:val="nil"/>
              <w:left w:val="single" w:sz="4" w:space="0" w:color="auto"/>
              <w:bottom w:val="nil"/>
            </w:tcBorders>
            <w:shd w:val="clear" w:color="auto" w:fill="auto"/>
            <w:noWrap/>
            <w:vAlign w:val="bottom"/>
            <w:hideMark/>
          </w:tcPr>
          <w:p w14:paraId="7BBB7CB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46</w:t>
            </w:r>
          </w:p>
        </w:tc>
        <w:tc>
          <w:tcPr>
            <w:tcW w:w="680" w:type="dxa"/>
            <w:tcBorders>
              <w:top w:val="nil"/>
              <w:bottom w:val="nil"/>
            </w:tcBorders>
            <w:shd w:val="clear" w:color="auto" w:fill="auto"/>
            <w:noWrap/>
            <w:vAlign w:val="bottom"/>
            <w:hideMark/>
          </w:tcPr>
          <w:p w14:paraId="62AC2B6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48</w:t>
            </w:r>
          </w:p>
        </w:tc>
        <w:tc>
          <w:tcPr>
            <w:tcW w:w="680" w:type="dxa"/>
            <w:tcBorders>
              <w:top w:val="nil"/>
              <w:bottom w:val="nil"/>
            </w:tcBorders>
            <w:shd w:val="clear" w:color="auto" w:fill="auto"/>
            <w:noWrap/>
            <w:vAlign w:val="bottom"/>
            <w:hideMark/>
          </w:tcPr>
          <w:p w14:paraId="020B089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49</w:t>
            </w:r>
          </w:p>
        </w:tc>
        <w:tc>
          <w:tcPr>
            <w:tcW w:w="780" w:type="dxa"/>
            <w:tcBorders>
              <w:top w:val="nil"/>
              <w:bottom w:val="nil"/>
            </w:tcBorders>
            <w:shd w:val="clear" w:color="auto" w:fill="auto"/>
            <w:noWrap/>
            <w:vAlign w:val="bottom"/>
            <w:hideMark/>
          </w:tcPr>
          <w:p w14:paraId="7C550C0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50</w:t>
            </w:r>
          </w:p>
        </w:tc>
      </w:tr>
      <w:tr w:rsidR="008903F7" w:rsidRPr="009F19BD" w14:paraId="5A0D3414"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374DF82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Gas CCGT</w:t>
            </w:r>
          </w:p>
        </w:tc>
        <w:tc>
          <w:tcPr>
            <w:tcW w:w="834" w:type="dxa"/>
            <w:tcBorders>
              <w:top w:val="nil"/>
              <w:left w:val="single" w:sz="4" w:space="0" w:color="auto"/>
              <w:bottom w:val="nil"/>
            </w:tcBorders>
            <w:shd w:val="clear" w:color="auto" w:fill="auto"/>
            <w:noWrap/>
            <w:vAlign w:val="bottom"/>
            <w:hideMark/>
          </w:tcPr>
          <w:p w14:paraId="453536C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990</w:t>
            </w:r>
          </w:p>
        </w:tc>
        <w:tc>
          <w:tcPr>
            <w:tcW w:w="677" w:type="dxa"/>
            <w:tcBorders>
              <w:top w:val="nil"/>
              <w:bottom w:val="nil"/>
            </w:tcBorders>
            <w:shd w:val="clear" w:color="auto" w:fill="auto"/>
            <w:noWrap/>
            <w:vAlign w:val="bottom"/>
            <w:hideMark/>
          </w:tcPr>
          <w:p w14:paraId="25831E87"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3236D74B"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7CEE1F33"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562FE841" w14:textId="77777777" w:rsidR="008903F7" w:rsidRPr="009F19BD" w:rsidRDefault="008903F7" w:rsidP="00B50CDC">
            <w:pPr>
              <w:pStyle w:val="NoSpacing"/>
              <w:rPr>
                <w:rFonts w:ascii="Times New Roman" w:hAnsi="Times New Roman" w:cs="Times New Roman"/>
                <w:lang w:eastAsia="en-GB"/>
              </w:rPr>
            </w:pPr>
          </w:p>
        </w:tc>
        <w:tc>
          <w:tcPr>
            <w:tcW w:w="637" w:type="dxa"/>
            <w:tcBorders>
              <w:top w:val="nil"/>
              <w:left w:val="single" w:sz="4" w:space="0" w:color="auto"/>
              <w:bottom w:val="nil"/>
            </w:tcBorders>
            <w:shd w:val="clear" w:color="auto" w:fill="auto"/>
            <w:noWrap/>
            <w:vAlign w:val="bottom"/>
            <w:hideMark/>
          </w:tcPr>
          <w:p w14:paraId="06EDE1D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56</w:t>
            </w:r>
          </w:p>
        </w:tc>
        <w:tc>
          <w:tcPr>
            <w:tcW w:w="680" w:type="dxa"/>
            <w:tcBorders>
              <w:top w:val="nil"/>
              <w:bottom w:val="nil"/>
            </w:tcBorders>
            <w:shd w:val="clear" w:color="auto" w:fill="auto"/>
            <w:noWrap/>
            <w:vAlign w:val="bottom"/>
            <w:hideMark/>
          </w:tcPr>
          <w:p w14:paraId="6EFE32A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59</w:t>
            </w:r>
          </w:p>
        </w:tc>
        <w:tc>
          <w:tcPr>
            <w:tcW w:w="680" w:type="dxa"/>
            <w:tcBorders>
              <w:top w:val="nil"/>
              <w:bottom w:val="nil"/>
            </w:tcBorders>
            <w:shd w:val="clear" w:color="auto" w:fill="auto"/>
            <w:noWrap/>
            <w:vAlign w:val="bottom"/>
            <w:hideMark/>
          </w:tcPr>
          <w:p w14:paraId="28EADF7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61</w:t>
            </w:r>
          </w:p>
        </w:tc>
        <w:tc>
          <w:tcPr>
            <w:tcW w:w="780" w:type="dxa"/>
            <w:tcBorders>
              <w:top w:val="nil"/>
              <w:bottom w:val="nil"/>
            </w:tcBorders>
            <w:shd w:val="clear" w:color="auto" w:fill="auto"/>
            <w:noWrap/>
            <w:vAlign w:val="bottom"/>
            <w:hideMark/>
          </w:tcPr>
          <w:p w14:paraId="558B3F6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63</w:t>
            </w:r>
          </w:p>
        </w:tc>
      </w:tr>
      <w:tr w:rsidR="008903F7" w:rsidRPr="009F19BD" w14:paraId="7D11ACFD"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4793CA4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Oil generation (</w:t>
            </w:r>
            <w:proofErr w:type="spellStart"/>
            <w:r w:rsidRPr="009F19BD">
              <w:rPr>
                <w:rFonts w:ascii="Times New Roman" w:hAnsi="Times New Roman" w:cs="Times New Roman"/>
                <w:lang w:eastAsia="en-GB"/>
              </w:rPr>
              <w:t>dcn</w:t>
            </w:r>
            <w:proofErr w:type="spellEnd"/>
            <w:r w:rsidRPr="009F19BD">
              <w:rPr>
                <w:rFonts w:ascii="Times New Roman" w:hAnsi="Times New Roman" w:cs="Times New Roman"/>
                <w:lang w:eastAsia="en-GB"/>
              </w:rPr>
              <w:t>)</w:t>
            </w:r>
          </w:p>
        </w:tc>
        <w:tc>
          <w:tcPr>
            <w:tcW w:w="834" w:type="dxa"/>
            <w:tcBorders>
              <w:top w:val="nil"/>
              <w:left w:val="single" w:sz="4" w:space="0" w:color="auto"/>
              <w:bottom w:val="nil"/>
            </w:tcBorders>
            <w:shd w:val="clear" w:color="auto" w:fill="auto"/>
            <w:noWrap/>
            <w:vAlign w:val="bottom"/>
            <w:hideMark/>
          </w:tcPr>
          <w:p w14:paraId="0BC46FB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659</w:t>
            </w:r>
          </w:p>
        </w:tc>
        <w:tc>
          <w:tcPr>
            <w:tcW w:w="677" w:type="dxa"/>
            <w:tcBorders>
              <w:top w:val="nil"/>
              <w:bottom w:val="nil"/>
            </w:tcBorders>
            <w:shd w:val="clear" w:color="auto" w:fill="auto"/>
            <w:noWrap/>
            <w:vAlign w:val="bottom"/>
            <w:hideMark/>
          </w:tcPr>
          <w:p w14:paraId="09FEC2D5"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0D8528D1"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487B9FAF"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49A9DA89" w14:textId="77777777" w:rsidR="008903F7" w:rsidRPr="009F19BD" w:rsidRDefault="008903F7" w:rsidP="00B50CDC">
            <w:pPr>
              <w:pStyle w:val="NoSpacing"/>
              <w:rPr>
                <w:rFonts w:ascii="Times New Roman" w:hAnsi="Times New Roman" w:cs="Times New Roman"/>
                <w:lang w:eastAsia="en-GB"/>
              </w:rPr>
            </w:pPr>
          </w:p>
        </w:tc>
        <w:tc>
          <w:tcPr>
            <w:tcW w:w="637" w:type="dxa"/>
            <w:tcBorders>
              <w:top w:val="nil"/>
              <w:left w:val="single" w:sz="4" w:space="0" w:color="auto"/>
              <w:bottom w:val="nil"/>
            </w:tcBorders>
            <w:shd w:val="clear" w:color="auto" w:fill="auto"/>
            <w:noWrap/>
            <w:vAlign w:val="bottom"/>
            <w:hideMark/>
          </w:tcPr>
          <w:p w14:paraId="14318B1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c>
          <w:tcPr>
            <w:tcW w:w="680" w:type="dxa"/>
            <w:tcBorders>
              <w:top w:val="nil"/>
              <w:bottom w:val="nil"/>
            </w:tcBorders>
            <w:shd w:val="clear" w:color="auto" w:fill="auto"/>
            <w:noWrap/>
            <w:vAlign w:val="bottom"/>
            <w:hideMark/>
          </w:tcPr>
          <w:p w14:paraId="4BB0E81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c>
          <w:tcPr>
            <w:tcW w:w="680" w:type="dxa"/>
            <w:tcBorders>
              <w:top w:val="nil"/>
              <w:bottom w:val="nil"/>
            </w:tcBorders>
            <w:shd w:val="clear" w:color="auto" w:fill="auto"/>
            <w:noWrap/>
            <w:vAlign w:val="bottom"/>
            <w:hideMark/>
          </w:tcPr>
          <w:p w14:paraId="5CC476D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c>
          <w:tcPr>
            <w:tcW w:w="780" w:type="dxa"/>
            <w:tcBorders>
              <w:top w:val="nil"/>
              <w:bottom w:val="nil"/>
            </w:tcBorders>
            <w:shd w:val="clear" w:color="auto" w:fill="auto"/>
            <w:noWrap/>
            <w:vAlign w:val="bottom"/>
            <w:hideMark/>
          </w:tcPr>
          <w:p w14:paraId="780F468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31</w:t>
            </w:r>
          </w:p>
        </w:tc>
      </w:tr>
      <w:tr w:rsidR="008903F7" w:rsidRPr="009F19BD" w14:paraId="7E2D4D8A" w14:textId="77777777" w:rsidTr="00B50CDC">
        <w:trPr>
          <w:trHeight w:val="300"/>
        </w:trPr>
        <w:tc>
          <w:tcPr>
            <w:tcW w:w="2547" w:type="dxa"/>
            <w:tcBorders>
              <w:top w:val="nil"/>
              <w:bottom w:val="single" w:sz="4" w:space="0" w:color="auto"/>
              <w:right w:val="single" w:sz="4" w:space="0" w:color="auto"/>
            </w:tcBorders>
            <w:shd w:val="clear" w:color="auto" w:fill="auto"/>
            <w:noWrap/>
            <w:vAlign w:val="bottom"/>
            <w:hideMark/>
          </w:tcPr>
          <w:p w14:paraId="2A26612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Oil generation</w:t>
            </w:r>
          </w:p>
        </w:tc>
        <w:tc>
          <w:tcPr>
            <w:tcW w:w="834" w:type="dxa"/>
            <w:tcBorders>
              <w:top w:val="nil"/>
              <w:left w:val="single" w:sz="4" w:space="0" w:color="auto"/>
              <w:bottom w:val="single" w:sz="4" w:space="0" w:color="auto"/>
            </w:tcBorders>
            <w:shd w:val="clear" w:color="auto" w:fill="auto"/>
            <w:noWrap/>
            <w:vAlign w:val="bottom"/>
            <w:hideMark/>
          </w:tcPr>
          <w:p w14:paraId="1D6A80D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495</w:t>
            </w:r>
          </w:p>
        </w:tc>
        <w:tc>
          <w:tcPr>
            <w:tcW w:w="677" w:type="dxa"/>
            <w:tcBorders>
              <w:top w:val="nil"/>
              <w:bottom w:val="single" w:sz="4" w:space="0" w:color="auto"/>
            </w:tcBorders>
            <w:shd w:val="clear" w:color="auto" w:fill="auto"/>
            <w:noWrap/>
            <w:vAlign w:val="bottom"/>
            <w:hideMark/>
          </w:tcPr>
          <w:p w14:paraId="19DCB5BC"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single" w:sz="4" w:space="0" w:color="auto"/>
            </w:tcBorders>
            <w:shd w:val="clear" w:color="auto" w:fill="auto"/>
            <w:noWrap/>
            <w:vAlign w:val="bottom"/>
            <w:hideMark/>
          </w:tcPr>
          <w:p w14:paraId="43349EAD"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single" w:sz="4" w:space="0" w:color="auto"/>
            </w:tcBorders>
            <w:shd w:val="clear" w:color="auto" w:fill="auto"/>
            <w:noWrap/>
            <w:vAlign w:val="bottom"/>
            <w:hideMark/>
          </w:tcPr>
          <w:p w14:paraId="54B82139"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single" w:sz="4" w:space="0" w:color="auto"/>
              <w:right w:val="single" w:sz="4" w:space="0" w:color="auto"/>
            </w:tcBorders>
            <w:shd w:val="clear" w:color="auto" w:fill="auto"/>
            <w:noWrap/>
            <w:vAlign w:val="bottom"/>
            <w:hideMark/>
          </w:tcPr>
          <w:p w14:paraId="36DF6166" w14:textId="77777777" w:rsidR="008903F7" w:rsidRPr="009F19BD" w:rsidRDefault="008903F7" w:rsidP="00B50CDC">
            <w:pPr>
              <w:pStyle w:val="NoSpacing"/>
              <w:rPr>
                <w:rFonts w:ascii="Times New Roman" w:hAnsi="Times New Roman" w:cs="Times New Roman"/>
                <w:lang w:eastAsia="en-GB"/>
              </w:rPr>
            </w:pPr>
          </w:p>
        </w:tc>
        <w:tc>
          <w:tcPr>
            <w:tcW w:w="637" w:type="dxa"/>
            <w:tcBorders>
              <w:top w:val="nil"/>
              <w:left w:val="single" w:sz="4" w:space="0" w:color="auto"/>
              <w:bottom w:val="single" w:sz="4" w:space="0" w:color="auto"/>
            </w:tcBorders>
            <w:shd w:val="clear" w:color="auto" w:fill="auto"/>
            <w:noWrap/>
            <w:vAlign w:val="bottom"/>
            <w:hideMark/>
          </w:tcPr>
          <w:p w14:paraId="32A849C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38</w:t>
            </w:r>
          </w:p>
        </w:tc>
        <w:tc>
          <w:tcPr>
            <w:tcW w:w="680" w:type="dxa"/>
            <w:tcBorders>
              <w:top w:val="nil"/>
              <w:bottom w:val="single" w:sz="4" w:space="0" w:color="auto"/>
            </w:tcBorders>
            <w:shd w:val="clear" w:color="auto" w:fill="auto"/>
            <w:noWrap/>
            <w:vAlign w:val="bottom"/>
            <w:hideMark/>
          </w:tcPr>
          <w:p w14:paraId="7D23AC0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39</w:t>
            </w:r>
          </w:p>
        </w:tc>
        <w:tc>
          <w:tcPr>
            <w:tcW w:w="680" w:type="dxa"/>
            <w:tcBorders>
              <w:top w:val="nil"/>
              <w:bottom w:val="single" w:sz="4" w:space="0" w:color="auto"/>
            </w:tcBorders>
            <w:shd w:val="clear" w:color="auto" w:fill="auto"/>
            <w:noWrap/>
            <w:vAlign w:val="bottom"/>
            <w:hideMark/>
          </w:tcPr>
          <w:p w14:paraId="5C8AE2E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40</w:t>
            </w:r>
          </w:p>
        </w:tc>
        <w:tc>
          <w:tcPr>
            <w:tcW w:w="780" w:type="dxa"/>
            <w:tcBorders>
              <w:top w:val="nil"/>
              <w:bottom w:val="single" w:sz="4" w:space="0" w:color="auto"/>
            </w:tcBorders>
            <w:shd w:val="clear" w:color="auto" w:fill="auto"/>
            <w:noWrap/>
            <w:vAlign w:val="bottom"/>
            <w:hideMark/>
          </w:tcPr>
          <w:p w14:paraId="5730976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42</w:t>
            </w:r>
          </w:p>
        </w:tc>
      </w:tr>
      <w:tr w:rsidR="008903F7" w:rsidRPr="009F19BD" w14:paraId="4A11692F" w14:textId="77777777" w:rsidTr="00B50CDC">
        <w:trPr>
          <w:trHeight w:val="300"/>
        </w:trPr>
        <w:tc>
          <w:tcPr>
            <w:tcW w:w="2547" w:type="dxa"/>
            <w:tcBorders>
              <w:top w:val="single" w:sz="4" w:space="0" w:color="auto"/>
              <w:bottom w:val="nil"/>
              <w:right w:val="single" w:sz="4" w:space="0" w:color="auto"/>
            </w:tcBorders>
            <w:shd w:val="clear" w:color="auto" w:fill="auto"/>
            <w:noWrap/>
            <w:vAlign w:val="bottom"/>
            <w:hideMark/>
          </w:tcPr>
          <w:p w14:paraId="2B04A26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Coal IGCC w/CCS</w:t>
            </w:r>
          </w:p>
        </w:tc>
        <w:tc>
          <w:tcPr>
            <w:tcW w:w="834" w:type="dxa"/>
            <w:tcBorders>
              <w:top w:val="single" w:sz="4" w:space="0" w:color="auto"/>
              <w:left w:val="single" w:sz="4" w:space="0" w:color="auto"/>
              <w:bottom w:val="nil"/>
            </w:tcBorders>
            <w:shd w:val="clear" w:color="auto" w:fill="auto"/>
            <w:noWrap/>
            <w:vAlign w:val="bottom"/>
            <w:hideMark/>
          </w:tcPr>
          <w:p w14:paraId="6BD6A886" w14:textId="77777777" w:rsidR="008903F7" w:rsidRPr="009F19BD" w:rsidRDefault="008903F7" w:rsidP="00B50CDC">
            <w:pPr>
              <w:pStyle w:val="NoSpacing"/>
              <w:rPr>
                <w:rFonts w:ascii="Times New Roman" w:hAnsi="Times New Roman" w:cs="Times New Roman"/>
                <w:lang w:eastAsia="en-GB"/>
              </w:rPr>
            </w:pPr>
          </w:p>
        </w:tc>
        <w:tc>
          <w:tcPr>
            <w:tcW w:w="677" w:type="dxa"/>
            <w:tcBorders>
              <w:top w:val="single" w:sz="4" w:space="0" w:color="auto"/>
              <w:bottom w:val="nil"/>
            </w:tcBorders>
            <w:shd w:val="clear" w:color="auto" w:fill="auto"/>
            <w:noWrap/>
            <w:vAlign w:val="bottom"/>
            <w:hideMark/>
          </w:tcPr>
          <w:p w14:paraId="250C007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3802</w:t>
            </w:r>
          </w:p>
        </w:tc>
        <w:tc>
          <w:tcPr>
            <w:tcW w:w="677" w:type="dxa"/>
            <w:tcBorders>
              <w:top w:val="single" w:sz="4" w:space="0" w:color="auto"/>
              <w:bottom w:val="nil"/>
            </w:tcBorders>
            <w:shd w:val="clear" w:color="auto" w:fill="auto"/>
            <w:noWrap/>
            <w:vAlign w:val="bottom"/>
            <w:hideMark/>
          </w:tcPr>
          <w:p w14:paraId="587B6CC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3564</w:t>
            </w:r>
          </w:p>
        </w:tc>
        <w:tc>
          <w:tcPr>
            <w:tcW w:w="677" w:type="dxa"/>
            <w:tcBorders>
              <w:top w:val="single" w:sz="4" w:space="0" w:color="auto"/>
              <w:bottom w:val="nil"/>
            </w:tcBorders>
            <w:shd w:val="clear" w:color="auto" w:fill="auto"/>
            <w:noWrap/>
            <w:vAlign w:val="bottom"/>
            <w:hideMark/>
          </w:tcPr>
          <w:p w14:paraId="12094FC3" w14:textId="77777777" w:rsidR="008903F7" w:rsidRPr="009F19BD" w:rsidRDefault="008903F7" w:rsidP="00B50CDC">
            <w:pPr>
              <w:pStyle w:val="NoSpacing"/>
              <w:rPr>
                <w:rFonts w:ascii="Times New Roman" w:hAnsi="Times New Roman" w:cs="Times New Roman"/>
                <w:lang w:eastAsia="en-GB"/>
              </w:rPr>
            </w:pPr>
          </w:p>
        </w:tc>
        <w:tc>
          <w:tcPr>
            <w:tcW w:w="720" w:type="dxa"/>
            <w:tcBorders>
              <w:top w:val="single" w:sz="4" w:space="0" w:color="auto"/>
              <w:bottom w:val="nil"/>
              <w:right w:val="single" w:sz="4" w:space="0" w:color="auto"/>
            </w:tcBorders>
            <w:shd w:val="clear" w:color="auto" w:fill="auto"/>
            <w:noWrap/>
            <w:vAlign w:val="bottom"/>
            <w:hideMark/>
          </w:tcPr>
          <w:p w14:paraId="0A459F2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3326</w:t>
            </w:r>
          </w:p>
        </w:tc>
        <w:tc>
          <w:tcPr>
            <w:tcW w:w="637" w:type="dxa"/>
            <w:tcBorders>
              <w:top w:val="single" w:sz="4" w:space="0" w:color="auto"/>
              <w:left w:val="single" w:sz="4" w:space="0" w:color="auto"/>
              <w:bottom w:val="nil"/>
            </w:tcBorders>
            <w:shd w:val="clear" w:color="auto" w:fill="auto"/>
            <w:noWrap/>
            <w:vAlign w:val="bottom"/>
            <w:hideMark/>
          </w:tcPr>
          <w:p w14:paraId="2BF7F85C" w14:textId="77777777" w:rsidR="008903F7" w:rsidRPr="009F19BD" w:rsidRDefault="008903F7" w:rsidP="00B50CDC">
            <w:pPr>
              <w:pStyle w:val="NoSpacing"/>
              <w:rPr>
                <w:rFonts w:ascii="Times New Roman" w:hAnsi="Times New Roman" w:cs="Times New Roman"/>
                <w:lang w:eastAsia="en-GB"/>
              </w:rPr>
            </w:pPr>
          </w:p>
        </w:tc>
        <w:tc>
          <w:tcPr>
            <w:tcW w:w="680" w:type="dxa"/>
            <w:tcBorders>
              <w:top w:val="single" w:sz="4" w:space="0" w:color="auto"/>
              <w:bottom w:val="nil"/>
            </w:tcBorders>
            <w:shd w:val="clear" w:color="auto" w:fill="auto"/>
            <w:noWrap/>
            <w:vAlign w:val="bottom"/>
            <w:hideMark/>
          </w:tcPr>
          <w:p w14:paraId="62FF9CB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38</w:t>
            </w:r>
          </w:p>
        </w:tc>
        <w:tc>
          <w:tcPr>
            <w:tcW w:w="680" w:type="dxa"/>
            <w:tcBorders>
              <w:top w:val="single" w:sz="4" w:space="0" w:color="auto"/>
              <w:bottom w:val="nil"/>
            </w:tcBorders>
            <w:shd w:val="clear" w:color="auto" w:fill="auto"/>
            <w:noWrap/>
            <w:vAlign w:val="bottom"/>
            <w:hideMark/>
          </w:tcPr>
          <w:p w14:paraId="032AFFC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43</w:t>
            </w:r>
          </w:p>
        </w:tc>
        <w:tc>
          <w:tcPr>
            <w:tcW w:w="780" w:type="dxa"/>
            <w:tcBorders>
              <w:top w:val="single" w:sz="4" w:space="0" w:color="auto"/>
              <w:bottom w:val="nil"/>
            </w:tcBorders>
            <w:shd w:val="clear" w:color="auto" w:fill="auto"/>
            <w:noWrap/>
            <w:vAlign w:val="bottom"/>
            <w:hideMark/>
          </w:tcPr>
          <w:p w14:paraId="23A3481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48</w:t>
            </w:r>
          </w:p>
        </w:tc>
      </w:tr>
      <w:tr w:rsidR="008903F7" w:rsidRPr="009F19BD" w14:paraId="3CC0E9B7"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18FCFDD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Coal USC w/CCS</w:t>
            </w:r>
          </w:p>
        </w:tc>
        <w:tc>
          <w:tcPr>
            <w:tcW w:w="834" w:type="dxa"/>
            <w:tcBorders>
              <w:top w:val="nil"/>
              <w:left w:val="single" w:sz="4" w:space="0" w:color="auto"/>
              <w:bottom w:val="nil"/>
            </w:tcBorders>
            <w:shd w:val="clear" w:color="auto" w:fill="auto"/>
            <w:noWrap/>
            <w:vAlign w:val="bottom"/>
            <w:hideMark/>
          </w:tcPr>
          <w:p w14:paraId="3CA35C80"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nil"/>
            </w:tcBorders>
            <w:shd w:val="clear" w:color="auto" w:fill="auto"/>
            <w:noWrap/>
            <w:vAlign w:val="bottom"/>
            <w:hideMark/>
          </w:tcPr>
          <w:p w14:paraId="62207F3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3643</w:t>
            </w:r>
          </w:p>
        </w:tc>
        <w:tc>
          <w:tcPr>
            <w:tcW w:w="677" w:type="dxa"/>
            <w:tcBorders>
              <w:top w:val="nil"/>
              <w:bottom w:val="nil"/>
            </w:tcBorders>
            <w:shd w:val="clear" w:color="auto" w:fill="auto"/>
            <w:noWrap/>
            <w:vAlign w:val="bottom"/>
            <w:hideMark/>
          </w:tcPr>
          <w:p w14:paraId="13BCCC8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3416</w:t>
            </w:r>
          </w:p>
        </w:tc>
        <w:tc>
          <w:tcPr>
            <w:tcW w:w="677" w:type="dxa"/>
            <w:tcBorders>
              <w:top w:val="nil"/>
              <w:bottom w:val="nil"/>
            </w:tcBorders>
            <w:shd w:val="clear" w:color="auto" w:fill="auto"/>
            <w:noWrap/>
            <w:vAlign w:val="bottom"/>
            <w:hideMark/>
          </w:tcPr>
          <w:p w14:paraId="4CFF1A54"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nil"/>
              <w:right w:val="single" w:sz="4" w:space="0" w:color="auto"/>
            </w:tcBorders>
            <w:shd w:val="clear" w:color="auto" w:fill="auto"/>
            <w:noWrap/>
            <w:vAlign w:val="bottom"/>
            <w:hideMark/>
          </w:tcPr>
          <w:p w14:paraId="71A1E6B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3188</w:t>
            </w:r>
          </w:p>
        </w:tc>
        <w:tc>
          <w:tcPr>
            <w:tcW w:w="637" w:type="dxa"/>
            <w:tcBorders>
              <w:top w:val="nil"/>
              <w:left w:val="single" w:sz="4" w:space="0" w:color="auto"/>
              <w:bottom w:val="nil"/>
            </w:tcBorders>
            <w:shd w:val="clear" w:color="auto" w:fill="auto"/>
            <w:noWrap/>
            <w:vAlign w:val="bottom"/>
            <w:hideMark/>
          </w:tcPr>
          <w:p w14:paraId="6B1C473A" w14:textId="77777777" w:rsidR="008903F7" w:rsidRPr="009F19BD" w:rsidRDefault="008903F7" w:rsidP="00B50CDC">
            <w:pPr>
              <w:pStyle w:val="NoSpacing"/>
              <w:rPr>
                <w:rFonts w:ascii="Times New Roman" w:hAnsi="Times New Roman" w:cs="Times New Roman"/>
                <w:lang w:eastAsia="en-GB"/>
              </w:rPr>
            </w:pPr>
          </w:p>
        </w:tc>
        <w:tc>
          <w:tcPr>
            <w:tcW w:w="680" w:type="dxa"/>
            <w:tcBorders>
              <w:top w:val="nil"/>
              <w:bottom w:val="nil"/>
            </w:tcBorders>
            <w:shd w:val="clear" w:color="auto" w:fill="auto"/>
            <w:noWrap/>
            <w:vAlign w:val="bottom"/>
            <w:hideMark/>
          </w:tcPr>
          <w:p w14:paraId="36E572F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39</w:t>
            </w:r>
          </w:p>
        </w:tc>
        <w:tc>
          <w:tcPr>
            <w:tcW w:w="680" w:type="dxa"/>
            <w:tcBorders>
              <w:top w:val="nil"/>
              <w:bottom w:val="nil"/>
            </w:tcBorders>
            <w:shd w:val="clear" w:color="auto" w:fill="auto"/>
            <w:noWrap/>
            <w:vAlign w:val="bottom"/>
            <w:hideMark/>
          </w:tcPr>
          <w:p w14:paraId="1B78EB3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42</w:t>
            </w:r>
          </w:p>
        </w:tc>
        <w:tc>
          <w:tcPr>
            <w:tcW w:w="780" w:type="dxa"/>
            <w:tcBorders>
              <w:top w:val="nil"/>
              <w:bottom w:val="nil"/>
            </w:tcBorders>
            <w:shd w:val="clear" w:color="auto" w:fill="auto"/>
            <w:noWrap/>
            <w:vAlign w:val="bottom"/>
            <w:hideMark/>
          </w:tcPr>
          <w:p w14:paraId="08E4634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46</w:t>
            </w:r>
          </w:p>
        </w:tc>
      </w:tr>
      <w:tr w:rsidR="008903F7" w:rsidRPr="009F19BD" w14:paraId="1EE4EAB5" w14:textId="77777777" w:rsidTr="00B50CDC">
        <w:trPr>
          <w:trHeight w:val="300"/>
        </w:trPr>
        <w:tc>
          <w:tcPr>
            <w:tcW w:w="2547" w:type="dxa"/>
            <w:tcBorders>
              <w:top w:val="nil"/>
              <w:bottom w:val="single" w:sz="4" w:space="0" w:color="auto"/>
              <w:right w:val="single" w:sz="4" w:space="0" w:color="auto"/>
            </w:tcBorders>
            <w:shd w:val="clear" w:color="auto" w:fill="auto"/>
            <w:noWrap/>
            <w:vAlign w:val="bottom"/>
            <w:hideMark/>
          </w:tcPr>
          <w:p w14:paraId="4FD2EC4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Gas CCGT w/CCS</w:t>
            </w:r>
          </w:p>
        </w:tc>
        <w:tc>
          <w:tcPr>
            <w:tcW w:w="834" w:type="dxa"/>
            <w:tcBorders>
              <w:top w:val="nil"/>
              <w:left w:val="single" w:sz="4" w:space="0" w:color="auto"/>
              <w:bottom w:val="single" w:sz="4" w:space="0" w:color="auto"/>
            </w:tcBorders>
            <w:shd w:val="clear" w:color="auto" w:fill="auto"/>
            <w:noWrap/>
            <w:vAlign w:val="bottom"/>
            <w:hideMark/>
          </w:tcPr>
          <w:p w14:paraId="69BFD8C7" w14:textId="77777777" w:rsidR="008903F7" w:rsidRPr="009F19BD" w:rsidRDefault="008903F7" w:rsidP="00B50CDC">
            <w:pPr>
              <w:pStyle w:val="NoSpacing"/>
              <w:rPr>
                <w:rFonts w:ascii="Times New Roman" w:hAnsi="Times New Roman" w:cs="Times New Roman"/>
                <w:lang w:eastAsia="en-GB"/>
              </w:rPr>
            </w:pPr>
          </w:p>
        </w:tc>
        <w:tc>
          <w:tcPr>
            <w:tcW w:w="677" w:type="dxa"/>
            <w:tcBorders>
              <w:top w:val="nil"/>
              <w:bottom w:val="single" w:sz="4" w:space="0" w:color="auto"/>
            </w:tcBorders>
            <w:shd w:val="clear" w:color="auto" w:fill="auto"/>
            <w:noWrap/>
            <w:vAlign w:val="bottom"/>
            <w:hideMark/>
          </w:tcPr>
          <w:p w14:paraId="7FEC3AD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1584</w:t>
            </w:r>
          </w:p>
        </w:tc>
        <w:tc>
          <w:tcPr>
            <w:tcW w:w="677" w:type="dxa"/>
            <w:tcBorders>
              <w:top w:val="nil"/>
              <w:bottom w:val="single" w:sz="4" w:space="0" w:color="auto"/>
            </w:tcBorders>
            <w:shd w:val="clear" w:color="auto" w:fill="auto"/>
            <w:noWrap/>
            <w:vAlign w:val="bottom"/>
            <w:hideMark/>
          </w:tcPr>
          <w:p w14:paraId="2499F6D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1485</w:t>
            </w:r>
          </w:p>
        </w:tc>
        <w:tc>
          <w:tcPr>
            <w:tcW w:w="677" w:type="dxa"/>
            <w:tcBorders>
              <w:top w:val="nil"/>
              <w:bottom w:val="single" w:sz="4" w:space="0" w:color="auto"/>
            </w:tcBorders>
            <w:shd w:val="clear" w:color="auto" w:fill="auto"/>
            <w:noWrap/>
            <w:vAlign w:val="bottom"/>
            <w:hideMark/>
          </w:tcPr>
          <w:p w14:paraId="419F5A84" w14:textId="77777777" w:rsidR="008903F7" w:rsidRPr="009F19BD" w:rsidRDefault="008903F7" w:rsidP="00B50CDC">
            <w:pPr>
              <w:pStyle w:val="NoSpacing"/>
              <w:rPr>
                <w:rFonts w:ascii="Times New Roman" w:hAnsi="Times New Roman" w:cs="Times New Roman"/>
                <w:lang w:eastAsia="en-GB"/>
              </w:rPr>
            </w:pPr>
          </w:p>
        </w:tc>
        <w:tc>
          <w:tcPr>
            <w:tcW w:w="720" w:type="dxa"/>
            <w:tcBorders>
              <w:top w:val="nil"/>
              <w:bottom w:val="single" w:sz="4" w:space="0" w:color="auto"/>
              <w:right w:val="single" w:sz="4" w:space="0" w:color="auto"/>
            </w:tcBorders>
            <w:shd w:val="clear" w:color="auto" w:fill="auto"/>
            <w:noWrap/>
            <w:vAlign w:val="bottom"/>
            <w:hideMark/>
          </w:tcPr>
          <w:p w14:paraId="19604D9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1386</w:t>
            </w:r>
          </w:p>
        </w:tc>
        <w:tc>
          <w:tcPr>
            <w:tcW w:w="637" w:type="dxa"/>
            <w:tcBorders>
              <w:top w:val="nil"/>
              <w:left w:val="single" w:sz="4" w:space="0" w:color="auto"/>
              <w:bottom w:val="single" w:sz="4" w:space="0" w:color="auto"/>
            </w:tcBorders>
            <w:shd w:val="clear" w:color="auto" w:fill="auto"/>
            <w:noWrap/>
            <w:vAlign w:val="bottom"/>
            <w:hideMark/>
          </w:tcPr>
          <w:p w14:paraId="1E8CCF28" w14:textId="77777777" w:rsidR="008903F7" w:rsidRPr="009F19BD" w:rsidRDefault="008903F7" w:rsidP="00B50CDC">
            <w:pPr>
              <w:pStyle w:val="NoSpacing"/>
              <w:rPr>
                <w:rFonts w:ascii="Times New Roman" w:hAnsi="Times New Roman" w:cs="Times New Roman"/>
                <w:lang w:eastAsia="en-GB"/>
              </w:rPr>
            </w:pPr>
          </w:p>
        </w:tc>
        <w:tc>
          <w:tcPr>
            <w:tcW w:w="680" w:type="dxa"/>
            <w:tcBorders>
              <w:top w:val="nil"/>
              <w:bottom w:val="single" w:sz="4" w:space="0" w:color="auto"/>
            </w:tcBorders>
            <w:shd w:val="clear" w:color="auto" w:fill="auto"/>
            <w:noWrap/>
            <w:vAlign w:val="bottom"/>
            <w:hideMark/>
          </w:tcPr>
          <w:p w14:paraId="1AF3E15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49</w:t>
            </w:r>
          </w:p>
        </w:tc>
        <w:tc>
          <w:tcPr>
            <w:tcW w:w="680" w:type="dxa"/>
            <w:tcBorders>
              <w:top w:val="nil"/>
              <w:bottom w:val="single" w:sz="4" w:space="0" w:color="auto"/>
            </w:tcBorders>
            <w:shd w:val="clear" w:color="auto" w:fill="auto"/>
            <w:noWrap/>
            <w:vAlign w:val="bottom"/>
            <w:hideMark/>
          </w:tcPr>
          <w:p w14:paraId="191875B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53</w:t>
            </w:r>
          </w:p>
        </w:tc>
        <w:tc>
          <w:tcPr>
            <w:tcW w:w="780" w:type="dxa"/>
            <w:tcBorders>
              <w:top w:val="nil"/>
              <w:bottom w:val="single" w:sz="4" w:space="0" w:color="auto"/>
            </w:tcBorders>
            <w:shd w:val="clear" w:color="auto" w:fill="auto"/>
            <w:noWrap/>
            <w:vAlign w:val="bottom"/>
            <w:hideMark/>
          </w:tcPr>
          <w:p w14:paraId="5A6990C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57</w:t>
            </w:r>
          </w:p>
        </w:tc>
      </w:tr>
      <w:tr w:rsidR="008903F7" w:rsidRPr="009F19BD" w14:paraId="7CDACC99" w14:textId="77777777" w:rsidTr="00B50CDC">
        <w:trPr>
          <w:trHeight w:val="300"/>
        </w:trPr>
        <w:tc>
          <w:tcPr>
            <w:tcW w:w="2547" w:type="dxa"/>
            <w:tcBorders>
              <w:top w:val="single" w:sz="4" w:space="0" w:color="auto"/>
              <w:bottom w:val="nil"/>
              <w:right w:val="single" w:sz="4" w:space="0" w:color="auto"/>
            </w:tcBorders>
            <w:shd w:val="clear" w:color="auto" w:fill="auto"/>
            <w:noWrap/>
            <w:vAlign w:val="bottom"/>
            <w:hideMark/>
          </w:tcPr>
          <w:p w14:paraId="4F0CDA4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Geothermal shallow</w:t>
            </w:r>
          </w:p>
        </w:tc>
        <w:tc>
          <w:tcPr>
            <w:tcW w:w="834" w:type="dxa"/>
            <w:tcBorders>
              <w:top w:val="single" w:sz="4" w:space="0" w:color="auto"/>
              <w:left w:val="single" w:sz="4" w:space="0" w:color="auto"/>
            </w:tcBorders>
            <w:shd w:val="clear" w:color="auto" w:fill="auto"/>
            <w:noWrap/>
            <w:vAlign w:val="bottom"/>
            <w:hideMark/>
          </w:tcPr>
          <w:p w14:paraId="3B1DA17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2376</w:t>
            </w:r>
          </w:p>
        </w:tc>
        <w:tc>
          <w:tcPr>
            <w:tcW w:w="677" w:type="dxa"/>
            <w:tcBorders>
              <w:top w:val="single" w:sz="4" w:space="0" w:color="auto"/>
            </w:tcBorders>
            <w:shd w:val="clear" w:color="auto" w:fill="auto"/>
            <w:noWrap/>
            <w:vAlign w:val="bottom"/>
            <w:hideMark/>
          </w:tcPr>
          <w:p w14:paraId="7AC73DD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2310</w:t>
            </w:r>
          </w:p>
        </w:tc>
        <w:tc>
          <w:tcPr>
            <w:tcW w:w="677" w:type="dxa"/>
            <w:tcBorders>
              <w:top w:val="single" w:sz="4" w:space="0" w:color="auto"/>
            </w:tcBorders>
            <w:shd w:val="clear" w:color="auto" w:fill="auto"/>
            <w:noWrap/>
            <w:vAlign w:val="bottom"/>
            <w:hideMark/>
          </w:tcPr>
          <w:p w14:paraId="489D7B5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2255</w:t>
            </w:r>
          </w:p>
        </w:tc>
        <w:tc>
          <w:tcPr>
            <w:tcW w:w="677" w:type="dxa"/>
            <w:tcBorders>
              <w:top w:val="single" w:sz="4" w:space="0" w:color="auto"/>
            </w:tcBorders>
            <w:shd w:val="clear" w:color="auto" w:fill="auto"/>
            <w:noWrap/>
            <w:vAlign w:val="bottom"/>
            <w:hideMark/>
          </w:tcPr>
          <w:p w14:paraId="5C917EA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2200</w:t>
            </w:r>
          </w:p>
        </w:tc>
        <w:tc>
          <w:tcPr>
            <w:tcW w:w="720" w:type="dxa"/>
            <w:tcBorders>
              <w:top w:val="single" w:sz="4" w:space="0" w:color="auto"/>
              <w:right w:val="single" w:sz="4" w:space="0" w:color="auto"/>
            </w:tcBorders>
            <w:shd w:val="clear" w:color="auto" w:fill="auto"/>
            <w:noWrap/>
            <w:vAlign w:val="bottom"/>
            <w:hideMark/>
          </w:tcPr>
          <w:p w14:paraId="54B5133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2129</w:t>
            </w:r>
          </w:p>
        </w:tc>
        <w:tc>
          <w:tcPr>
            <w:tcW w:w="637" w:type="dxa"/>
            <w:tcBorders>
              <w:top w:val="single" w:sz="4" w:space="0" w:color="auto"/>
              <w:left w:val="single" w:sz="4" w:space="0" w:color="auto"/>
            </w:tcBorders>
            <w:shd w:val="clear" w:color="auto" w:fill="auto"/>
            <w:noWrap/>
            <w:vAlign w:val="bottom"/>
            <w:hideMark/>
          </w:tcPr>
          <w:p w14:paraId="41AF7F3F" w14:textId="77777777" w:rsidR="008903F7" w:rsidRPr="009F19BD" w:rsidRDefault="008903F7" w:rsidP="00B50CDC">
            <w:pPr>
              <w:pStyle w:val="NoSpacing"/>
              <w:rPr>
                <w:rFonts w:ascii="Times New Roman" w:hAnsi="Times New Roman" w:cs="Times New Roman"/>
                <w:lang w:eastAsia="en-GB"/>
              </w:rPr>
            </w:pPr>
          </w:p>
        </w:tc>
        <w:tc>
          <w:tcPr>
            <w:tcW w:w="680" w:type="dxa"/>
            <w:tcBorders>
              <w:top w:val="single" w:sz="4" w:space="0" w:color="auto"/>
            </w:tcBorders>
            <w:shd w:val="clear" w:color="auto" w:fill="auto"/>
            <w:noWrap/>
            <w:vAlign w:val="bottom"/>
            <w:hideMark/>
          </w:tcPr>
          <w:p w14:paraId="04B1724D" w14:textId="77777777" w:rsidR="008903F7" w:rsidRPr="009F19BD" w:rsidRDefault="008903F7" w:rsidP="00B50CDC">
            <w:pPr>
              <w:pStyle w:val="NoSpacing"/>
              <w:rPr>
                <w:rFonts w:ascii="Times New Roman" w:hAnsi="Times New Roman" w:cs="Times New Roman"/>
                <w:lang w:eastAsia="en-GB"/>
              </w:rPr>
            </w:pPr>
          </w:p>
        </w:tc>
        <w:tc>
          <w:tcPr>
            <w:tcW w:w="680" w:type="dxa"/>
            <w:tcBorders>
              <w:top w:val="single" w:sz="4" w:space="0" w:color="auto"/>
            </w:tcBorders>
            <w:shd w:val="clear" w:color="auto" w:fill="auto"/>
            <w:noWrap/>
            <w:vAlign w:val="bottom"/>
            <w:hideMark/>
          </w:tcPr>
          <w:p w14:paraId="267AA25B" w14:textId="77777777" w:rsidR="008903F7" w:rsidRPr="009F19BD" w:rsidRDefault="008903F7" w:rsidP="00B50CDC">
            <w:pPr>
              <w:pStyle w:val="NoSpacing"/>
              <w:rPr>
                <w:rFonts w:ascii="Times New Roman" w:hAnsi="Times New Roman" w:cs="Times New Roman"/>
                <w:lang w:eastAsia="en-GB"/>
              </w:rPr>
            </w:pPr>
          </w:p>
        </w:tc>
        <w:tc>
          <w:tcPr>
            <w:tcW w:w="780" w:type="dxa"/>
            <w:tcBorders>
              <w:top w:val="single" w:sz="4" w:space="0" w:color="auto"/>
            </w:tcBorders>
            <w:shd w:val="clear" w:color="auto" w:fill="auto"/>
            <w:noWrap/>
            <w:vAlign w:val="bottom"/>
            <w:hideMark/>
          </w:tcPr>
          <w:p w14:paraId="49B3413E" w14:textId="77777777" w:rsidR="008903F7" w:rsidRPr="009F19BD" w:rsidRDefault="008903F7" w:rsidP="00B50CDC">
            <w:pPr>
              <w:pStyle w:val="NoSpacing"/>
              <w:rPr>
                <w:rFonts w:ascii="Times New Roman" w:hAnsi="Times New Roman" w:cs="Times New Roman"/>
                <w:lang w:eastAsia="en-GB"/>
              </w:rPr>
            </w:pPr>
          </w:p>
        </w:tc>
      </w:tr>
      <w:tr w:rsidR="008903F7" w:rsidRPr="009F19BD" w14:paraId="1E36E82F"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70E80B0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Geothermal deep</w:t>
            </w:r>
          </w:p>
        </w:tc>
        <w:tc>
          <w:tcPr>
            <w:tcW w:w="834" w:type="dxa"/>
            <w:tcBorders>
              <w:left w:val="single" w:sz="4" w:space="0" w:color="auto"/>
            </w:tcBorders>
            <w:shd w:val="clear" w:color="auto" w:fill="auto"/>
            <w:noWrap/>
            <w:vAlign w:val="bottom"/>
            <w:hideMark/>
          </w:tcPr>
          <w:p w14:paraId="10FD137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3911</w:t>
            </w:r>
          </w:p>
        </w:tc>
        <w:tc>
          <w:tcPr>
            <w:tcW w:w="677" w:type="dxa"/>
            <w:shd w:val="clear" w:color="auto" w:fill="auto"/>
            <w:noWrap/>
            <w:vAlign w:val="bottom"/>
            <w:hideMark/>
          </w:tcPr>
          <w:p w14:paraId="57E1A8E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3644</w:t>
            </w:r>
          </w:p>
        </w:tc>
        <w:tc>
          <w:tcPr>
            <w:tcW w:w="677" w:type="dxa"/>
            <w:shd w:val="clear" w:color="auto" w:fill="auto"/>
            <w:noWrap/>
            <w:vAlign w:val="bottom"/>
            <w:hideMark/>
          </w:tcPr>
          <w:p w14:paraId="0719A7D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3383</w:t>
            </w:r>
          </w:p>
        </w:tc>
        <w:tc>
          <w:tcPr>
            <w:tcW w:w="677" w:type="dxa"/>
            <w:shd w:val="clear" w:color="auto" w:fill="auto"/>
            <w:noWrap/>
            <w:vAlign w:val="bottom"/>
            <w:hideMark/>
          </w:tcPr>
          <w:p w14:paraId="7E48E1F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3108</w:t>
            </w:r>
          </w:p>
        </w:tc>
        <w:tc>
          <w:tcPr>
            <w:tcW w:w="720" w:type="dxa"/>
            <w:tcBorders>
              <w:right w:val="single" w:sz="4" w:space="0" w:color="auto"/>
            </w:tcBorders>
            <w:shd w:val="clear" w:color="auto" w:fill="auto"/>
            <w:noWrap/>
            <w:vAlign w:val="bottom"/>
            <w:hideMark/>
          </w:tcPr>
          <w:p w14:paraId="4D1161B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2846</w:t>
            </w:r>
          </w:p>
        </w:tc>
        <w:tc>
          <w:tcPr>
            <w:tcW w:w="637" w:type="dxa"/>
            <w:tcBorders>
              <w:left w:val="single" w:sz="4" w:space="0" w:color="auto"/>
            </w:tcBorders>
            <w:shd w:val="clear" w:color="auto" w:fill="auto"/>
            <w:noWrap/>
            <w:vAlign w:val="bottom"/>
            <w:hideMark/>
          </w:tcPr>
          <w:p w14:paraId="2EDDE6DF"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11EEC07F"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0F5B868E" w14:textId="77777777" w:rsidR="008903F7" w:rsidRPr="009F19BD" w:rsidRDefault="008903F7" w:rsidP="00B50CDC">
            <w:pPr>
              <w:pStyle w:val="NoSpacing"/>
              <w:rPr>
                <w:rFonts w:ascii="Times New Roman" w:hAnsi="Times New Roman" w:cs="Times New Roman"/>
                <w:lang w:eastAsia="en-GB"/>
              </w:rPr>
            </w:pPr>
          </w:p>
        </w:tc>
        <w:tc>
          <w:tcPr>
            <w:tcW w:w="780" w:type="dxa"/>
            <w:shd w:val="clear" w:color="auto" w:fill="auto"/>
            <w:noWrap/>
            <w:vAlign w:val="bottom"/>
            <w:hideMark/>
          </w:tcPr>
          <w:p w14:paraId="4545B4D3" w14:textId="77777777" w:rsidR="008903F7" w:rsidRPr="009F19BD" w:rsidRDefault="008903F7" w:rsidP="00B50CDC">
            <w:pPr>
              <w:pStyle w:val="NoSpacing"/>
              <w:rPr>
                <w:rFonts w:ascii="Times New Roman" w:hAnsi="Times New Roman" w:cs="Times New Roman"/>
                <w:lang w:eastAsia="en-GB"/>
              </w:rPr>
            </w:pPr>
          </w:p>
        </w:tc>
      </w:tr>
      <w:tr w:rsidR="008903F7" w:rsidRPr="009F19BD" w14:paraId="17B65915"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3B760B4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Geothermal very deep</w:t>
            </w:r>
          </w:p>
        </w:tc>
        <w:tc>
          <w:tcPr>
            <w:tcW w:w="834" w:type="dxa"/>
            <w:tcBorders>
              <w:left w:val="single" w:sz="4" w:space="0" w:color="auto"/>
            </w:tcBorders>
            <w:shd w:val="clear" w:color="auto" w:fill="auto"/>
            <w:noWrap/>
            <w:vAlign w:val="bottom"/>
            <w:hideMark/>
          </w:tcPr>
          <w:p w14:paraId="3A9B38BF" w14:textId="77777777" w:rsidR="008903F7" w:rsidRPr="009F19BD" w:rsidRDefault="008903F7" w:rsidP="00B50CDC">
            <w:pPr>
              <w:pStyle w:val="NoSpacing"/>
              <w:rPr>
                <w:rFonts w:ascii="Times New Roman" w:hAnsi="Times New Roman" w:cs="Times New Roman"/>
                <w:lang w:eastAsia="en-GB"/>
              </w:rPr>
            </w:pPr>
          </w:p>
        </w:tc>
        <w:tc>
          <w:tcPr>
            <w:tcW w:w="677" w:type="dxa"/>
            <w:shd w:val="clear" w:color="auto" w:fill="auto"/>
            <w:noWrap/>
            <w:vAlign w:val="bottom"/>
            <w:hideMark/>
          </w:tcPr>
          <w:p w14:paraId="6FDCD9B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4978</w:t>
            </w:r>
          </w:p>
        </w:tc>
        <w:tc>
          <w:tcPr>
            <w:tcW w:w="677" w:type="dxa"/>
            <w:shd w:val="clear" w:color="auto" w:fill="auto"/>
            <w:noWrap/>
            <w:vAlign w:val="bottom"/>
            <w:hideMark/>
          </w:tcPr>
          <w:p w14:paraId="0698412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4510</w:t>
            </w:r>
          </w:p>
        </w:tc>
        <w:tc>
          <w:tcPr>
            <w:tcW w:w="677" w:type="dxa"/>
            <w:shd w:val="clear" w:color="auto" w:fill="auto"/>
            <w:noWrap/>
            <w:vAlign w:val="bottom"/>
            <w:hideMark/>
          </w:tcPr>
          <w:p w14:paraId="1A07632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4015</w:t>
            </w:r>
          </w:p>
        </w:tc>
        <w:tc>
          <w:tcPr>
            <w:tcW w:w="720" w:type="dxa"/>
            <w:tcBorders>
              <w:right w:val="single" w:sz="4" w:space="0" w:color="auto"/>
            </w:tcBorders>
            <w:shd w:val="clear" w:color="auto" w:fill="auto"/>
            <w:noWrap/>
            <w:vAlign w:val="bottom"/>
            <w:hideMark/>
          </w:tcPr>
          <w:p w14:paraId="2872E88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3564</w:t>
            </w:r>
          </w:p>
        </w:tc>
        <w:tc>
          <w:tcPr>
            <w:tcW w:w="637" w:type="dxa"/>
            <w:tcBorders>
              <w:left w:val="single" w:sz="4" w:space="0" w:color="auto"/>
            </w:tcBorders>
            <w:shd w:val="clear" w:color="auto" w:fill="auto"/>
            <w:noWrap/>
            <w:vAlign w:val="bottom"/>
            <w:hideMark/>
          </w:tcPr>
          <w:p w14:paraId="5B4EEFA3"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7E4C1854"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484E3FBB" w14:textId="77777777" w:rsidR="008903F7" w:rsidRPr="009F19BD" w:rsidRDefault="008903F7" w:rsidP="00B50CDC">
            <w:pPr>
              <w:pStyle w:val="NoSpacing"/>
              <w:rPr>
                <w:rFonts w:ascii="Times New Roman" w:hAnsi="Times New Roman" w:cs="Times New Roman"/>
                <w:lang w:eastAsia="en-GB"/>
              </w:rPr>
            </w:pPr>
          </w:p>
        </w:tc>
        <w:tc>
          <w:tcPr>
            <w:tcW w:w="780" w:type="dxa"/>
            <w:shd w:val="clear" w:color="auto" w:fill="auto"/>
            <w:noWrap/>
            <w:vAlign w:val="bottom"/>
            <w:hideMark/>
          </w:tcPr>
          <w:p w14:paraId="7CEFD474" w14:textId="77777777" w:rsidR="008903F7" w:rsidRPr="009F19BD" w:rsidRDefault="008903F7" w:rsidP="00B50CDC">
            <w:pPr>
              <w:pStyle w:val="NoSpacing"/>
              <w:rPr>
                <w:rFonts w:ascii="Times New Roman" w:hAnsi="Times New Roman" w:cs="Times New Roman"/>
                <w:lang w:eastAsia="en-GB"/>
              </w:rPr>
            </w:pPr>
          </w:p>
        </w:tc>
      </w:tr>
      <w:tr w:rsidR="008903F7" w:rsidRPr="009F19BD" w14:paraId="1BC5F5BE" w14:textId="77777777" w:rsidTr="00B50CDC">
        <w:trPr>
          <w:trHeight w:val="558"/>
        </w:trPr>
        <w:tc>
          <w:tcPr>
            <w:tcW w:w="2547" w:type="dxa"/>
            <w:tcBorders>
              <w:top w:val="nil"/>
              <w:bottom w:val="nil"/>
              <w:right w:val="single" w:sz="4" w:space="0" w:color="auto"/>
            </w:tcBorders>
            <w:shd w:val="clear" w:color="auto" w:fill="auto"/>
            <w:noWrap/>
            <w:vAlign w:val="bottom"/>
            <w:hideMark/>
          </w:tcPr>
          <w:p w14:paraId="498446A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Hydro dam</w:t>
            </w:r>
          </w:p>
        </w:tc>
        <w:tc>
          <w:tcPr>
            <w:tcW w:w="834" w:type="dxa"/>
            <w:tcBorders>
              <w:left w:val="single" w:sz="4" w:space="0" w:color="auto"/>
            </w:tcBorders>
            <w:shd w:val="clear" w:color="auto" w:fill="auto"/>
            <w:noWrap/>
            <w:vAlign w:val="bottom"/>
            <w:hideMark/>
          </w:tcPr>
          <w:p w14:paraId="7298690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1650-6050</w:t>
            </w:r>
          </w:p>
        </w:tc>
        <w:tc>
          <w:tcPr>
            <w:tcW w:w="677" w:type="dxa"/>
            <w:shd w:val="clear" w:color="auto" w:fill="auto"/>
            <w:noWrap/>
            <w:vAlign w:val="bottom"/>
            <w:hideMark/>
          </w:tcPr>
          <w:p w14:paraId="5C035B3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1623-5913</w:t>
            </w:r>
          </w:p>
        </w:tc>
        <w:tc>
          <w:tcPr>
            <w:tcW w:w="677" w:type="dxa"/>
            <w:shd w:val="clear" w:color="auto" w:fill="auto"/>
            <w:noWrap/>
            <w:vAlign w:val="bottom"/>
            <w:hideMark/>
          </w:tcPr>
          <w:p w14:paraId="07CEFCB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1595-5775</w:t>
            </w:r>
          </w:p>
        </w:tc>
        <w:tc>
          <w:tcPr>
            <w:tcW w:w="677" w:type="dxa"/>
            <w:shd w:val="clear" w:color="auto" w:fill="auto"/>
            <w:noWrap/>
            <w:vAlign w:val="bottom"/>
            <w:hideMark/>
          </w:tcPr>
          <w:p w14:paraId="2AC1A0A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1568-5638</w:t>
            </w:r>
          </w:p>
        </w:tc>
        <w:tc>
          <w:tcPr>
            <w:tcW w:w="720" w:type="dxa"/>
            <w:tcBorders>
              <w:right w:val="single" w:sz="4" w:space="0" w:color="auto"/>
            </w:tcBorders>
            <w:shd w:val="clear" w:color="auto" w:fill="auto"/>
            <w:noWrap/>
            <w:vAlign w:val="bottom"/>
            <w:hideMark/>
          </w:tcPr>
          <w:p w14:paraId="613C9B3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1540-5500</w:t>
            </w:r>
          </w:p>
        </w:tc>
        <w:tc>
          <w:tcPr>
            <w:tcW w:w="637" w:type="dxa"/>
            <w:tcBorders>
              <w:left w:val="single" w:sz="4" w:space="0" w:color="auto"/>
            </w:tcBorders>
            <w:shd w:val="clear" w:color="auto" w:fill="auto"/>
            <w:noWrap/>
            <w:vAlign w:val="bottom"/>
            <w:hideMark/>
          </w:tcPr>
          <w:p w14:paraId="6D1AFBBF"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3F38B0C5"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7CE23C12" w14:textId="77777777" w:rsidR="008903F7" w:rsidRPr="009F19BD" w:rsidRDefault="008903F7" w:rsidP="00B50CDC">
            <w:pPr>
              <w:pStyle w:val="NoSpacing"/>
              <w:rPr>
                <w:rFonts w:ascii="Times New Roman" w:hAnsi="Times New Roman" w:cs="Times New Roman"/>
                <w:lang w:eastAsia="en-GB"/>
              </w:rPr>
            </w:pPr>
          </w:p>
        </w:tc>
        <w:tc>
          <w:tcPr>
            <w:tcW w:w="780" w:type="dxa"/>
            <w:shd w:val="clear" w:color="auto" w:fill="auto"/>
            <w:noWrap/>
            <w:vAlign w:val="bottom"/>
            <w:hideMark/>
          </w:tcPr>
          <w:p w14:paraId="0E277BD3" w14:textId="77777777" w:rsidR="008903F7" w:rsidRPr="009F19BD" w:rsidRDefault="008903F7" w:rsidP="00B50CDC">
            <w:pPr>
              <w:pStyle w:val="NoSpacing"/>
              <w:rPr>
                <w:rFonts w:ascii="Times New Roman" w:hAnsi="Times New Roman" w:cs="Times New Roman"/>
                <w:lang w:eastAsia="en-GB"/>
              </w:rPr>
            </w:pPr>
          </w:p>
        </w:tc>
      </w:tr>
      <w:tr w:rsidR="008903F7" w:rsidRPr="009F19BD" w14:paraId="208017E6"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14713452"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Solar CSP</w:t>
            </w:r>
          </w:p>
        </w:tc>
        <w:tc>
          <w:tcPr>
            <w:tcW w:w="834" w:type="dxa"/>
            <w:tcBorders>
              <w:left w:val="single" w:sz="4" w:space="0" w:color="auto"/>
            </w:tcBorders>
            <w:shd w:val="clear" w:color="auto" w:fill="auto"/>
            <w:noWrap/>
            <w:vAlign w:val="bottom"/>
            <w:hideMark/>
          </w:tcPr>
          <w:p w14:paraId="55F0ED6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5850</w:t>
            </w:r>
          </w:p>
        </w:tc>
        <w:tc>
          <w:tcPr>
            <w:tcW w:w="677" w:type="dxa"/>
            <w:shd w:val="clear" w:color="auto" w:fill="auto"/>
            <w:noWrap/>
            <w:vAlign w:val="bottom"/>
            <w:hideMark/>
          </w:tcPr>
          <w:p w14:paraId="16D06A6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3330</w:t>
            </w:r>
          </w:p>
        </w:tc>
        <w:tc>
          <w:tcPr>
            <w:tcW w:w="677" w:type="dxa"/>
            <w:shd w:val="clear" w:color="auto" w:fill="auto"/>
            <w:noWrap/>
            <w:vAlign w:val="bottom"/>
            <w:hideMark/>
          </w:tcPr>
          <w:p w14:paraId="548FA18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2700</w:t>
            </w:r>
          </w:p>
        </w:tc>
        <w:tc>
          <w:tcPr>
            <w:tcW w:w="677" w:type="dxa"/>
            <w:shd w:val="clear" w:color="auto" w:fill="auto"/>
            <w:noWrap/>
            <w:vAlign w:val="bottom"/>
            <w:hideMark/>
          </w:tcPr>
          <w:p w14:paraId="253582C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2385</w:t>
            </w:r>
          </w:p>
        </w:tc>
        <w:tc>
          <w:tcPr>
            <w:tcW w:w="720" w:type="dxa"/>
            <w:tcBorders>
              <w:right w:val="single" w:sz="4" w:space="0" w:color="auto"/>
            </w:tcBorders>
            <w:shd w:val="clear" w:color="auto" w:fill="auto"/>
            <w:noWrap/>
            <w:vAlign w:val="bottom"/>
            <w:hideMark/>
          </w:tcPr>
          <w:p w14:paraId="10E6DCF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2070</w:t>
            </w:r>
          </w:p>
        </w:tc>
        <w:tc>
          <w:tcPr>
            <w:tcW w:w="637" w:type="dxa"/>
            <w:tcBorders>
              <w:left w:val="single" w:sz="4" w:space="0" w:color="auto"/>
            </w:tcBorders>
            <w:shd w:val="clear" w:color="auto" w:fill="auto"/>
            <w:noWrap/>
            <w:vAlign w:val="bottom"/>
            <w:hideMark/>
          </w:tcPr>
          <w:p w14:paraId="03B8C7CE"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tcPr>
          <w:p w14:paraId="62D5E0E8"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tcPr>
          <w:p w14:paraId="42221187" w14:textId="77777777" w:rsidR="008903F7" w:rsidRPr="009F19BD" w:rsidRDefault="008903F7" w:rsidP="00B50CDC">
            <w:pPr>
              <w:pStyle w:val="NoSpacing"/>
              <w:rPr>
                <w:rFonts w:ascii="Times New Roman" w:hAnsi="Times New Roman" w:cs="Times New Roman"/>
                <w:lang w:eastAsia="en-GB"/>
              </w:rPr>
            </w:pPr>
          </w:p>
        </w:tc>
        <w:tc>
          <w:tcPr>
            <w:tcW w:w="780" w:type="dxa"/>
            <w:shd w:val="clear" w:color="auto" w:fill="auto"/>
            <w:noWrap/>
            <w:vAlign w:val="bottom"/>
          </w:tcPr>
          <w:p w14:paraId="30073B71" w14:textId="77777777" w:rsidR="008903F7" w:rsidRPr="009F19BD" w:rsidRDefault="008903F7" w:rsidP="00B50CDC">
            <w:pPr>
              <w:pStyle w:val="NoSpacing"/>
              <w:rPr>
                <w:rFonts w:ascii="Times New Roman" w:hAnsi="Times New Roman" w:cs="Times New Roman"/>
                <w:lang w:eastAsia="en-GB"/>
              </w:rPr>
            </w:pPr>
          </w:p>
        </w:tc>
      </w:tr>
      <w:tr w:rsidR="008903F7" w:rsidRPr="009F19BD" w14:paraId="7AC6FF25"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6D218EB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Solar PV</w:t>
            </w:r>
          </w:p>
        </w:tc>
        <w:tc>
          <w:tcPr>
            <w:tcW w:w="834" w:type="dxa"/>
            <w:tcBorders>
              <w:left w:val="single" w:sz="4" w:space="0" w:color="auto"/>
            </w:tcBorders>
            <w:shd w:val="clear" w:color="auto" w:fill="auto"/>
            <w:noWrap/>
            <w:vAlign w:val="bottom"/>
            <w:hideMark/>
          </w:tcPr>
          <w:p w14:paraId="3B6D239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2587</w:t>
            </w:r>
          </w:p>
        </w:tc>
        <w:tc>
          <w:tcPr>
            <w:tcW w:w="677" w:type="dxa"/>
            <w:shd w:val="clear" w:color="auto" w:fill="auto"/>
            <w:noWrap/>
            <w:vAlign w:val="bottom"/>
            <w:hideMark/>
          </w:tcPr>
          <w:p w14:paraId="64FAAC9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667</w:t>
            </w:r>
          </w:p>
        </w:tc>
        <w:tc>
          <w:tcPr>
            <w:tcW w:w="677" w:type="dxa"/>
            <w:shd w:val="clear" w:color="auto" w:fill="auto"/>
            <w:noWrap/>
            <w:vAlign w:val="bottom"/>
            <w:hideMark/>
          </w:tcPr>
          <w:p w14:paraId="7FBD310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437</w:t>
            </w:r>
          </w:p>
        </w:tc>
        <w:tc>
          <w:tcPr>
            <w:tcW w:w="677" w:type="dxa"/>
            <w:shd w:val="clear" w:color="auto" w:fill="auto"/>
            <w:noWrap/>
            <w:vAlign w:val="bottom"/>
            <w:hideMark/>
          </w:tcPr>
          <w:p w14:paraId="180E5DD1" w14:textId="77777777" w:rsidR="008903F7" w:rsidRPr="009F19BD" w:rsidRDefault="008903F7" w:rsidP="00B50CDC">
            <w:pPr>
              <w:pStyle w:val="NoSpacing"/>
              <w:rPr>
                <w:rFonts w:ascii="Times New Roman" w:hAnsi="Times New Roman" w:cs="Times New Roman"/>
                <w:lang w:eastAsia="en-GB"/>
              </w:rPr>
            </w:pPr>
          </w:p>
        </w:tc>
        <w:tc>
          <w:tcPr>
            <w:tcW w:w="720" w:type="dxa"/>
            <w:tcBorders>
              <w:right w:val="single" w:sz="4" w:space="0" w:color="auto"/>
            </w:tcBorders>
            <w:shd w:val="clear" w:color="auto" w:fill="auto"/>
            <w:noWrap/>
            <w:vAlign w:val="bottom"/>
            <w:hideMark/>
          </w:tcPr>
          <w:p w14:paraId="7A31DC0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288</w:t>
            </w:r>
          </w:p>
        </w:tc>
        <w:tc>
          <w:tcPr>
            <w:tcW w:w="637" w:type="dxa"/>
            <w:tcBorders>
              <w:left w:val="single" w:sz="4" w:space="0" w:color="auto"/>
            </w:tcBorders>
            <w:shd w:val="clear" w:color="auto" w:fill="auto"/>
            <w:noWrap/>
            <w:vAlign w:val="bottom"/>
            <w:hideMark/>
          </w:tcPr>
          <w:p w14:paraId="65D33F8D"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tcPr>
          <w:p w14:paraId="7439EED8"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tcPr>
          <w:p w14:paraId="6D8CC083" w14:textId="77777777" w:rsidR="008903F7" w:rsidRPr="009F19BD" w:rsidRDefault="008903F7" w:rsidP="00B50CDC">
            <w:pPr>
              <w:pStyle w:val="NoSpacing"/>
              <w:rPr>
                <w:rFonts w:ascii="Times New Roman" w:hAnsi="Times New Roman" w:cs="Times New Roman"/>
                <w:lang w:eastAsia="en-GB"/>
              </w:rPr>
            </w:pPr>
          </w:p>
        </w:tc>
        <w:tc>
          <w:tcPr>
            <w:tcW w:w="780" w:type="dxa"/>
            <w:shd w:val="clear" w:color="auto" w:fill="auto"/>
            <w:noWrap/>
            <w:vAlign w:val="bottom"/>
          </w:tcPr>
          <w:p w14:paraId="4BC25F18" w14:textId="77777777" w:rsidR="008903F7" w:rsidRPr="009F19BD" w:rsidRDefault="008903F7" w:rsidP="00B50CDC">
            <w:pPr>
              <w:pStyle w:val="NoSpacing"/>
              <w:rPr>
                <w:rFonts w:ascii="Times New Roman" w:hAnsi="Times New Roman" w:cs="Times New Roman"/>
                <w:lang w:eastAsia="en-GB"/>
              </w:rPr>
            </w:pPr>
          </w:p>
        </w:tc>
      </w:tr>
      <w:tr w:rsidR="008903F7" w:rsidRPr="009F19BD" w14:paraId="448642A4"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3F37301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Tidal</w:t>
            </w:r>
          </w:p>
        </w:tc>
        <w:tc>
          <w:tcPr>
            <w:tcW w:w="834" w:type="dxa"/>
            <w:tcBorders>
              <w:left w:val="single" w:sz="4" w:space="0" w:color="auto"/>
            </w:tcBorders>
            <w:shd w:val="clear" w:color="auto" w:fill="auto"/>
            <w:noWrap/>
            <w:vAlign w:val="bottom"/>
            <w:hideMark/>
          </w:tcPr>
          <w:p w14:paraId="433BDF4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6600</w:t>
            </w:r>
          </w:p>
        </w:tc>
        <w:tc>
          <w:tcPr>
            <w:tcW w:w="677" w:type="dxa"/>
            <w:shd w:val="clear" w:color="auto" w:fill="auto"/>
            <w:noWrap/>
            <w:vAlign w:val="bottom"/>
            <w:hideMark/>
          </w:tcPr>
          <w:p w14:paraId="6AF2991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5500</w:t>
            </w:r>
          </w:p>
        </w:tc>
        <w:tc>
          <w:tcPr>
            <w:tcW w:w="677" w:type="dxa"/>
            <w:shd w:val="clear" w:color="auto" w:fill="auto"/>
            <w:noWrap/>
            <w:vAlign w:val="bottom"/>
            <w:hideMark/>
          </w:tcPr>
          <w:p w14:paraId="77E7D47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4400</w:t>
            </w:r>
          </w:p>
        </w:tc>
        <w:tc>
          <w:tcPr>
            <w:tcW w:w="677" w:type="dxa"/>
            <w:shd w:val="clear" w:color="auto" w:fill="auto"/>
            <w:noWrap/>
            <w:vAlign w:val="bottom"/>
            <w:hideMark/>
          </w:tcPr>
          <w:p w14:paraId="13CE62E6" w14:textId="77777777" w:rsidR="008903F7" w:rsidRPr="009F19BD" w:rsidRDefault="008903F7" w:rsidP="00B50CDC">
            <w:pPr>
              <w:pStyle w:val="NoSpacing"/>
              <w:rPr>
                <w:rFonts w:ascii="Times New Roman" w:hAnsi="Times New Roman" w:cs="Times New Roman"/>
                <w:lang w:eastAsia="en-GB"/>
              </w:rPr>
            </w:pPr>
          </w:p>
        </w:tc>
        <w:tc>
          <w:tcPr>
            <w:tcW w:w="720" w:type="dxa"/>
            <w:tcBorders>
              <w:right w:val="single" w:sz="4" w:space="0" w:color="auto"/>
            </w:tcBorders>
            <w:shd w:val="clear" w:color="auto" w:fill="auto"/>
            <w:noWrap/>
            <w:vAlign w:val="bottom"/>
            <w:hideMark/>
          </w:tcPr>
          <w:p w14:paraId="6FB4D5A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3432</w:t>
            </w:r>
          </w:p>
        </w:tc>
        <w:tc>
          <w:tcPr>
            <w:tcW w:w="637" w:type="dxa"/>
            <w:tcBorders>
              <w:left w:val="single" w:sz="4" w:space="0" w:color="auto"/>
            </w:tcBorders>
            <w:shd w:val="clear" w:color="auto" w:fill="auto"/>
            <w:noWrap/>
            <w:vAlign w:val="bottom"/>
            <w:hideMark/>
          </w:tcPr>
          <w:p w14:paraId="0775B8DF"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tcPr>
          <w:p w14:paraId="4A41FBE2"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tcPr>
          <w:p w14:paraId="6068E1C5" w14:textId="77777777" w:rsidR="008903F7" w:rsidRPr="009F19BD" w:rsidRDefault="008903F7" w:rsidP="00B50CDC">
            <w:pPr>
              <w:pStyle w:val="NoSpacing"/>
              <w:rPr>
                <w:rFonts w:ascii="Times New Roman" w:hAnsi="Times New Roman" w:cs="Times New Roman"/>
                <w:lang w:eastAsia="en-GB"/>
              </w:rPr>
            </w:pPr>
          </w:p>
        </w:tc>
        <w:tc>
          <w:tcPr>
            <w:tcW w:w="780" w:type="dxa"/>
            <w:shd w:val="clear" w:color="auto" w:fill="auto"/>
            <w:noWrap/>
            <w:vAlign w:val="bottom"/>
          </w:tcPr>
          <w:p w14:paraId="32AA2626" w14:textId="77777777" w:rsidR="008903F7" w:rsidRPr="009F19BD" w:rsidRDefault="008903F7" w:rsidP="00B50CDC">
            <w:pPr>
              <w:pStyle w:val="NoSpacing"/>
              <w:rPr>
                <w:rFonts w:ascii="Times New Roman" w:hAnsi="Times New Roman" w:cs="Times New Roman"/>
                <w:lang w:eastAsia="en-GB"/>
              </w:rPr>
            </w:pPr>
          </w:p>
        </w:tc>
      </w:tr>
      <w:tr w:rsidR="008903F7" w:rsidRPr="009F19BD" w14:paraId="47C687AA" w14:textId="77777777" w:rsidTr="00B50CDC">
        <w:trPr>
          <w:trHeight w:val="300"/>
        </w:trPr>
        <w:tc>
          <w:tcPr>
            <w:tcW w:w="2547" w:type="dxa"/>
            <w:tcBorders>
              <w:top w:val="nil"/>
              <w:bottom w:val="nil"/>
              <w:right w:val="single" w:sz="4" w:space="0" w:color="auto"/>
            </w:tcBorders>
            <w:shd w:val="clear" w:color="auto" w:fill="auto"/>
            <w:noWrap/>
            <w:vAlign w:val="bottom"/>
            <w:hideMark/>
          </w:tcPr>
          <w:p w14:paraId="6DB7685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Offshore wind</w:t>
            </w:r>
          </w:p>
        </w:tc>
        <w:tc>
          <w:tcPr>
            <w:tcW w:w="834" w:type="dxa"/>
            <w:tcBorders>
              <w:left w:val="single" w:sz="4" w:space="0" w:color="auto"/>
            </w:tcBorders>
            <w:shd w:val="clear" w:color="auto" w:fill="auto"/>
            <w:noWrap/>
            <w:vAlign w:val="bottom"/>
            <w:hideMark/>
          </w:tcPr>
          <w:p w14:paraId="3029C3FE" w14:textId="77777777" w:rsidR="008903F7" w:rsidRPr="009F19BD" w:rsidRDefault="008903F7" w:rsidP="00B50CDC">
            <w:pPr>
              <w:pStyle w:val="NoSpacing"/>
              <w:rPr>
                <w:rFonts w:ascii="Times New Roman" w:hAnsi="Times New Roman" w:cs="Times New Roman"/>
                <w:lang w:eastAsia="en-GB"/>
              </w:rPr>
            </w:pPr>
          </w:p>
        </w:tc>
        <w:tc>
          <w:tcPr>
            <w:tcW w:w="677" w:type="dxa"/>
            <w:shd w:val="clear" w:color="auto" w:fill="auto"/>
            <w:noWrap/>
            <w:vAlign w:val="bottom"/>
            <w:hideMark/>
          </w:tcPr>
          <w:p w14:paraId="4D50B5B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3229</w:t>
            </w:r>
          </w:p>
        </w:tc>
        <w:tc>
          <w:tcPr>
            <w:tcW w:w="677" w:type="dxa"/>
            <w:shd w:val="clear" w:color="auto" w:fill="auto"/>
            <w:noWrap/>
            <w:vAlign w:val="bottom"/>
            <w:hideMark/>
          </w:tcPr>
          <w:p w14:paraId="2C585AD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2507</w:t>
            </w:r>
          </w:p>
        </w:tc>
        <w:tc>
          <w:tcPr>
            <w:tcW w:w="677" w:type="dxa"/>
            <w:shd w:val="clear" w:color="auto" w:fill="auto"/>
            <w:noWrap/>
            <w:vAlign w:val="bottom"/>
            <w:hideMark/>
          </w:tcPr>
          <w:p w14:paraId="54A2B64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1983</w:t>
            </w:r>
          </w:p>
        </w:tc>
        <w:tc>
          <w:tcPr>
            <w:tcW w:w="720" w:type="dxa"/>
            <w:tcBorders>
              <w:right w:val="single" w:sz="4" w:space="0" w:color="auto"/>
            </w:tcBorders>
            <w:shd w:val="clear" w:color="auto" w:fill="auto"/>
            <w:noWrap/>
            <w:vAlign w:val="bottom"/>
            <w:hideMark/>
          </w:tcPr>
          <w:p w14:paraId="01370A5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1591</w:t>
            </w:r>
          </w:p>
        </w:tc>
        <w:tc>
          <w:tcPr>
            <w:tcW w:w="637" w:type="dxa"/>
            <w:tcBorders>
              <w:left w:val="single" w:sz="4" w:space="0" w:color="auto"/>
            </w:tcBorders>
            <w:shd w:val="clear" w:color="auto" w:fill="auto"/>
            <w:noWrap/>
            <w:vAlign w:val="bottom"/>
            <w:hideMark/>
          </w:tcPr>
          <w:p w14:paraId="3794C249"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60EE4F13" w14:textId="77777777" w:rsidR="008903F7" w:rsidRPr="009F19BD" w:rsidRDefault="008903F7" w:rsidP="00B50CDC">
            <w:pPr>
              <w:pStyle w:val="NoSpacing"/>
              <w:rPr>
                <w:rFonts w:ascii="Times New Roman" w:hAnsi="Times New Roman" w:cs="Times New Roman"/>
                <w:lang w:eastAsia="en-GB"/>
              </w:rPr>
            </w:pPr>
          </w:p>
        </w:tc>
        <w:tc>
          <w:tcPr>
            <w:tcW w:w="680" w:type="dxa"/>
            <w:shd w:val="clear" w:color="auto" w:fill="auto"/>
            <w:noWrap/>
            <w:vAlign w:val="bottom"/>
            <w:hideMark/>
          </w:tcPr>
          <w:p w14:paraId="315C6811" w14:textId="77777777" w:rsidR="008903F7" w:rsidRPr="009F19BD" w:rsidRDefault="008903F7" w:rsidP="00B50CDC">
            <w:pPr>
              <w:pStyle w:val="NoSpacing"/>
              <w:rPr>
                <w:rFonts w:ascii="Times New Roman" w:hAnsi="Times New Roman" w:cs="Times New Roman"/>
                <w:lang w:eastAsia="en-GB"/>
              </w:rPr>
            </w:pPr>
          </w:p>
        </w:tc>
        <w:tc>
          <w:tcPr>
            <w:tcW w:w="780" w:type="dxa"/>
            <w:shd w:val="clear" w:color="auto" w:fill="auto"/>
            <w:noWrap/>
            <w:vAlign w:val="bottom"/>
            <w:hideMark/>
          </w:tcPr>
          <w:p w14:paraId="411117B0" w14:textId="77777777" w:rsidR="008903F7" w:rsidRPr="009F19BD" w:rsidRDefault="008903F7" w:rsidP="00B50CDC">
            <w:pPr>
              <w:pStyle w:val="NoSpacing"/>
              <w:rPr>
                <w:rFonts w:ascii="Times New Roman" w:hAnsi="Times New Roman" w:cs="Times New Roman"/>
                <w:lang w:eastAsia="en-GB"/>
              </w:rPr>
            </w:pPr>
          </w:p>
        </w:tc>
      </w:tr>
      <w:tr w:rsidR="008903F7" w:rsidRPr="009F19BD" w14:paraId="73D45296" w14:textId="77777777" w:rsidTr="00B50CDC">
        <w:trPr>
          <w:trHeight w:val="300"/>
        </w:trPr>
        <w:tc>
          <w:tcPr>
            <w:tcW w:w="2547" w:type="dxa"/>
            <w:tcBorders>
              <w:top w:val="nil"/>
              <w:bottom w:val="single" w:sz="4" w:space="0" w:color="auto"/>
              <w:right w:val="single" w:sz="4" w:space="0" w:color="auto"/>
            </w:tcBorders>
            <w:shd w:val="clear" w:color="auto" w:fill="auto"/>
            <w:noWrap/>
            <w:vAlign w:val="bottom"/>
            <w:hideMark/>
          </w:tcPr>
          <w:p w14:paraId="264F5E9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Onshore wind</w:t>
            </w:r>
          </w:p>
        </w:tc>
        <w:tc>
          <w:tcPr>
            <w:tcW w:w="834" w:type="dxa"/>
            <w:tcBorders>
              <w:left w:val="single" w:sz="4" w:space="0" w:color="auto"/>
              <w:bottom w:val="single" w:sz="4" w:space="0" w:color="auto"/>
            </w:tcBorders>
            <w:shd w:val="clear" w:color="auto" w:fill="auto"/>
            <w:noWrap/>
            <w:vAlign w:val="bottom"/>
            <w:hideMark/>
          </w:tcPr>
          <w:p w14:paraId="4DECE541" w14:textId="77777777" w:rsidR="008903F7" w:rsidRPr="009F19BD" w:rsidRDefault="008903F7" w:rsidP="00B50CDC">
            <w:pPr>
              <w:pStyle w:val="NoSpacing"/>
              <w:rPr>
                <w:rFonts w:ascii="Times New Roman" w:hAnsi="Times New Roman" w:cs="Times New Roman"/>
                <w:lang w:eastAsia="en-GB"/>
              </w:rPr>
            </w:pPr>
          </w:p>
        </w:tc>
        <w:tc>
          <w:tcPr>
            <w:tcW w:w="677" w:type="dxa"/>
            <w:tcBorders>
              <w:bottom w:val="single" w:sz="4" w:space="0" w:color="auto"/>
            </w:tcBorders>
            <w:shd w:val="clear" w:color="auto" w:fill="auto"/>
            <w:noWrap/>
            <w:vAlign w:val="bottom"/>
            <w:hideMark/>
          </w:tcPr>
          <w:p w14:paraId="1423C80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1110</w:t>
            </w:r>
          </w:p>
        </w:tc>
        <w:tc>
          <w:tcPr>
            <w:tcW w:w="677" w:type="dxa"/>
            <w:tcBorders>
              <w:bottom w:val="single" w:sz="4" w:space="0" w:color="auto"/>
            </w:tcBorders>
            <w:shd w:val="clear" w:color="auto" w:fill="auto"/>
            <w:noWrap/>
            <w:vAlign w:val="bottom"/>
            <w:hideMark/>
          </w:tcPr>
          <w:p w14:paraId="3BBC9C9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1011</w:t>
            </w:r>
          </w:p>
        </w:tc>
        <w:tc>
          <w:tcPr>
            <w:tcW w:w="677" w:type="dxa"/>
            <w:tcBorders>
              <w:bottom w:val="single" w:sz="4" w:space="0" w:color="auto"/>
            </w:tcBorders>
            <w:shd w:val="clear" w:color="auto" w:fill="auto"/>
            <w:noWrap/>
            <w:vAlign w:val="bottom"/>
            <w:hideMark/>
          </w:tcPr>
          <w:p w14:paraId="4DD0189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949</w:t>
            </w:r>
          </w:p>
        </w:tc>
        <w:tc>
          <w:tcPr>
            <w:tcW w:w="720" w:type="dxa"/>
            <w:tcBorders>
              <w:bottom w:val="single" w:sz="4" w:space="0" w:color="auto"/>
              <w:right w:val="single" w:sz="4" w:space="0" w:color="auto"/>
            </w:tcBorders>
            <w:shd w:val="clear" w:color="auto" w:fill="auto"/>
            <w:noWrap/>
            <w:vAlign w:val="bottom"/>
            <w:hideMark/>
          </w:tcPr>
          <w:p w14:paraId="434CE4A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919</w:t>
            </w:r>
          </w:p>
        </w:tc>
        <w:tc>
          <w:tcPr>
            <w:tcW w:w="637" w:type="dxa"/>
            <w:tcBorders>
              <w:left w:val="single" w:sz="4" w:space="0" w:color="auto"/>
              <w:bottom w:val="single" w:sz="4" w:space="0" w:color="auto"/>
            </w:tcBorders>
            <w:shd w:val="clear" w:color="auto" w:fill="auto"/>
            <w:noWrap/>
            <w:vAlign w:val="bottom"/>
            <w:hideMark/>
          </w:tcPr>
          <w:p w14:paraId="77EC952F" w14:textId="77777777" w:rsidR="008903F7" w:rsidRPr="009F19BD" w:rsidRDefault="008903F7" w:rsidP="00B50CDC">
            <w:pPr>
              <w:pStyle w:val="NoSpacing"/>
              <w:rPr>
                <w:rFonts w:ascii="Times New Roman" w:hAnsi="Times New Roman" w:cs="Times New Roman"/>
                <w:lang w:eastAsia="en-GB"/>
              </w:rPr>
            </w:pPr>
          </w:p>
        </w:tc>
        <w:tc>
          <w:tcPr>
            <w:tcW w:w="680" w:type="dxa"/>
            <w:tcBorders>
              <w:bottom w:val="single" w:sz="4" w:space="0" w:color="auto"/>
            </w:tcBorders>
            <w:shd w:val="clear" w:color="auto" w:fill="auto"/>
            <w:noWrap/>
            <w:vAlign w:val="bottom"/>
            <w:hideMark/>
          </w:tcPr>
          <w:p w14:paraId="4A2426F5" w14:textId="77777777" w:rsidR="008903F7" w:rsidRPr="009F19BD" w:rsidRDefault="008903F7" w:rsidP="00B50CDC">
            <w:pPr>
              <w:pStyle w:val="NoSpacing"/>
              <w:rPr>
                <w:rFonts w:ascii="Times New Roman" w:hAnsi="Times New Roman" w:cs="Times New Roman"/>
                <w:lang w:eastAsia="en-GB"/>
              </w:rPr>
            </w:pPr>
          </w:p>
        </w:tc>
        <w:tc>
          <w:tcPr>
            <w:tcW w:w="680" w:type="dxa"/>
            <w:tcBorders>
              <w:bottom w:val="single" w:sz="4" w:space="0" w:color="auto"/>
            </w:tcBorders>
            <w:shd w:val="clear" w:color="auto" w:fill="auto"/>
            <w:noWrap/>
            <w:vAlign w:val="bottom"/>
            <w:hideMark/>
          </w:tcPr>
          <w:p w14:paraId="67F75AA5" w14:textId="77777777" w:rsidR="008903F7" w:rsidRPr="009F19BD" w:rsidRDefault="008903F7" w:rsidP="00B50CDC">
            <w:pPr>
              <w:pStyle w:val="NoSpacing"/>
              <w:rPr>
                <w:rFonts w:ascii="Times New Roman" w:hAnsi="Times New Roman" w:cs="Times New Roman"/>
                <w:lang w:eastAsia="en-GB"/>
              </w:rPr>
            </w:pPr>
          </w:p>
        </w:tc>
        <w:tc>
          <w:tcPr>
            <w:tcW w:w="780" w:type="dxa"/>
            <w:tcBorders>
              <w:bottom w:val="single" w:sz="4" w:space="0" w:color="auto"/>
            </w:tcBorders>
            <w:shd w:val="clear" w:color="auto" w:fill="auto"/>
            <w:noWrap/>
            <w:vAlign w:val="bottom"/>
            <w:hideMark/>
          </w:tcPr>
          <w:p w14:paraId="175D5D63" w14:textId="77777777" w:rsidR="008903F7" w:rsidRPr="009F19BD" w:rsidRDefault="008903F7" w:rsidP="00B50CDC">
            <w:pPr>
              <w:pStyle w:val="NoSpacing"/>
              <w:rPr>
                <w:rFonts w:ascii="Times New Roman" w:hAnsi="Times New Roman" w:cs="Times New Roman"/>
                <w:lang w:eastAsia="en-GB"/>
              </w:rPr>
            </w:pPr>
          </w:p>
        </w:tc>
      </w:tr>
      <w:tr w:rsidR="008903F7" w:rsidRPr="009F19BD" w14:paraId="4C6F3351" w14:textId="77777777" w:rsidTr="00B50CDC">
        <w:trPr>
          <w:trHeight w:val="300"/>
        </w:trPr>
        <w:tc>
          <w:tcPr>
            <w:tcW w:w="2547" w:type="dxa"/>
            <w:tcBorders>
              <w:top w:val="single" w:sz="4" w:space="0" w:color="auto"/>
              <w:bottom w:val="single" w:sz="4" w:space="0" w:color="auto"/>
              <w:right w:val="single" w:sz="4" w:space="0" w:color="auto"/>
            </w:tcBorders>
            <w:shd w:val="clear" w:color="auto" w:fill="auto"/>
            <w:noWrap/>
            <w:vAlign w:val="bottom"/>
            <w:hideMark/>
          </w:tcPr>
          <w:p w14:paraId="33714A7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Nuclear Advanced LWR</w:t>
            </w:r>
          </w:p>
        </w:tc>
        <w:tc>
          <w:tcPr>
            <w:tcW w:w="834" w:type="dxa"/>
            <w:tcBorders>
              <w:top w:val="single" w:sz="4" w:space="0" w:color="auto"/>
              <w:left w:val="single" w:sz="4" w:space="0" w:color="auto"/>
              <w:bottom w:val="single" w:sz="4" w:space="0" w:color="auto"/>
            </w:tcBorders>
            <w:shd w:val="clear" w:color="auto" w:fill="auto"/>
            <w:noWrap/>
            <w:vAlign w:val="bottom"/>
            <w:hideMark/>
          </w:tcPr>
          <w:p w14:paraId="1C42886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4166</w:t>
            </w:r>
          </w:p>
        </w:tc>
        <w:tc>
          <w:tcPr>
            <w:tcW w:w="677" w:type="dxa"/>
            <w:tcBorders>
              <w:top w:val="single" w:sz="4" w:space="0" w:color="auto"/>
              <w:bottom w:val="single" w:sz="4" w:space="0" w:color="auto"/>
            </w:tcBorders>
            <w:shd w:val="clear" w:color="auto" w:fill="auto"/>
            <w:noWrap/>
            <w:vAlign w:val="bottom"/>
            <w:hideMark/>
          </w:tcPr>
          <w:p w14:paraId="3F76C03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3939</w:t>
            </w:r>
          </w:p>
        </w:tc>
        <w:tc>
          <w:tcPr>
            <w:tcW w:w="677" w:type="dxa"/>
            <w:tcBorders>
              <w:top w:val="single" w:sz="4" w:space="0" w:color="auto"/>
              <w:bottom w:val="single" w:sz="4" w:space="0" w:color="auto"/>
            </w:tcBorders>
            <w:shd w:val="clear" w:color="auto" w:fill="auto"/>
            <w:noWrap/>
            <w:vAlign w:val="bottom"/>
            <w:hideMark/>
          </w:tcPr>
          <w:p w14:paraId="49B8C2B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3849</w:t>
            </w:r>
          </w:p>
        </w:tc>
        <w:tc>
          <w:tcPr>
            <w:tcW w:w="677" w:type="dxa"/>
            <w:tcBorders>
              <w:top w:val="single" w:sz="4" w:space="0" w:color="auto"/>
              <w:bottom w:val="single" w:sz="4" w:space="0" w:color="auto"/>
            </w:tcBorders>
            <w:shd w:val="clear" w:color="auto" w:fill="auto"/>
            <w:noWrap/>
            <w:vAlign w:val="bottom"/>
            <w:hideMark/>
          </w:tcPr>
          <w:p w14:paraId="5011C96E" w14:textId="77777777" w:rsidR="008903F7" w:rsidRPr="009F19BD" w:rsidRDefault="008903F7" w:rsidP="00B50CDC">
            <w:pPr>
              <w:pStyle w:val="NoSpacing"/>
              <w:rPr>
                <w:rFonts w:ascii="Times New Roman" w:hAnsi="Times New Roman" w:cs="Times New Roman"/>
                <w:lang w:eastAsia="en-GB"/>
              </w:rPr>
            </w:pPr>
          </w:p>
        </w:tc>
        <w:tc>
          <w:tcPr>
            <w:tcW w:w="720" w:type="dxa"/>
            <w:tcBorders>
              <w:top w:val="single" w:sz="4" w:space="0" w:color="auto"/>
              <w:bottom w:val="single" w:sz="4" w:space="0" w:color="auto"/>
              <w:right w:val="single" w:sz="4" w:space="0" w:color="auto"/>
            </w:tcBorders>
            <w:shd w:val="clear" w:color="auto" w:fill="auto"/>
            <w:noWrap/>
            <w:vAlign w:val="bottom"/>
            <w:hideMark/>
          </w:tcPr>
          <w:p w14:paraId="5569659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3623</w:t>
            </w:r>
          </w:p>
        </w:tc>
        <w:tc>
          <w:tcPr>
            <w:tcW w:w="637" w:type="dxa"/>
            <w:tcBorders>
              <w:top w:val="single" w:sz="4" w:space="0" w:color="auto"/>
              <w:left w:val="single" w:sz="4" w:space="0" w:color="auto"/>
              <w:bottom w:val="single" w:sz="4" w:space="0" w:color="auto"/>
            </w:tcBorders>
            <w:shd w:val="clear" w:color="auto" w:fill="auto"/>
            <w:noWrap/>
            <w:vAlign w:val="bottom"/>
            <w:hideMark/>
          </w:tcPr>
          <w:p w14:paraId="476B2985" w14:textId="77777777" w:rsidR="008903F7" w:rsidRPr="009F19BD" w:rsidRDefault="008903F7" w:rsidP="00B50CDC">
            <w:pPr>
              <w:pStyle w:val="NoSpacing"/>
              <w:rPr>
                <w:rFonts w:ascii="Times New Roman" w:hAnsi="Times New Roman" w:cs="Times New Roman"/>
                <w:lang w:eastAsia="en-GB"/>
              </w:rPr>
            </w:pPr>
          </w:p>
        </w:tc>
        <w:tc>
          <w:tcPr>
            <w:tcW w:w="680" w:type="dxa"/>
            <w:tcBorders>
              <w:top w:val="single" w:sz="4" w:space="0" w:color="auto"/>
              <w:bottom w:val="single" w:sz="4" w:space="0" w:color="auto"/>
            </w:tcBorders>
            <w:shd w:val="clear" w:color="auto" w:fill="auto"/>
            <w:noWrap/>
            <w:vAlign w:val="bottom"/>
            <w:hideMark/>
          </w:tcPr>
          <w:p w14:paraId="7524C115" w14:textId="77777777" w:rsidR="008903F7" w:rsidRPr="009F19BD" w:rsidRDefault="008903F7" w:rsidP="00B50CDC">
            <w:pPr>
              <w:pStyle w:val="NoSpacing"/>
              <w:rPr>
                <w:rFonts w:ascii="Times New Roman" w:hAnsi="Times New Roman" w:cs="Times New Roman"/>
                <w:lang w:eastAsia="en-GB"/>
              </w:rPr>
            </w:pPr>
          </w:p>
        </w:tc>
        <w:tc>
          <w:tcPr>
            <w:tcW w:w="680" w:type="dxa"/>
            <w:tcBorders>
              <w:top w:val="single" w:sz="4" w:space="0" w:color="auto"/>
              <w:bottom w:val="single" w:sz="4" w:space="0" w:color="auto"/>
            </w:tcBorders>
            <w:shd w:val="clear" w:color="auto" w:fill="auto"/>
            <w:noWrap/>
            <w:vAlign w:val="bottom"/>
            <w:hideMark/>
          </w:tcPr>
          <w:p w14:paraId="1E1046CE" w14:textId="77777777" w:rsidR="008903F7" w:rsidRPr="009F19BD" w:rsidRDefault="008903F7" w:rsidP="00B50CDC">
            <w:pPr>
              <w:pStyle w:val="NoSpacing"/>
              <w:rPr>
                <w:rFonts w:ascii="Times New Roman" w:hAnsi="Times New Roman" w:cs="Times New Roman"/>
                <w:lang w:eastAsia="en-GB"/>
              </w:rPr>
            </w:pPr>
          </w:p>
        </w:tc>
        <w:tc>
          <w:tcPr>
            <w:tcW w:w="780" w:type="dxa"/>
            <w:tcBorders>
              <w:top w:val="single" w:sz="4" w:space="0" w:color="auto"/>
              <w:bottom w:val="single" w:sz="4" w:space="0" w:color="auto"/>
            </w:tcBorders>
            <w:shd w:val="clear" w:color="auto" w:fill="auto"/>
            <w:noWrap/>
            <w:vAlign w:val="bottom"/>
            <w:hideMark/>
          </w:tcPr>
          <w:p w14:paraId="71791032" w14:textId="77777777" w:rsidR="008903F7" w:rsidRPr="009F19BD" w:rsidRDefault="008903F7" w:rsidP="00B50CDC">
            <w:pPr>
              <w:pStyle w:val="NoSpacing"/>
              <w:rPr>
                <w:rFonts w:ascii="Times New Roman" w:hAnsi="Times New Roman" w:cs="Times New Roman"/>
                <w:lang w:eastAsia="en-GB"/>
              </w:rPr>
            </w:pPr>
          </w:p>
        </w:tc>
      </w:tr>
      <w:tr w:rsidR="008903F7" w:rsidRPr="009F19BD" w14:paraId="320EB627" w14:textId="77777777" w:rsidTr="00B50CDC">
        <w:trPr>
          <w:trHeight w:val="300"/>
        </w:trPr>
        <w:tc>
          <w:tcPr>
            <w:tcW w:w="2547" w:type="dxa"/>
            <w:tcBorders>
              <w:top w:val="single" w:sz="4" w:space="0" w:color="auto"/>
              <w:bottom w:val="single" w:sz="4" w:space="0" w:color="auto"/>
              <w:right w:val="single" w:sz="4" w:space="0" w:color="auto"/>
            </w:tcBorders>
            <w:shd w:val="clear" w:color="auto" w:fill="auto"/>
            <w:noWrap/>
            <w:vAlign w:val="bottom"/>
            <w:hideMark/>
          </w:tcPr>
          <w:p w14:paraId="61108CA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Storage</w:t>
            </w:r>
          </w:p>
        </w:tc>
        <w:tc>
          <w:tcPr>
            <w:tcW w:w="834" w:type="dxa"/>
            <w:tcBorders>
              <w:top w:val="single" w:sz="4" w:space="0" w:color="auto"/>
              <w:left w:val="single" w:sz="4" w:space="0" w:color="auto"/>
              <w:bottom w:val="single" w:sz="4" w:space="0" w:color="auto"/>
            </w:tcBorders>
            <w:shd w:val="clear" w:color="auto" w:fill="auto"/>
            <w:noWrap/>
            <w:vAlign w:val="bottom"/>
            <w:hideMark/>
          </w:tcPr>
          <w:p w14:paraId="52F0E7E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3300</w:t>
            </w:r>
          </w:p>
        </w:tc>
        <w:tc>
          <w:tcPr>
            <w:tcW w:w="677" w:type="dxa"/>
            <w:tcBorders>
              <w:top w:val="single" w:sz="4" w:space="0" w:color="auto"/>
              <w:bottom w:val="single" w:sz="4" w:space="0" w:color="auto"/>
            </w:tcBorders>
            <w:shd w:val="clear" w:color="auto" w:fill="auto"/>
            <w:noWrap/>
            <w:vAlign w:val="bottom"/>
            <w:hideMark/>
          </w:tcPr>
          <w:p w14:paraId="7EFCEE0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1359</w:t>
            </w:r>
          </w:p>
        </w:tc>
        <w:tc>
          <w:tcPr>
            <w:tcW w:w="677" w:type="dxa"/>
            <w:tcBorders>
              <w:top w:val="single" w:sz="4" w:space="0" w:color="auto"/>
              <w:bottom w:val="single" w:sz="4" w:space="0" w:color="auto"/>
            </w:tcBorders>
            <w:shd w:val="clear" w:color="auto" w:fill="auto"/>
            <w:noWrap/>
            <w:vAlign w:val="bottom"/>
            <w:hideMark/>
          </w:tcPr>
          <w:p w14:paraId="484407A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1051</w:t>
            </w:r>
          </w:p>
        </w:tc>
        <w:tc>
          <w:tcPr>
            <w:tcW w:w="677" w:type="dxa"/>
            <w:tcBorders>
              <w:top w:val="single" w:sz="4" w:space="0" w:color="auto"/>
              <w:bottom w:val="single" w:sz="4" w:space="0" w:color="auto"/>
            </w:tcBorders>
            <w:shd w:val="clear" w:color="auto" w:fill="auto"/>
            <w:noWrap/>
            <w:vAlign w:val="bottom"/>
            <w:hideMark/>
          </w:tcPr>
          <w:p w14:paraId="74E5DF8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700</w:t>
            </w:r>
          </w:p>
        </w:tc>
        <w:tc>
          <w:tcPr>
            <w:tcW w:w="720" w:type="dxa"/>
            <w:tcBorders>
              <w:top w:val="single" w:sz="4" w:space="0" w:color="auto"/>
              <w:bottom w:val="single" w:sz="4" w:space="0" w:color="auto"/>
              <w:right w:val="single" w:sz="4" w:space="0" w:color="auto"/>
            </w:tcBorders>
            <w:shd w:val="clear" w:color="auto" w:fill="auto"/>
            <w:noWrap/>
            <w:vAlign w:val="bottom"/>
            <w:hideMark/>
          </w:tcPr>
          <w:p w14:paraId="31BD9D7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510</w:t>
            </w:r>
          </w:p>
        </w:tc>
        <w:tc>
          <w:tcPr>
            <w:tcW w:w="637" w:type="dxa"/>
            <w:tcBorders>
              <w:top w:val="single" w:sz="4" w:space="0" w:color="auto"/>
              <w:left w:val="single" w:sz="4" w:space="0" w:color="auto"/>
              <w:bottom w:val="single" w:sz="4" w:space="0" w:color="auto"/>
            </w:tcBorders>
            <w:shd w:val="clear" w:color="auto" w:fill="auto"/>
            <w:noWrap/>
            <w:vAlign w:val="bottom"/>
            <w:hideMark/>
          </w:tcPr>
          <w:p w14:paraId="524F445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80</w:t>
            </w:r>
          </w:p>
        </w:tc>
        <w:tc>
          <w:tcPr>
            <w:tcW w:w="680" w:type="dxa"/>
            <w:tcBorders>
              <w:top w:val="single" w:sz="4" w:space="0" w:color="auto"/>
              <w:bottom w:val="single" w:sz="4" w:space="0" w:color="auto"/>
            </w:tcBorders>
            <w:shd w:val="clear" w:color="auto" w:fill="auto"/>
            <w:noWrap/>
            <w:vAlign w:val="bottom"/>
            <w:hideMark/>
          </w:tcPr>
          <w:p w14:paraId="45FD6A1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80</w:t>
            </w:r>
          </w:p>
        </w:tc>
        <w:tc>
          <w:tcPr>
            <w:tcW w:w="680" w:type="dxa"/>
            <w:tcBorders>
              <w:top w:val="single" w:sz="4" w:space="0" w:color="auto"/>
              <w:bottom w:val="single" w:sz="4" w:space="0" w:color="auto"/>
            </w:tcBorders>
            <w:shd w:val="clear" w:color="auto" w:fill="auto"/>
            <w:noWrap/>
            <w:vAlign w:val="bottom"/>
            <w:hideMark/>
          </w:tcPr>
          <w:p w14:paraId="25DCB05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80</w:t>
            </w:r>
          </w:p>
        </w:tc>
        <w:tc>
          <w:tcPr>
            <w:tcW w:w="780" w:type="dxa"/>
            <w:tcBorders>
              <w:top w:val="single" w:sz="4" w:space="0" w:color="auto"/>
              <w:bottom w:val="single" w:sz="4" w:space="0" w:color="auto"/>
            </w:tcBorders>
            <w:shd w:val="clear" w:color="auto" w:fill="auto"/>
            <w:noWrap/>
            <w:vAlign w:val="bottom"/>
            <w:hideMark/>
          </w:tcPr>
          <w:p w14:paraId="1E655F8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80</w:t>
            </w:r>
          </w:p>
        </w:tc>
      </w:tr>
    </w:tbl>
    <w:p w14:paraId="796ED686" w14:textId="77777777" w:rsidR="008903F7" w:rsidRPr="009F19BD" w:rsidRDefault="008903F7" w:rsidP="008903F7">
      <w:pPr>
        <w:rPr>
          <w:rFonts w:ascii="Times New Roman" w:hAnsi="Times New Roman" w:cs="Times New Roman"/>
        </w:rPr>
      </w:pPr>
    </w:p>
    <w:p w14:paraId="2C28C326" w14:textId="61B969BF" w:rsidR="008903F7" w:rsidRPr="009F19BD" w:rsidRDefault="008903F7" w:rsidP="008903F7">
      <w:pPr>
        <w:rPr>
          <w:rFonts w:ascii="Times New Roman" w:hAnsi="Times New Roman" w:cs="Times New Roman"/>
        </w:rPr>
      </w:pPr>
      <w:r w:rsidRPr="009F19BD">
        <w:rPr>
          <w:rFonts w:ascii="Times New Roman" w:hAnsi="Times New Roman" w:cs="Times New Roman"/>
        </w:rPr>
        <w:t>Source: All costs presented above are averages across the 16 regions in TIAM-UCL, however in the model, costs are differentiated across the different regions. Fossil and CCS technologies</w:t>
      </w:r>
      <w:r w:rsidRPr="009F19BD">
        <w:rPr>
          <w:rFonts w:ascii="Times New Roman" w:hAnsi="Times New Roman" w:cs="Times New Roman"/>
          <w:lang w:eastAsia="en-GB"/>
        </w:rPr>
        <w:t xml:space="preserve"> (Ekins et al. (2017)</w:t>
      </w:r>
      <w:r w:rsidR="00B82774">
        <w:rPr>
          <w:rStyle w:val="FootnoteReference"/>
          <w:rFonts w:ascii="Times New Roman" w:hAnsi="Times New Roman" w:cs="Times New Roman"/>
          <w:lang w:eastAsia="en-GB"/>
        </w:rPr>
        <w:footnoteReference w:id="7"/>
      </w:r>
      <w:r w:rsidRPr="009F19BD">
        <w:rPr>
          <w:rFonts w:ascii="Times New Roman" w:hAnsi="Times New Roman" w:cs="Times New Roman"/>
          <w:lang w:eastAsia="en-GB"/>
        </w:rPr>
        <w:fldChar w:fldCharType="begin" w:fldLock="1"/>
      </w:r>
      <w:r w:rsidRPr="009F19BD">
        <w:rPr>
          <w:rFonts w:ascii="Times New Roman" w:hAnsi="Times New Roman" w:cs="Times New Roman"/>
          <w:lang w:eastAsia="en-GB"/>
        </w:rPr>
        <w:instrText>ADDIN CSL_CITATION {"citationItems":[{"id":"ITEM-1","itemData":{"author":[{"dropping-particle":"","family":"Ekins","given":"P.","non-dropping-particle":"","parse-names":false,"suffix":""},{"dropping-particle":"","family":"Hughes","given":"N.","non-dropping-particle":"","parse-names":false,"suffix":""},{"dropping-particle":"","family":"Pye","given":"S.","non-dropping-particle":"","parse-names":false,"suffix":""},{"dropping-particle":"","family":"Winning","given":"M.","non-dropping-particle":"","parse-names":false,"suffix":""},{"dropping-particle":"","family":"Macrory","given":"R","non-dropping-particle":"","parse-names":false,"suffix":""},{"dropping-particle":"","family":"Milligan","given":"B.","non-dropping-particle":"","parse-names":false,"suffix":""},{"dropping-particle":"","family":"Haszeldine","given":"S.","non-dropping-particle":"","parse-names":false,"suffix":""},{"dropping-particle":"","family":"Watson","given":"J.","non-dropping-particle":"","parse-names":false,"suffix":""}],"id":"ITEM-1","issued":{"date-parts":[["2017"]]},"publisher-place":"Unviersity College London, UK","title":"The role of CCS in meeting climate policy targets","type":"report"},"uris":["http://www.mendeley.com/documents/?uuid=a3def0e4-35f4-431d-a8c9-cc770dcd856b"]}],"mendeley":{"formattedCitation":"&lt;sup&gt;59&lt;/sup&gt;","plainTextFormattedCitation":"59","previouslyFormattedCitation":"&lt;sup&gt;59&lt;/sup&gt;"},"properties":{"noteIndex":0},"schema":"https://github.com/citation-style-language/schema/raw/master/csl-citation.json"}</w:instrText>
      </w:r>
      <w:r w:rsidR="00A872DB">
        <w:rPr>
          <w:rFonts w:ascii="Times New Roman" w:hAnsi="Times New Roman" w:cs="Times New Roman"/>
          <w:lang w:eastAsia="en-GB"/>
        </w:rPr>
        <w:fldChar w:fldCharType="separate"/>
      </w:r>
      <w:r w:rsidRPr="009F19BD">
        <w:rPr>
          <w:rFonts w:ascii="Times New Roman" w:hAnsi="Times New Roman" w:cs="Times New Roman"/>
          <w:lang w:eastAsia="en-GB"/>
        </w:rPr>
        <w:fldChar w:fldCharType="end"/>
      </w:r>
      <w:r w:rsidRPr="009F19BD">
        <w:rPr>
          <w:rFonts w:ascii="Times New Roman" w:hAnsi="Times New Roman" w:cs="Times New Roman"/>
          <w:lang w:eastAsia="en-GB"/>
        </w:rPr>
        <w:t>; Rubin et al. (2015)</w:t>
      </w:r>
      <w:r w:rsidR="00B82774">
        <w:rPr>
          <w:rStyle w:val="FootnoteReference"/>
          <w:rFonts w:ascii="Times New Roman" w:hAnsi="Times New Roman" w:cs="Times New Roman"/>
          <w:lang w:eastAsia="en-GB"/>
        </w:rPr>
        <w:footnoteReference w:id="8"/>
      </w:r>
      <w:r w:rsidRPr="009F19BD">
        <w:rPr>
          <w:rFonts w:ascii="Times New Roman" w:hAnsi="Times New Roman" w:cs="Times New Roman"/>
          <w:lang w:eastAsia="en-GB"/>
        </w:rPr>
        <w:t>); CCS is available from 2030, and can see capacity growth of a maximum of 5% per annum. Power generation technologies have capture rates of 90%, which do not improve over time. Future solar PV and wind reductions based on BNEF estimates (unpublished), recent cost estimates based on IRENA</w:t>
      </w:r>
      <w:r w:rsidR="00B82774">
        <w:rPr>
          <w:rStyle w:val="FootnoteReference"/>
          <w:rFonts w:ascii="Times New Roman" w:hAnsi="Times New Roman" w:cs="Times New Roman"/>
          <w:lang w:eastAsia="en-GB"/>
        </w:rPr>
        <w:footnoteReference w:id="9"/>
      </w:r>
      <w:r w:rsidRPr="009F19BD">
        <w:rPr>
          <w:rFonts w:ascii="Times New Roman" w:hAnsi="Times New Roman" w:cs="Times New Roman"/>
          <w:lang w:eastAsia="en-GB"/>
        </w:rPr>
        <w:fldChar w:fldCharType="begin" w:fldLock="1"/>
      </w:r>
      <w:r w:rsidRPr="009F19BD">
        <w:rPr>
          <w:rFonts w:ascii="Times New Roman" w:hAnsi="Times New Roman" w:cs="Times New Roman"/>
          <w:lang w:eastAsia="en-GB"/>
        </w:rPr>
        <w:instrText>ADDIN CSL_CITATION {"citationItems":[{"id":"ITEM-1","itemData":{"DOI":"10.1007/SpringerReference_7300","ISBN":"978-92-9260-040-2","ISSN":"1476-4687","PMID":"25246403","abstract":"IRENA_2018_Power_Costs_2017.pdf Unless otherwise stated, this publication and material herein are the property of the International Renewable Energy Agency (IRENA) and are subject to copyright by IRENA. Material in this publication may be freely used, shared, copied, reproduced, printed and/or stored, provided that all such material is clearly attributed to IRENA and bears a notation of copyright (© IRENA) with the year of copyright. Material contained in this publication attributed to third parties may be subject to third-party copyright and separate terms of use and restrictions, including restrictions in relation to any commercial use.","author":[{"dropping-particle":"","family":"IRENA International Renewable Energy Agency","given":"","non-dropping-particle":"","parse-names":false,"suffix":""}],"container-title":"International Renewable Energy Agency","id":"ITEM-1","issued":{"date-parts":[["2018"]]},"title":"Renewable Power Generation Costs in 2017","type":"book"},"uris":["http://www.mendeley.com/documents/?uuid=b3945503-6a3c-4e76-a0c0-e7a881b2e897"]}],"mendeley":{"formattedCitation":"&lt;sup&gt;2&lt;/sup&gt;","plainTextFormattedCitation":"2","previouslyFormattedCitation":"&lt;sup&gt;2&lt;/sup&gt;"},"properties":{"noteIndex":0},"schema":"https://github.com/citation-style-language/schema/raw/master/csl-citation.json"}</w:instrText>
      </w:r>
      <w:r w:rsidR="00A872DB">
        <w:rPr>
          <w:rFonts w:ascii="Times New Roman" w:hAnsi="Times New Roman" w:cs="Times New Roman"/>
          <w:lang w:eastAsia="en-GB"/>
        </w:rPr>
        <w:fldChar w:fldCharType="separate"/>
      </w:r>
      <w:r w:rsidRPr="009F19BD">
        <w:rPr>
          <w:rFonts w:ascii="Times New Roman" w:hAnsi="Times New Roman" w:cs="Times New Roman"/>
          <w:lang w:eastAsia="en-GB"/>
        </w:rPr>
        <w:fldChar w:fldCharType="end"/>
      </w:r>
      <w:r w:rsidRPr="009F19BD">
        <w:rPr>
          <w:rFonts w:ascii="Times New Roman" w:hAnsi="Times New Roman" w:cs="Times New Roman"/>
          <w:lang w:eastAsia="en-GB"/>
        </w:rPr>
        <w:t xml:space="preserve">. </w:t>
      </w:r>
      <w:r w:rsidRPr="009F19BD">
        <w:rPr>
          <w:rFonts w:ascii="Times New Roman" w:hAnsi="Times New Roman" w:cs="Times New Roman"/>
        </w:rPr>
        <w:t xml:space="preserve">The maximum build rate of new solar PV and wind capacity </w:t>
      </w:r>
      <w:r w:rsidRPr="009F19BD">
        <w:rPr>
          <w:rFonts w:ascii="Times New Roman" w:hAnsi="Times New Roman" w:cs="Times New Roman"/>
        </w:rPr>
        <w:lastRenderedPageBreak/>
        <w:t>each year is set at 30% of existing capacity in line with recent solar PV build rates</w:t>
      </w:r>
      <w:r w:rsidR="003B0DBA">
        <w:rPr>
          <w:rStyle w:val="FootnoteReference"/>
          <w:rFonts w:ascii="Times New Roman" w:hAnsi="Times New Roman" w:cs="Times New Roman"/>
        </w:rPr>
        <w:footnoteReference w:id="10"/>
      </w:r>
      <w:r w:rsidRPr="009F19BD">
        <w:rPr>
          <w:rFonts w:ascii="Times New Roman" w:hAnsi="Times New Roman" w:cs="Times New Roman"/>
        </w:rPr>
        <w:t>. Range for hydro denotes different resource tranches and cost of exploitation. In the above table, ‘</w:t>
      </w:r>
      <w:proofErr w:type="spellStart"/>
      <w:r w:rsidRPr="009F19BD">
        <w:rPr>
          <w:rFonts w:ascii="Times New Roman" w:hAnsi="Times New Roman" w:cs="Times New Roman"/>
        </w:rPr>
        <w:t>dcn</w:t>
      </w:r>
      <w:proofErr w:type="spellEnd"/>
      <w:r w:rsidRPr="009F19BD">
        <w:rPr>
          <w:rFonts w:ascii="Times New Roman" w:hAnsi="Times New Roman" w:cs="Times New Roman"/>
        </w:rPr>
        <w:t>’ denotes ‘decentralised’.</w:t>
      </w:r>
    </w:p>
    <w:p w14:paraId="32D35502" w14:textId="77777777" w:rsidR="008903F7" w:rsidRPr="009F19BD" w:rsidRDefault="008903F7" w:rsidP="008903F7">
      <w:pPr>
        <w:rPr>
          <w:rFonts w:ascii="Times New Roman" w:hAnsi="Times New Roman" w:cs="Times New Roman"/>
        </w:rPr>
      </w:pPr>
    </w:p>
    <w:p w14:paraId="39AC8953" w14:textId="77777777" w:rsidR="008903F7" w:rsidRPr="009F19BD" w:rsidRDefault="008903F7" w:rsidP="008903F7">
      <w:pPr>
        <w:rPr>
          <w:rFonts w:ascii="Times New Roman" w:hAnsi="Times New Roman" w:cs="Times New Roman"/>
        </w:rPr>
      </w:pPr>
    </w:p>
    <w:p w14:paraId="29B4174F" w14:textId="5D288740" w:rsidR="008903F7" w:rsidRPr="007C7C7F" w:rsidRDefault="008903F7" w:rsidP="008903F7">
      <w:pPr>
        <w:rPr>
          <w:rFonts w:ascii="Times New Roman" w:hAnsi="Times New Roman" w:cs="Times New Roman"/>
          <w:b/>
          <w:iCs/>
        </w:rPr>
      </w:pPr>
      <w:bookmarkStart w:id="4" w:name="_Ref64821956"/>
      <w:r w:rsidRPr="007C7C7F">
        <w:rPr>
          <w:rFonts w:ascii="Times New Roman" w:hAnsi="Times New Roman" w:cs="Times New Roman"/>
          <w:b/>
          <w:iCs/>
        </w:rPr>
        <w:t>Supplementary Table</w:t>
      </w:r>
      <w:r w:rsidR="007C7C7F" w:rsidRPr="007C7C7F">
        <w:rPr>
          <w:rFonts w:ascii="Times New Roman" w:hAnsi="Times New Roman" w:cs="Times New Roman"/>
          <w:b/>
          <w:iCs/>
        </w:rPr>
        <w:t xml:space="preserve"> 5</w:t>
      </w:r>
      <w:bookmarkEnd w:id="4"/>
      <w:r w:rsidRPr="007C7C7F">
        <w:rPr>
          <w:rFonts w:ascii="Times New Roman" w:hAnsi="Times New Roman" w:cs="Times New Roman"/>
          <w:b/>
          <w:iCs/>
        </w:rPr>
        <w:t>. a) BECCS technology costs and efficiency assumptions and b) other assumptions</w:t>
      </w:r>
    </w:p>
    <w:p w14:paraId="7CEEE9E4" w14:textId="77777777" w:rsidR="008903F7" w:rsidRPr="009F19BD" w:rsidRDefault="008903F7" w:rsidP="008903F7">
      <w:pPr>
        <w:rPr>
          <w:rFonts w:ascii="Times New Roman" w:hAnsi="Times New Roman" w:cs="Times New Roman"/>
        </w:rPr>
      </w:pPr>
      <w:r w:rsidRPr="009F19BD">
        <w:rPr>
          <w:rFonts w:ascii="Times New Roman" w:hAnsi="Times New Roman" w:cs="Times New Roman"/>
        </w:rPr>
        <w:t>a)</w:t>
      </w:r>
    </w:p>
    <w:tbl>
      <w:tblPr>
        <w:tblW w:w="483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2041"/>
        <w:gridCol w:w="716"/>
        <w:gridCol w:w="716"/>
        <w:gridCol w:w="656"/>
        <w:gridCol w:w="656"/>
        <w:gridCol w:w="656"/>
        <w:gridCol w:w="656"/>
        <w:gridCol w:w="656"/>
        <w:gridCol w:w="656"/>
      </w:tblGrid>
      <w:tr w:rsidR="008903F7" w:rsidRPr="009F19BD" w14:paraId="65A485AD" w14:textId="77777777" w:rsidTr="00B50CDC">
        <w:trPr>
          <w:trHeight w:val="538"/>
          <w:tblHeader/>
        </w:trPr>
        <w:tc>
          <w:tcPr>
            <w:tcW w:w="687" w:type="pct"/>
            <w:shd w:val="clear" w:color="auto" w:fill="D9D9D9" w:themeFill="background1" w:themeFillShade="D9"/>
            <w:vAlign w:val="center"/>
            <w:hideMark/>
          </w:tcPr>
          <w:p w14:paraId="748FD8DE"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Technology Group</w:t>
            </w:r>
          </w:p>
        </w:tc>
        <w:tc>
          <w:tcPr>
            <w:tcW w:w="1456" w:type="pct"/>
            <w:shd w:val="clear" w:color="auto" w:fill="D9D9D9" w:themeFill="background1" w:themeFillShade="D9"/>
            <w:vAlign w:val="center"/>
            <w:hideMark/>
          </w:tcPr>
          <w:p w14:paraId="4D7FC564"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Technology Group</w:t>
            </w:r>
          </w:p>
        </w:tc>
        <w:tc>
          <w:tcPr>
            <w:tcW w:w="723" w:type="pct"/>
            <w:gridSpan w:val="2"/>
            <w:shd w:val="clear" w:color="auto" w:fill="D9D9D9" w:themeFill="background1" w:themeFillShade="D9"/>
            <w:noWrap/>
            <w:vAlign w:val="center"/>
            <w:hideMark/>
          </w:tcPr>
          <w:p w14:paraId="39C47A33"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 xml:space="preserve">Efficiency % </w:t>
            </w:r>
          </w:p>
        </w:tc>
        <w:tc>
          <w:tcPr>
            <w:tcW w:w="700" w:type="pct"/>
            <w:gridSpan w:val="2"/>
            <w:shd w:val="clear" w:color="auto" w:fill="D9D9D9" w:themeFill="background1" w:themeFillShade="D9"/>
            <w:vAlign w:val="center"/>
            <w:hideMark/>
          </w:tcPr>
          <w:p w14:paraId="4190CD72"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Investment cost $/kW</w:t>
            </w:r>
          </w:p>
        </w:tc>
        <w:tc>
          <w:tcPr>
            <w:tcW w:w="700" w:type="pct"/>
            <w:gridSpan w:val="2"/>
            <w:shd w:val="clear" w:color="auto" w:fill="D9D9D9" w:themeFill="background1" w:themeFillShade="D9"/>
            <w:vAlign w:val="center"/>
            <w:hideMark/>
          </w:tcPr>
          <w:p w14:paraId="6B265CDD"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Fix cost $/kW</w:t>
            </w:r>
          </w:p>
        </w:tc>
        <w:tc>
          <w:tcPr>
            <w:tcW w:w="734" w:type="pct"/>
            <w:gridSpan w:val="2"/>
            <w:shd w:val="clear" w:color="auto" w:fill="D9D9D9" w:themeFill="background1" w:themeFillShade="D9"/>
            <w:vAlign w:val="center"/>
            <w:hideMark/>
          </w:tcPr>
          <w:p w14:paraId="39C56AF2"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Variable cost $/GJ</w:t>
            </w:r>
          </w:p>
        </w:tc>
      </w:tr>
      <w:tr w:rsidR="008903F7" w:rsidRPr="009F19BD" w14:paraId="00C43760" w14:textId="77777777" w:rsidTr="00B50CDC">
        <w:trPr>
          <w:trHeight w:val="320"/>
        </w:trPr>
        <w:tc>
          <w:tcPr>
            <w:tcW w:w="687" w:type="pct"/>
            <w:noWrap/>
            <w:vAlign w:val="bottom"/>
            <w:hideMark/>
          </w:tcPr>
          <w:p w14:paraId="73A92DCA"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 </w:t>
            </w:r>
          </w:p>
        </w:tc>
        <w:tc>
          <w:tcPr>
            <w:tcW w:w="1456" w:type="pct"/>
            <w:vAlign w:val="center"/>
            <w:hideMark/>
          </w:tcPr>
          <w:p w14:paraId="3C4E8675"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Year</w:t>
            </w:r>
          </w:p>
        </w:tc>
        <w:tc>
          <w:tcPr>
            <w:tcW w:w="361" w:type="pct"/>
            <w:noWrap/>
            <w:vAlign w:val="center"/>
            <w:hideMark/>
          </w:tcPr>
          <w:p w14:paraId="2B891BE2"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2030</w:t>
            </w:r>
          </w:p>
        </w:tc>
        <w:tc>
          <w:tcPr>
            <w:tcW w:w="362" w:type="pct"/>
            <w:vAlign w:val="center"/>
            <w:hideMark/>
          </w:tcPr>
          <w:p w14:paraId="45FF7DB9"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2050</w:t>
            </w:r>
          </w:p>
        </w:tc>
        <w:tc>
          <w:tcPr>
            <w:tcW w:w="349" w:type="pct"/>
            <w:vAlign w:val="center"/>
            <w:hideMark/>
          </w:tcPr>
          <w:p w14:paraId="75870D20"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2030</w:t>
            </w:r>
          </w:p>
        </w:tc>
        <w:tc>
          <w:tcPr>
            <w:tcW w:w="350" w:type="pct"/>
            <w:noWrap/>
            <w:vAlign w:val="center"/>
            <w:hideMark/>
          </w:tcPr>
          <w:p w14:paraId="590F8C8B"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2050</w:t>
            </w:r>
          </w:p>
        </w:tc>
        <w:tc>
          <w:tcPr>
            <w:tcW w:w="349" w:type="pct"/>
            <w:vAlign w:val="center"/>
            <w:hideMark/>
          </w:tcPr>
          <w:p w14:paraId="448F9D84"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2030</w:t>
            </w:r>
          </w:p>
        </w:tc>
        <w:tc>
          <w:tcPr>
            <w:tcW w:w="350" w:type="pct"/>
            <w:noWrap/>
            <w:vAlign w:val="center"/>
            <w:hideMark/>
          </w:tcPr>
          <w:p w14:paraId="549AB5CE"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2050</w:t>
            </w:r>
          </w:p>
        </w:tc>
        <w:tc>
          <w:tcPr>
            <w:tcW w:w="349" w:type="pct"/>
            <w:vAlign w:val="center"/>
            <w:hideMark/>
          </w:tcPr>
          <w:p w14:paraId="4E3D8C68"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2030</w:t>
            </w:r>
          </w:p>
        </w:tc>
        <w:tc>
          <w:tcPr>
            <w:tcW w:w="385" w:type="pct"/>
            <w:noWrap/>
            <w:vAlign w:val="center"/>
            <w:hideMark/>
          </w:tcPr>
          <w:p w14:paraId="2A405331" w14:textId="77777777" w:rsidR="008903F7" w:rsidRPr="009F19BD" w:rsidRDefault="008903F7" w:rsidP="00B50CDC">
            <w:pPr>
              <w:pStyle w:val="NoSpacing"/>
              <w:rPr>
                <w:rFonts w:ascii="Times New Roman" w:hAnsi="Times New Roman" w:cs="Times New Roman"/>
                <w:b/>
                <w:color w:val="000000"/>
                <w:lang w:eastAsia="en-GB"/>
              </w:rPr>
            </w:pPr>
            <w:r w:rsidRPr="009F19BD">
              <w:rPr>
                <w:rFonts w:ascii="Times New Roman" w:hAnsi="Times New Roman" w:cs="Times New Roman"/>
                <w:b/>
                <w:color w:val="000000"/>
                <w:lang w:eastAsia="en-GB"/>
              </w:rPr>
              <w:t>2050</w:t>
            </w:r>
          </w:p>
        </w:tc>
      </w:tr>
      <w:tr w:rsidR="008903F7" w:rsidRPr="009F19BD" w14:paraId="1B247FA6" w14:textId="77777777" w:rsidTr="00B50CDC">
        <w:trPr>
          <w:trHeight w:val="321"/>
        </w:trPr>
        <w:tc>
          <w:tcPr>
            <w:tcW w:w="687" w:type="pct"/>
            <w:vMerge w:val="restart"/>
            <w:vAlign w:val="center"/>
            <w:hideMark/>
          </w:tcPr>
          <w:p w14:paraId="028D16AD"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Electricity</w:t>
            </w:r>
          </w:p>
        </w:tc>
        <w:tc>
          <w:tcPr>
            <w:tcW w:w="1456" w:type="pct"/>
            <w:vAlign w:val="center"/>
            <w:hideMark/>
          </w:tcPr>
          <w:p w14:paraId="79AB922F"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Energy Crop Combustion w CCS</w:t>
            </w:r>
          </w:p>
        </w:tc>
        <w:tc>
          <w:tcPr>
            <w:tcW w:w="361" w:type="pct"/>
            <w:noWrap/>
            <w:vAlign w:val="center"/>
            <w:hideMark/>
          </w:tcPr>
          <w:p w14:paraId="46140846"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26</w:t>
            </w:r>
          </w:p>
        </w:tc>
        <w:tc>
          <w:tcPr>
            <w:tcW w:w="362" w:type="pct"/>
            <w:vAlign w:val="center"/>
            <w:hideMark/>
          </w:tcPr>
          <w:p w14:paraId="098E4604"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31</w:t>
            </w:r>
          </w:p>
        </w:tc>
        <w:tc>
          <w:tcPr>
            <w:tcW w:w="349" w:type="pct"/>
            <w:noWrap/>
            <w:vAlign w:val="center"/>
            <w:hideMark/>
          </w:tcPr>
          <w:p w14:paraId="3220C01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3060</w:t>
            </w:r>
          </w:p>
        </w:tc>
        <w:tc>
          <w:tcPr>
            <w:tcW w:w="350" w:type="pct"/>
            <w:vAlign w:val="center"/>
            <w:hideMark/>
          </w:tcPr>
          <w:p w14:paraId="2D766536"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2618</w:t>
            </w:r>
          </w:p>
        </w:tc>
        <w:tc>
          <w:tcPr>
            <w:tcW w:w="349" w:type="pct"/>
            <w:noWrap/>
            <w:vAlign w:val="center"/>
            <w:hideMark/>
          </w:tcPr>
          <w:p w14:paraId="3215923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175</w:t>
            </w:r>
          </w:p>
        </w:tc>
        <w:tc>
          <w:tcPr>
            <w:tcW w:w="350" w:type="pct"/>
            <w:vAlign w:val="center"/>
            <w:hideMark/>
          </w:tcPr>
          <w:p w14:paraId="0096703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131</w:t>
            </w:r>
          </w:p>
        </w:tc>
        <w:tc>
          <w:tcPr>
            <w:tcW w:w="349" w:type="pct"/>
            <w:noWrap/>
            <w:vAlign w:val="center"/>
            <w:hideMark/>
          </w:tcPr>
          <w:p w14:paraId="265CB977"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6.9</w:t>
            </w:r>
          </w:p>
        </w:tc>
        <w:tc>
          <w:tcPr>
            <w:tcW w:w="385" w:type="pct"/>
            <w:vAlign w:val="center"/>
            <w:hideMark/>
          </w:tcPr>
          <w:p w14:paraId="4E43D3E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6.6</w:t>
            </w:r>
          </w:p>
        </w:tc>
      </w:tr>
      <w:tr w:rsidR="008903F7" w:rsidRPr="009F19BD" w14:paraId="64FD0A06" w14:textId="77777777" w:rsidTr="00B50CDC">
        <w:trPr>
          <w:trHeight w:val="320"/>
        </w:trPr>
        <w:tc>
          <w:tcPr>
            <w:tcW w:w="687" w:type="pct"/>
            <w:vMerge/>
            <w:vAlign w:val="center"/>
            <w:hideMark/>
          </w:tcPr>
          <w:p w14:paraId="6241CCBC" w14:textId="77777777" w:rsidR="008903F7" w:rsidRPr="009F19BD" w:rsidRDefault="008903F7" w:rsidP="00B50CDC">
            <w:pPr>
              <w:pStyle w:val="NoSpacing"/>
              <w:rPr>
                <w:rFonts w:ascii="Times New Roman" w:hAnsi="Times New Roman" w:cs="Times New Roman"/>
                <w:color w:val="000000"/>
                <w:lang w:eastAsia="en-GB"/>
              </w:rPr>
            </w:pPr>
          </w:p>
        </w:tc>
        <w:tc>
          <w:tcPr>
            <w:tcW w:w="1456" w:type="pct"/>
            <w:vAlign w:val="center"/>
            <w:hideMark/>
          </w:tcPr>
          <w:p w14:paraId="11582270"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Energy Crop Gasification w CCS</w:t>
            </w:r>
          </w:p>
        </w:tc>
        <w:tc>
          <w:tcPr>
            <w:tcW w:w="361" w:type="pct"/>
            <w:noWrap/>
            <w:vAlign w:val="center"/>
            <w:hideMark/>
          </w:tcPr>
          <w:p w14:paraId="7D2DE9D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29</w:t>
            </w:r>
          </w:p>
        </w:tc>
        <w:tc>
          <w:tcPr>
            <w:tcW w:w="362" w:type="pct"/>
            <w:vAlign w:val="center"/>
            <w:hideMark/>
          </w:tcPr>
          <w:p w14:paraId="6571D8E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34</w:t>
            </w:r>
          </w:p>
        </w:tc>
        <w:tc>
          <w:tcPr>
            <w:tcW w:w="349" w:type="pct"/>
            <w:noWrap/>
            <w:vAlign w:val="center"/>
            <w:hideMark/>
          </w:tcPr>
          <w:p w14:paraId="5B9B7F2B"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3600</w:t>
            </w:r>
          </w:p>
        </w:tc>
        <w:tc>
          <w:tcPr>
            <w:tcW w:w="350" w:type="pct"/>
            <w:vAlign w:val="center"/>
            <w:hideMark/>
          </w:tcPr>
          <w:p w14:paraId="776A7F9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3080</w:t>
            </w:r>
          </w:p>
        </w:tc>
        <w:tc>
          <w:tcPr>
            <w:tcW w:w="349" w:type="pct"/>
            <w:noWrap/>
            <w:vAlign w:val="center"/>
            <w:hideMark/>
          </w:tcPr>
          <w:p w14:paraId="4BAEB8EC"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206</w:t>
            </w:r>
          </w:p>
        </w:tc>
        <w:tc>
          <w:tcPr>
            <w:tcW w:w="350" w:type="pct"/>
            <w:vAlign w:val="center"/>
            <w:hideMark/>
          </w:tcPr>
          <w:p w14:paraId="08F91E90"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173</w:t>
            </w:r>
          </w:p>
        </w:tc>
        <w:tc>
          <w:tcPr>
            <w:tcW w:w="349" w:type="pct"/>
            <w:noWrap/>
            <w:vAlign w:val="center"/>
            <w:hideMark/>
          </w:tcPr>
          <w:p w14:paraId="58163235"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1.7</w:t>
            </w:r>
          </w:p>
        </w:tc>
        <w:tc>
          <w:tcPr>
            <w:tcW w:w="385" w:type="pct"/>
            <w:vAlign w:val="center"/>
            <w:hideMark/>
          </w:tcPr>
          <w:p w14:paraId="6691086C"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1.7</w:t>
            </w:r>
          </w:p>
        </w:tc>
      </w:tr>
      <w:tr w:rsidR="008903F7" w:rsidRPr="009F19BD" w14:paraId="5B500505" w14:textId="77777777" w:rsidTr="00B50CDC">
        <w:trPr>
          <w:trHeight w:val="500"/>
        </w:trPr>
        <w:tc>
          <w:tcPr>
            <w:tcW w:w="687" w:type="pct"/>
            <w:vMerge/>
            <w:vAlign w:val="center"/>
            <w:hideMark/>
          </w:tcPr>
          <w:p w14:paraId="5A766C82" w14:textId="77777777" w:rsidR="008903F7" w:rsidRPr="009F19BD" w:rsidRDefault="008903F7" w:rsidP="00B50CDC">
            <w:pPr>
              <w:pStyle w:val="NoSpacing"/>
              <w:rPr>
                <w:rFonts w:ascii="Times New Roman" w:hAnsi="Times New Roman" w:cs="Times New Roman"/>
                <w:color w:val="000000"/>
                <w:lang w:eastAsia="en-GB"/>
              </w:rPr>
            </w:pPr>
          </w:p>
        </w:tc>
        <w:tc>
          <w:tcPr>
            <w:tcW w:w="1456" w:type="pct"/>
            <w:vAlign w:val="center"/>
            <w:hideMark/>
          </w:tcPr>
          <w:p w14:paraId="0C2D996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Solid Biomass Combustion w CCS</w:t>
            </w:r>
          </w:p>
        </w:tc>
        <w:tc>
          <w:tcPr>
            <w:tcW w:w="361" w:type="pct"/>
            <w:noWrap/>
            <w:vAlign w:val="center"/>
            <w:hideMark/>
          </w:tcPr>
          <w:p w14:paraId="4C621C7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26</w:t>
            </w:r>
          </w:p>
        </w:tc>
        <w:tc>
          <w:tcPr>
            <w:tcW w:w="362" w:type="pct"/>
            <w:vAlign w:val="center"/>
            <w:hideMark/>
          </w:tcPr>
          <w:p w14:paraId="6AEBEA15"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31</w:t>
            </w:r>
          </w:p>
        </w:tc>
        <w:tc>
          <w:tcPr>
            <w:tcW w:w="349" w:type="pct"/>
            <w:noWrap/>
            <w:vAlign w:val="center"/>
            <w:hideMark/>
          </w:tcPr>
          <w:p w14:paraId="77801F70"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3060</w:t>
            </w:r>
          </w:p>
        </w:tc>
        <w:tc>
          <w:tcPr>
            <w:tcW w:w="350" w:type="pct"/>
            <w:vAlign w:val="center"/>
            <w:hideMark/>
          </w:tcPr>
          <w:p w14:paraId="0942F69D"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2618</w:t>
            </w:r>
          </w:p>
        </w:tc>
        <w:tc>
          <w:tcPr>
            <w:tcW w:w="349" w:type="pct"/>
            <w:noWrap/>
            <w:vAlign w:val="center"/>
            <w:hideMark/>
          </w:tcPr>
          <w:p w14:paraId="68FBA04D"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175</w:t>
            </w:r>
          </w:p>
        </w:tc>
        <w:tc>
          <w:tcPr>
            <w:tcW w:w="350" w:type="pct"/>
            <w:vAlign w:val="center"/>
            <w:hideMark/>
          </w:tcPr>
          <w:p w14:paraId="18419DD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131</w:t>
            </w:r>
          </w:p>
        </w:tc>
        <w:tc>
          <w:tcPr>
            <w:tcW w:w="349" w:type="pct"/>
            <w:noWrap/>
            <w:vAlign w:val="center"/>
            <w:hideMark/>
          </w:tcPr>
          <w:p w14:paraId="2850075C"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6.9</w:t>
            </w:r>
          </w:p>
        </w:tc>
        <w:tc>
          <w:tcPr>
            <w:tcW w:w="385" w:type="pct"/>
            <w:vAlign w:val="center"/>
            <w:hideMark/>
          </w:tcPr>
          <w:p w14:paraId="21372340"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6.6</w:t>
            </w:r>
          </w:p>
        </w:tc>
      </w:tr>
      <w:tr w:rsidR="008903F7" w:rsidRPr="009F19BD" w14:paraId="6E1A128F" w14:textId="77777777" w:rsidTr="00B50CDC">
        <w:trPr>
          <w:trHeight w:val="387"/>
        </w:trPr>
        <w:tc>
          <w:tcPr>
            <w:tcW w:w="687" w:type="pct"/>
            <w:vMerge/>
            <w:vAlign w:val="center"/>
            <w:hideMark/>
          </w:tcPr>
          <w:p w14:paraId="27DD888E" w14:textId="77777777" w:rsidR="008903F7" w:rsidRPr="009F19BD" w:rsidRDefault="008903F7" w:rsidP="00B50CDC">
            <w:pPr>
              <w:pStyle w:val="NoSpacing"/>
              <w:rPr>
                <w:rFonts w:ascii="Times New Roman" w:hAnsi="Times New Roman" w:cs="Times New Roman"/>
                <w:color w:val="000000"/>
                <w:lang w:eastAsia="en-GB"/>
              </w:rPr>
            </w:pPr>
          </w:p>
        </w:tc>
        <w:tc>
          <w:tcPr>
            <w:tcW w:w="1456" w:type="pct"/>
            <w:vAlign w:val="center"/>
            <w:hideMark/>
          </w:tcPr>
          <w:p w14:paraId="78CC6D1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Solid Biomass Gasification w CCS</w:t>
            </w:r>
          </w:p>
        </w:tc>
        <w:tc>
          <w:tcPr>
            <w:tcW w:w="361" w:type="pct"/>
            <w:noWrap/>
            <w:vAlign w:val="center"/>
            <w:hideMark/>
          </w:tcPr>
          <w:p w14:paraId="55825D27"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29</w:t>
            </w:r>
          </w:p>
        </w:tc>
        <w:tc>
          <w:tcPr>
            <w:tcW w:w="362" w:type="pct"/>
            <w:vAlign w:val="center"/>
            <w:hideMark/>
          </w:tcPr>
          <w:p w14:paraId="053C91C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34</w:t>
            </w:r>
          </w:p>
        </w:tc>
        <w:tc>
          <w:tcPr>
            <w:tcW w:w="349" w:type="pct"/>
            <w:noWrap/>
            <w:vAlign w:val="center"/>
            <w:hideMark/>
          </w:tcPr>
          <w:p w14:paraId="7FB1A614"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3600</w:t>
            </w:r>
          </w:p>
        </w:tc>
        <w:tc>
          <w:tcPr>
            <w:tcW w:w="350" w:type="pct"/>
            <w:vAlign w:val="center"/>
            <w:hideMark/>
          </w:tcPr>
          <w:p w14:paraId="5D3D5A34"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3080</w:t>
            </w:r>
          </w:p>
        </w:tc>
        <w:tc>
          <w:tcPr>
            <w:tcW w:w="349" w:type="pct"/>
            <w:noWrap/>
            <w:vAlign w:val="center"/>
            <w:hideMark/>
          </w:tcPr>
          <w:p w14:paraId="15BA705C"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206</w:t>
            </w:r>
          </w:p>
        </w:tc>
        <w:tc>
          <w:tcPr>
            <w:tcW w:w="350" w:type="pct"/>
            <w:vAlign w:val="center"/>
            <w:hideMark/>
          </w:tcPr>
          <w:p w14:paraId="2C75296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154</w:t>
            </w:r>
          </w:p>
        </w:tc>
        <w:tc>
          <w:tcPr>
            <w:tcW w:w="349" w:type="pct"/>
            <w:noWrap/>
            <w:vAlign w:val="center"/>
            <w:hideMark/>
          </w:tcPr>
          <w:p w14:paraId="25C12B4F"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1.7</w:t>
            </w:r>
          </w:p>
        </w:tc>
        <w:tc>
          <w:tcPr>
            <w:tcW w:w="385" w:type="pct"/>
            <w:vAlign w:val="center"/>
            <w:hideMark/>
          </w:tcPr>
          <w:p w14:paraId="7EA72A98"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1.7</w:t>
            </w:r>
          </w:p>
        </w:tc>
      </w:tr>
      <w:tr w:rsidR="008903F7" w:rsidRPr="009F19BD" w14:paraId="7175BFF2" w14:textId="77777777" w:rsidTr="00B50CDC">
        <w:trPr>
          <w:trHeight w:val="320"/>
        </w:trPr>
        <w:tc>
          <w:tcPr>
            <w:tcW w:w="687" w:type="pct"/>
            <w:vAlign w:val="center"/>
            <w:hideMark/>
          </w:tcPr>
          <w:p w14:paraId="7946F63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Heat</w:t>
            </w:r>
          </w:p>
        </w:tc>
        <w:tc>
          <w:tcPr>
            <w:tcW w:w="1456" w:type="pct"/>
            <w:vAlign w:val="center"/>
            <w:hideMark/>
          </w:tcPr>
          <w:p w14:paraId="32600547"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Heat from biomass with CCS</w:t>
            </w:r>
          </w:p>
        </w:tc>
        <w:tc>
          <w:tcPr>
            <w:tcW w:w="361" w:type="pct"/>
            <w:noWrap/>
            <w:vAlign w:val="center"/>
            <w:hideMark/>
          </w:tcPr>
          <w:p w14:paraId="28B74D4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63</w:t>
            </w:r>
          </w:p>
        </w:tc>
        <w:tc>
          <w:tcPr>
            <w:tcW w:w="362" w:type="pct"/>
            <w:vAlign w:val="center"/>
            <w:hideMark/>
          </w:tcPr>
          <w:p w14:paraId="1B1CB0DB"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65</w:t>
            </w:r>
          </w:p>
        </w:tc>
        <w:tc>
          <w:tcPr>
            <w:tcW w:w="349" w:type="pct"/>
            <w:noWrap/>
            <w:vAlign w:val="center"/>
            <w:hideMark/>
          </w:tcPr>
          <w:p w14:paraId="36B9720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1671</w:t>
            </w:r>
          </w:p>
        </w:tc>
        <w:tc>
          <w:tcPr>
            <w:tcW w:w="350" w:type="pct"/>
            <w:vAlign w:val="center"/>
            <w:hideMark/>
          </w:tcPr>
          <w:p w14:paraId="0358B11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1419</w:t>
            </w:r>
          </w:p>
        </w:tc>
        <w:tc>
          <w:tcPr>
            <w:tcW w:w="349" w:type="pct"/>
            <w:vAlign w:val="center"/>
            <w:hideMark/>
          </w:tcPr>
          <w:p w14:paraId="7C8F8A4F"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189</w:t>
            </w:r>
          </w:p>
        </w:tc>
        <w:tc>
          <w:tcPr>
            <w:tcW w:w="350" w:type="pct"/>
            <w:noWrap/>
            <w:vAlign w:val="center"/>
            <w:hideMark/>
          </w:tcPr>
          <w:p w14:paraId="29BA04AB"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 </w:t>
            </w:r>
          </w:p>
        </w:tc>
        <w:tc>
          <w:tcPr>
            <w:tcW w:w="349" w:type="pct"/>
            <w:vAlign w:val="center"/>
            <w:hideMark/>
          </w:tcPr>
          <w:p w14:paraId="6051D34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 </w:t>
            </w:r>
          </w:p>
        </w:tc>
        <w:tc>
          <w:tcPr>
            <w:tcW w:w="385" w:type="pct"/>
            <w:noWrap/>
            <w:vAlign w:val="center"/>
            <w:hideMark/>
          </w:tcPr>
          <w:p w14:paraId="3E237614"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 </w:t>
            </w:r>
          </w:p>
        </w:tc>
      </w:tr>
      <w:tr w:rsidR="008903F7" w:rsidRPr="009F19BD" w14:paraId="15D10096" w14:textId="77777777" w:rsidTr="00B50CDC">
        <w:trPr>
          <w:trHeight w:val="421"/>
        </w:trPr>
        <w:tc>
          <w:tcPr>
            <w:tcW w:w="687" w:type="pct"/>
            <w:vAlign w:val="center"/>
            <w:hideMark/>
          </w:tcPr>
          <w:p w14:paraId="4D518938"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Hydrogen</w:t>
            </w:r>
          </w:p>
        </w:tc>
        <w:tc>
          <w:tcPr>
            <w:tcW w:w="1456" w:type="pct"/>
            <w:vAlign w:val="center"/>
            <w:hideMark/>
          </w:tcPr>
          <w:p w14:paraId="4C0A0F2C"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 xml:space="preserve">Hydrogen from biomass </w:t>
            </w:r>
            <w:proofErr w:type="gramStart"/>
            <w:r w:rsidRPr="009F19BD">
              <w:rPr>
                <w:rFonts w:ascii="Times New Roman" w:hAnsi="Times New Roman" w:cs="Times New Roman"/>
                <w:color w:val="000000"/>
                <w:lang w:eastAsia="en-GB"/>
              </w:rPr>
              <w:t>gasification  +</w:t>
            </w:r>
            <w:proofErr w:type="gramEnd"/>
            <w:r w:rsidRPr="009F19BD">
              <w:rPr>
                <w:rFonts w:ascii="Times New Roman" w:hAnsi="Times New Roman" w:cs="Times New Roman"/>
                <w:color w:val="000000"/>
                <w:lang w:eastAsia="en-GB"/>
              </w:rPr>
              <w:t xml:space="preserve"> CCS</w:t>
            </w:r>
          </w:p>
        </w:tc>
        <w:tc>
          <w:tcPr>
            <w:tcW w:w="361" w:type="pct"/>
            <w:noWrap/>
            <w:vAlign w:val="center"/>
            <w:hideMark/>
          </w:tcPr>
          <w:p w14:paraId="38F4DF0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42</w:t>
            </w:r>
          </w:p>
        </w:tc>
        <w:tc>
          <w:tcPr>
            <w:tcW w:w="362" w:type="pct"/>
            <w:vAlign w:val="center"/>
            <w:hideMark/>
          </w:tcPr>
          <w:p w14:paraId="251DEE4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44</w:t>
            </w:r>
          </w:p>
        </w:tc>
        <w:tc>
          <w:tcPr>
            <w:tcW w:w="349" w:type="pct"/>
            <w:noWrap/>
            <w:vAlign w:val="center"/>
            <w:hideMark/>
          </w:tcPr>
          <w:p w14:paraId="084B23F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color w:val="000000"/>
              </w:rPr>
              <w:t>4594</w:t>
            </w:r>
          </w:p>
        </w:tc>
        <w:tc>
          <w:tcPr>
            <w:tcW w:w="350" w:type="pct"/>
            <w:vAlign w:val="center"/>
            <w:hideMark/>
          </w:tcPr>
          <w:p w14:paraId="45AF6C1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color w:val="000000"/>
              </w:rPr>
              <w:t>3516</w:t>
            </w:r>
          </w:p>
        </w:tc>
        <w:tc>
          <w:tcPr>
            <w:tcW w:w="349" w:type="pct"/>
            <w:noWrap/>
            <w:vAlign w:val="center"/>
            <w:hideMark/>
          </w:tcPr>
          <w:p w14:paraId="75D33C8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color w:val="000000"/>
              </w:rPr>
              <w:t>322</w:t>
            </w:r>
          </w:p>
        </w:tc>
        <w:tc>
          <w:tcPr>
            <w:tcW w:w="350" w:type="pct"/>
            <w:vAlign w:val="center"/>
            <w:hideMark/>
          </w:tcPr>
          <w:p w14:paraId="43C6A08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color w:val="000000"/>
              </w:rPr>
              <w:t>246</w:t>
            </w:r>
          </w:p>
        </w:tc>
        <w:tc>
          <w:tcPr>
            <w:tcW w:w="349" w:type="pct"/>
            <w:vAlign w:val="center"/>
            <w:hideMark/>
          </w:tcPr>
          <w:p w14:paraId="360A050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 </w:t>
            </w:r>
          </w:p>
        </w:tc>
        <w:tc>
          <w:tcPr>
            <w:tcW w:w="385" w:type="pct"/>
            <w:noWrap/>
            <w:vAlign w:val="center"/>
            <w:hideMark/>
          </w:tcPr>
          <w:p w14:paraId="396FEC82"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rPr>
              <w:t> </w:t>
            </w:r>
          </w:p>
        </w:tc>
      </w:tr>
      <w:tr w:rsidR="008903F7" w:rsidRPr="009F19BD" w14:paraId="6F4E9C15" w14:textId="77777777" w:rsidTr="00B50CDC">
        <w:trPr>
          <w:trHeight w:val="453"/>
        </w:trPr>
        <w:tc>
          <w:tcPr>
            <w:tcW w:w="687" w:type="pct"/>
            <w:vMerge w:val="restart"/>
            <w:vAlign w:val="center"/>
            <w:hideMark/>
          </w:tcPr>
          <w:p w14:paraId="0E10274D"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Advanced transport fuels</w:t>
            </w:r>
          </w:p>
        </w:tc>
        <w:tc>
          <w:tcPr>
            <w:tcW w:w="1456" w:type="pct"/>
            <w:vAlign w:val="center"/>
            <w:hideMark/>
          </w:tcPr>
          <w:p w14:paraId="1CC08047"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 xml:space="preserve">FT process w CCS using solid biomass </w:t>
            </w:r>
          </w:p>
        </w:tc>
        <w:tc>
          <w:tcPr>
            <w:tcW w:w="361" w:type="pct"/>
            <w:noWrap/>
            <w:vAlign w:val="center"/>
            <w:hideMark/>
          </w:tcPr>
          <w:p w14:paraId="2005EC5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34</w:t>
            </w:r>
          </w:p>
        </w:tc>
        <w:tc>
          <w:tcPr>
            <w:tcW w:w="362" w:type="pct"/>
            <w:vAlign w:val="center"/>
            <w:hideMark/>
          </w:tcPr>
          <w:p w14:paraId="1E47FF66"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42</w:t>
            </w:r>
          </w:p>
        </w:tc>
        <w:tc>
          <w:tcPr>
            <w:tcW w:w="349" w:type="pct"/>
            <w:noWrap/>
            <w:vAlign w:val="center"/>
            <w:hideMark/>
          </w:tcPr>
          <w:p w14:paraId="4B1DBE5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themeColor="text1"/>
              </w:rPr>
              <w:t>2235</w:t>
            </w:r>
          </w:p>
        </w:tc>
        <w:tc>
          <w:tcPr>
            <w:tcW w:w="350" w:type="pct"/>
            <w:vAlign w:val="center"/>
            <w:hideMark/>
          </w:tcPr>
          <w:p w14:paraId="4F1B60ED"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1565</w:t>
            </w:r>
          </w:p>
        </w:tc>
        <w:tc>
          <w:tcPr>
            <w:tcW w:w="349" w:type="pct"/>
            <w:noWrap/>
            <w:vAlign w:val="center"/>
            <w:hideMark/>
          </w:tcPr>
          <w:p w14:paraId="686237B7"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27</w:t>
            </w:r>
          </w:p>
        </w:tc>
        <w:tc>
          <w:tcPr>
            <w:tcW w:w="350" w:type="pct"/>
            <w:noWrap/>
            <w:vAlign w:val="center"/>
            <w:hideMark/>
          </w:tcPr>
          <w:p w14:paraId="1B005C99"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27</w:t>
            </w:r>
          </w:p>
        </w:tc>
        <w:tc>
          <w:tcPr>
            <w:tcW w:w="349" w:type="pct"/>
            <w:noWrap/>
            <w:vAlign w:val="center"/>
            <w:hideMark/>
          </w:tcPr>
          <w:p w14:paraId="77ED0962"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0.8</w:t>
            </w:r>
          </w:p>
        </w:tc>
        <w:tc>
          <w:tcPr>
            <w:tcW w:w="385" w:type="pct"/>
            <w:vAlign w:val="center"/>
            <w:hideMark/>
          </w:tcPr>
          <w:p w14:paraId="5B8DF075"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themeColor="text1"/>
              </w:rPr>
              <w:t>0.8</w:t>
            </w:r>
          </w:p>
        </w:tc>
      </w:tr>
      <w:tr w:rsidR="008903F7" w:rsidRPr="009F19BD" w14:paraId="7B40CD50" w14:textId="77777777" w:rsidTr="00B50CDC">
        <w:trPr>
          <w:trHeight w:val="320"/>
        </w:trPr>
        <w:tc>
          <w:tcPr>
            <w:tcW w:w="687" w:type="pct"/>
            <w:vMerge/>
            <w:vAlign w:val="center"/>
            <w:hideMark/>
          </w:tcPr>
          <w:p w14:paraId="35C6BAD4" w14:textId="77777777" w:rsidR="008903F7" w:rsidRPr="009F19BD" w:rsidRDefault="008903F7" w:rsidP="00B50CDC">
            <w:pPr>
              <w:pStyle w:val="NoSpacing"/>
              <w:rPr>
                <w:rFonts w:ascii="Times New Roman" w:hAnsi="Times New Roman" w:cs="Times New Roman"/>
                <w:color w:val="000000"/>
                <w:lang w:eastAsia="en-GB"/>
              </w:rPr>
            </w:pPr>
          </w:p>
        </w:tc>
        <w:tc>
          <w:tcPr>
            <w:tcW w:w="1456" w:type="pct"/>
            <w:vAlign w:val="center"/>
            <w:hideMark/>
          </w:tcPr>
          <w:p w14:paraId="23FA31C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FT process w CCS using energy crops</w:t>
            </w:r>
          </w:p>
        </w:tc>
        <w:tc>
          <w:tcPr>
            <w:tcW w:w="361" w:type="pct"/>
            <w:noWrap/>
            <w:vAlign w:val="center"/>
            <w:hideMark/>
          </w:tcPr>
          <w:p w14:paraId="505391A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34</w:t>
            </w:r>
          </w:p>
        </w:tc>
        <w:tc>
          <w:tcPr>
            <w:tcW w:w="362" w:type="pct"/>
            <w:vAlign w:val="center"/>
            <w:hideMark/>
          </w:tcPr>
          <w:p w14:paraId="31088E8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42</w:t>
            </w:r>
          </w:p>
        </w:tc>
        <w:tc>
          <w:tcPr>
            <w:tcW w:w="349" w:type="pct"/>
            <w:noWrap/>
            <w:vAlign w:val="center"/>
            <w:hideMark/>
          </w:tcPr>
          <w:p w14:paraId="30500A50"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2235</w:t>
            </w:r>
          </w:p>
        </w:tc>
        <w:tc>
          <w:tcPr>
            <w:tcW w:w="350" w:type="pct"/>
            <w:vAlign w:val="center"/>
            <w:hideMark/>
          </w:tcPr>
          <w:p w14:paraId="09A866EC"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1565</w:t>
            </w:r>
          </w:p>
        </w:tc>
        <w:tc>
          <w:tcPr>
            <w:tcW w:w="349" w:type="pct"/>
            <w:noWrap/>
            <w:vAlign w:val="center"/>
            <w:hideMark/>
          </w:tcPr>
          <w:p w14:paraId="1C8126A1"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27</w:t>
            </w:r>
          </w:p>
        </w:tc>
        <w:tc>
          <w:tcPr>
            <w:tcW w:w="350" w:type="pct"/>
            <w:noWrap/>
            <w:vAlign w:val="center"/>
            <w:hideMark/>
          </w:tcPr>
          <w:p w14:paraId="21B3BF7D" w14:textId="77777777" w:rsidR="008903F7" w:rsidRPr="009F19BD" w:rsidRDefault="008903F7" w:rsidP="00B50CDC">
            <w:pPr>
              <w:pStyle w:val="NoSpacing"/>
              <w:rPr>
                <w:rFonts w:ascii="Times New Roman" w:hAnsi="Times New Roman" w:cs="Times New Roman"/>
                <w:color w:val="000000" w:themeColor="text1"/>
              </w:rPr>
            </w:pPr>
            <w:r w:rsidRPr="009F19BD">
              <w:rPr>
                <w:rFonts w:ascii="Times New Roman" w:hAnsi="Times New Roman" w:cs="Times New Roman"/>
                <w:color w:val="000000" w:themeColor="text1"/>
              </w:rPr>
              <w:t>27</w:t>
            </w:r>
          </w:p>
        </w:tc>
        <w:tc>
          <w:tcPr>
            <w:tcW w:w="349" w:type="pct"/>
            <w:noWrap/>
            <w:vAlign w:val="center"/>
            <w:hideMark/>
          </w:tcPr>
          <w:p w14:paraId="07C5DF74"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themeColor="text1"/>
              </w:rPr>
              <w:t>0.8</w:t>
            </w:r>
          </w:p>
        </w:tc>
        <w:tc>
          <w:tcPr>
            <w:tcW w:w="385" w:type="pct"/>
            <w:noWrap/>
            <w:vAlign w:val="center"/>
            <w:hideMark/>
          </w:tcPr>
          <w:p w14:paraId="4D1A0BB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themeColor="text1"/>
              </w:rPr>
              <w:t>0.8</w:t>
            </w:r>
          </w:p>
        </w:tc>
      </w:tr>
    </w:tbl>
    <w:p w14:paraId="001161BD" w14:textId="77777777" w:rsidR="008903F7" w:rsidRPr="009F19BD" w:rsidRDefault="008903F7" w:rsidP="008903F7">
      <w:pPr>
        <w:rPr>
          <w:rFonts w:ascii="Times New Roman" w:hAnsi="Times New Roman" w:cs="Times New Roman"/>
        </w:rPr>
      </w:pPr>
      <w:r w:rsidRPr="009F19BD">
        <w:rPr>
          <w:rFonts w:ascii="Times New Roman" w:hAnsi="Times New Roman" w:cs="Times New Roman"/>
        </w:rPr>
        <w:t>b)</w:t>
      </w:r>
    </w:p>
    <w:tbl>
      <w:tblPr>
        <w:tblW w:w="483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2490"/>
        <w:gridCol w:w="953"/>
        <w:gridCol w:w="613"/>
        <w:gridCol w:w="1439"/>
        <w:gridCol w:w="1096"/>
        <w:gridCol w:w="818"/>
      </w:tblGrid>
      <w:tr w:rsidR="008903F7" w:rsidRPr="009F19BD" w14:paraId="3BF26BBB" w14:textId="77777777" w:rsidTr="00B50CDC">
        <w:trPr>
          <w:trHeight w:val="642"/>
          <w:tblHeader/>
        </w:trPr>
        <w:tc>
          <w:tcPr>
            <w:tcW w:w="708" w:type="pct"/>
            <w:shd w:val="clear" w:color="auto" w:fill="E7E6E6" w:themeFill="background2"/>
            <w:vAlign w:val="center"/>
            <w:hideMark/>
          </w:tcPr>
          <w:p w14:paraId="35DF43E3"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Technology Group</w:t>
            </w:r>
          </w:p>
        </w:tc>
        <w:tc>
          <w:tcPr>
            <w:tcW w:w="1436" w:type="pct"/>
            <w:shd w:val="clear" w:color="auto" w:fill="E7E6E6" w:themeFill="background2"/>
            <w:vAlign w:val="center"/>
            <w:hideMark/>
          </w:tcPr>
          <w:p w14:paraId="513C2618"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Technology Group</w:t>
            </w:r>
          </w:p>
        </w:tc>
        <w:tc>
          <w:tcPr>
            <w:tcW w:w="554" w:type="pct"/>
            <w:shd w:val="clear" w:color="auto" w:fill="E7E6E6" w:themeFill="background2"/>
            <w:vAlign w:val="center"/>
            <w:hideMark/>
          </w:tcPr>
          <w:p w14:paraId="0B8E4AE7"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Start time</w:t>
            </w:r>
          </w:p>
        </w:tc>
        <w:tc>
          <w:tcPr>
            <w:tcW w:w="358" w:type="pct"/>
            <w:shd w:val="clear" w:color="auto" w:fill="E7E6E6" w:themeFill="background2"/>
            <w:vAlign w:val="center"/>
            <w:hideMark/>
          </w:tcPr>
          <w:p w14:paraId="6CDC2DC6"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Life</w:t>
            </w:r>
          </w:p>
          <w:p w14:paraId="55D4E510" w14:textId="77777777" w:rsidR="008903F7" w:rsidRPr="009F19BD" w:rsidRDefault="008903F7" w:rsidP="00B50CDC">
            <w:pPr>
              <w:pStyle w:val="NoSpacing"/>
              <w:rPr>
                <w:rFonts w:ascii="Times New Roman" w:hAnsi="Times New Roman" w:cs="Times New Roman"/>
                <w:b/>
                <w:lang w:eastAsia="en-GB"/>
              </w:rPr>
            </w:pPr>
            <w:proofErr w:type="spellStart"/>
            <w:r w:rsidRPr="009F19BD">
              <w:rPr>
                <w:rFonts w:ascii="Times New Roman" w:hAnsi="Times New Roman" w:cs="Times New Roman"/>
                <w:b/>
                <w:lang w:eastAsia="en-GB"/>
              </w:rPr>
              <w:t>yr</w:t>
            </w:r>
            <w:proofErr w:type="spellEnd"/>
          </w:p>
        </w:tc>
        <w:tc>
          <w:tcPr>
            <w:tcW w:w="832" w:type="pct"/>
            <w:shd w:val="clear" w:color="auto" w:fill="E7E6E6" w:themeFill="background2"/>
            <w:vAlign w:val="center"/>
            <w:hideMark/>
          </w:tcPr>
          <w:p w14:paraId="63647273"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Availability / capacity factor</w:t>
            </w:r>
          </w:p>
        </w:tc>
        <w:tc>
          <w:tcPr>
            <w:tcW w:w="635" w:type="pct"/>
            <w:shd w:val="clear" w:color="auto" w:fill="E7E6E6" w:themeFill="background2"/>
            <w:vAlign w:val="center"/>
            <w:hideMark/>
          </w:tcPr>
          <w:p w14:paraId="1F87853D"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CO</w:t>
            </w:r>
            <w:r w:rsidRPr="009F19BD">
              <w:rPr>
                <w:rFonts w:ascii="Times New Roman" w:hAnsi="Times New Roman" w:cs="Times New Roman"/>
                <w:b/>
                <w:vertAlign w:val="subscript"/>
                <w:lang w:eastAsia="en-GB"/>
              </w:rPr>
              <w:t>2</w:t>
            </w:r>
            <w:r w:rsidRPr="009F19BD">
              <w:rPr>
                <w:rFonts w:ascii="Times New Roman" w:hAnsi="Times New Roman" w:cs="Times New Roman"/>
                <w:b/>
                <w:lang w:eastAsia="en-GB"/>
              </w:rPr>
              <w:t xml:space="preserve"> Capture rate %</w:t>
            </w:r>
          </w:p>
        </w:tc>
        <w:tc>
          <w:tcPr>
            <w:tcW w:w="476" w:type="pct"/>
            <w:shd w:val="clear" w:color="auto" w:fill="E7E6E6" w:themeFill="background2"/>
            <w:vAlign w:val="center"/>
            <w:hideMark/>
          </w:tcPr>
          <w:p w14:paraId="2D0F385F"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Build rate %</w:t>
            </w:r>
          </w:p>
        </w:tc>
      </w:tr>
      <w:tr w:rsidR="008903F7" w:rsidRPr="009F19BD" w14:paraId="1D34B01B" w14:textId="77777777" w:rsidTr="00B50CDC">
        <w:trPr>
          <w:trHeight w:val="315"/>
        </w:trPr>
        <w:tc>
          <w:tcPr>
            <w:tcW w:w="708" w:type="pct"/>
            <w:vMerge w:val="restart"/>
            <w:vAlign w:val="center"/>
            <w:hideMark/>
          </w:tcPr>
          <w:p w14:paraId="5E1BA8E4"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Electricity</w:t>
            </w:r>
          </w:p>
        </w:tc>
        <w:tc>
          <w:tcPr>
            <w:tcW w:w="1436" w:type="pct"/>
            <w:vAlign w:val="center"/>
            <w:hideMark/>
          </w:tcPr>
          <w:p w14:paraId="662B295D"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Energy Crop Combustion w CCS</w:t>
            </w:r>
          </w:p>
        </w:tc>
        <w:tc>
          <w:tcPr>
            <w:tcW w:w="554" w:type="pct"/>
            <w:vMerge w:val="restart"/>
            <w:noWrap/>
            <w:vAlign w:val="center"/>
            <w:hideMark/>
          </w:tcPr>
          <w:p w14:paraId="20DEBC4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2030</w:t>
            </w:r>
          </w:p>
        </w:tc>
        <w:tc>
          <w:tcPr>
            <w:tcW w:w="358" w:type="pct"/>
            <w:vMerge w:val="restart"/>
            <w:noWrap/>
            <w:vAlign w:val="center"/>
            <w:hideMark/>
          </w:tcPr>
          <w:p w14:paraId="1BE92A4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25</w:t>
            </w:r>
          </w:p>
        </w:tc>
        <w:tc>
          <w:tcPr>
            <w:tcW w:w="832" w:type="pct"/>
            <w:vMerge w:val="restart"/>
            <w:noWrap/>
            <w:vAlign w:val="center"/>
            <w:hideMark/>
          </w:tcPr>
          <w:p w14:paraId="5B07109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0.85</w:t>
            </w:r>
          </w:p>
        </w:tc>
        <w:tc>
          <w:tcPr>
            <w:tcW w:w="635" w:type="pct"/>
            <w:vMerge w:val="restart"/>
            <w:noWrap/>
            <w:vAlign w:val="center"/>
            <w:hideMark/>
          </w:tcPr>
          <w:p w14:paraId="3914A9A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90</w:t>
            </w:r>
          </w:p>
        </w:tc>
        <w:tc>
          <w:tcPr>
            <w:tcW w:w="476" w:type="pct"/>
            <w:vMerge w:val="restart"/>
            <w:noWrap/>
            <w:vAlign w:val="center"/>
            <w:hideMark/>
          </w:tcPr>
          <w:p w14:paraId="68BC5C7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5</w:t>
            </w:r>
          </w:p>
        </w:tc>
      </w:tr>
      <w:tr w:rsidR="008903F7" w:rsidRPr="009F19BD" w14:paraId="23AE66A1" w14:textId="77777777" w:rsidTr="00B50CDC">
        <w:trPr>
          <w:trHeight w:val="389"/>
        </w:trPr>
        <w:tc>
          <w:tcPr>
            <w:tcW w:w="708" w:type="pct"/>
            <w:vMerge/>
            <w:vAlign w:val="center"/>
            <w:hideMark/>
          </w:tcPr>
          <w:p w14:paraId="0954B1FC" w14:textId="77777777" w:rsidR="008903F7" w:rsidRPr="009F19BD" w:rsidRDefault="008903F7" w:rsidP="00B50CDC">
            <w:pPr>
              <w:pStyle w:val="NoSpacing"/>
              <w:rPr>
                <w:rFonts w:ascii="Times New Roman" w:hAnsi="Times New Roman" w:cs="Times New Roman"/>
                <w:color w:val="000000"/>
                <w:lang w:eastAsia="en-GB"/>
              </w:rPr>
            </w:pPr>
          </w:p>
        </w:tc>
        <w:tc>
          <w:tcPr>
            <w:tcW w:w="1436" w:type="pct"/>
            <w:vAlign w:val="center"/>
            <w:hideMark/>
          </w:tcPr>
          <w:p w14:paraId="113CD08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Energy Crop Gasification w CCS</w:t>
            </w:r>
          </w:p>
        </w:tc>
        <w:tc>
          <w:tcPr>
            <w:tcW w:w="554" w:type="pct"/>
            <w:vMerge/>
            <w:vAlign w:val="center"/>
            <w:hideMark/>
          </w:tcPr>
          <w:p w14:paraId="6518F641" w14:textId="77777777" w:rsidR="008903F7" w:rsidRPr="009F19BD" w:rsidRDefault="008903F7" w:rsidP="00B50CDC">
            <w:pPr>
              <w:pStyle w:val="NoSpacing"/>
              <w:rPr>
                <w:rFonts w:ascii="Times New Roman" w:hAnsi="Times New Roman" w:cs="Times New Roman"/>
                <w:color w:val="000000"/>
                <w:lang w:eastAsia="en-GB"/>
              </w:rPr>
            </w:pPr>
          </w:p>
        </w:tc>
        <w:tc>
          <w:tcPr>
            <w:tcW w:w="358" w:type="pct"/>
            <w:vMerge/>
            <w:vAlign w:val="center"/>
            <w:hideMark/>
          </w:tcPr>
          <w:p w14:paraId="09ABF754" w14:textId="77777777" w:rsidR="008903F7" w:rsidRPr="009F19BD" w:rsidRDefault="008903F7" w:rsidP="00B50CDC">
            <w:pPr>
              <w:pStyle w:val="NoSpacing"/>
              <w:rPr>
                <w:rFonts w:ascii="Times New Roman" w:hAnsi="Times New Roman" w:cs="Times New Roman"/>
                <w:color w:val="000000"/>
                <w:lang w:eastAsia="en-GB"/>
              </w:rPr>
            </w:pPr>
          </w:p>
        </w:tc>
        <w:tc>
          <w:tcPr>
            <w:tcW w:w="832" w:type="pct"/>
            <w:vMerge/>
            <w:vAlign w:val="center"/>
            <w:hideMark/>
          </w:tcPr>
          <w:p w14:paraId="253C1195" w14:textId="77777777" w:rsidR="008903F7" w:rsidRPr="009F19BD" w:rsidRDefault="008903F7" w:rsidP="00B50CDC">
            <w:pPr>
              <w:pStyle w:val="NoSpacing"/>
              <w:rPr>
                <w:rFonts w:ascii="Times New Roman" w:hAnsi="Times New Roman" w:cs="Times New Roman"/>
                <w:color w:val="000000"/>
                <w:lang w:eastAsia="en-GB"/>
              </w:rPr>
            </w:pPr>
          </w:p>
        </w:tc>
        <w:tc>
          <w:tcPr>
            <w:tcW w:w="635" w:type="pct"/>
            <w:vMerge/>
            <w:vAlign w:val="center"/>
            <w:hideMark/>
          </w:tcPr>
          <w:p w14:paraId="0C7B4039" w14:textId="77777777" w:rsidR="008903F7" w:rsidRPr="009F19BD" w:rsidRDefault="008903F7" w:rsidP="00B50CDC">
            <w:pPr>
              <w:pStyle w:val="NoSpacing"/>
              <w:rPr>
                <w:rFonts w:ascii="Times New Roman" w:hAnsi="Times New Roman" w:cs="Times New Roman"/>
                <w:color w:val="000000"/>
                <w:lang w:eastAsia="en-GB"/>
              </w:rPr>
            </w:pPr>
          </w:p>
        </w:tc>
        <w:tc>
          <w:tcPr>
            <w:tcW w:w="476" w:type="pct"/>
            <w:vMerge/>
            <w:vAlign w:val="center"/>
            <w:hideMark/>
          </w:tcPr>
          <w:p w14:paraId="6F5B7BEF" w14:textId="77777777" w:rsidR="008903F7" w:rsidRPr="009F19BD" w:rsidRDefault="008903F7" w:rsidP="00B50CDC">
            <w:pPr>
              <w:pStyle w:val="NoSpacing"/>
              <w:rPr>
                <w:rFonts w:ascii="Times New Roman" w:hAnsi="Times New Roman" w:cs="Times New Roman"/>
                <w:color w:val="000000"/>
                <w:lang w:eastAsia="en-GB"/>
              </w:rPr>
            </w:pPr>
          </w:p>
        </w:tc>
      </w:tr>
      <w:tr w:rsidR="008903F7" w:rsidRPr="009F19BD" w14:paraId="4406692D" w14:textId="77777777" w:rsidTr="00B50CDC">
        <w:trPr>
          <w:trHeight w:val="453"/>
        </w:trPr>
        <w:tc>
          <w:tcPr>
            <w:tcW w:w="708" w:type="pct"/>
            <w:vMerge/>
            <w:vAlign w:val="center"/>
            <w:hideMark/>
          </w:tcPr>
          <w:p w14:paraId="74A3EA0E" w14:textId="77777777" w:rsidR="008903F7" w:rsidRPr="009F19BD" w:rsidRDefault="008903F7" w:rsidP="00B50CDC">
            <w:pPr>
              <w:pStyle w:val="NoSpacing"/>
              <w:rPr>
                <w:rFonts w:ascii="Times New Roman" w:hAnsi="Times New Roman" w:cs="Times New Roman"/>
                <w:color w:val="000000"/>
                <w:lang w:eastAsia="en-GB"/>
              </w:rPr>
            </w:pPr>
          </w:p>
        </w:tc>
        <w:tc>
          <w:tcPr>
            <w:tcW w:w="1436" w:type="pct"/>
            <w:vAlign w:val="center"/>
            <w:hideMark/>
          </w:tcPr>
          <w:p w14:paraId="4F57046F"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Solid Biomass Combustion w CCS</w:t>
            </w:r>
          </w:p>
        </w:tc>
        <w:tc>
          <w:tcPr>
            <w:tcW w:w="554" w:type="pct"/>
            <w:vMerge/>
            <w:vAlign w:val="center"/>
            <w:hideMark/>
          </w:tcPr>
          <w:p w14:paraId="5851FF26" w14:textId="77777777" w:rsidR="008903F7" w:rsidRPr="009F19BD" w:rsidRDefault="008903F7" w:rsidP="00B50CDC">
            <w:pPr>
              <w:pStyle w:val="NoSpacing"/>
              <w:rPr>
                <w:rFonts w:ascii="Times New Roman" w:hAnsi="Times New Roman" w:cs="Times New Roman"/>
                <w:color w:val="000000"/>
                <w:lang w:eastAsia="en-GB"/>
              </w:rPr>
            </w:pPr>
          </w:p>
        </w:tc>
        <w:tc>
          <w:tcPr>
            <w:tcW w:w="358" w:type="pct"/>
            <w:vMerge/>
            <w:vAlign w:val="center"/>
            <w:hideMark/>
          </w:tcPr>
          <w:p w14:paraId="5CB63310" w14:textId="77777777" w:rsidR="008903F7" w:rsidRPr="009F19BD" w:rsidRDefault="008903F7" w:rsidP="00B50CDC">
            <w:pPr>
              <w:pStyle w:val="NoSpacing"/>
              <w:rPr>
                <w:rFonts w:ascii="Times New Roman" w:hAnsi="Times New Roman" w:cs="Times New Roman"/>
                <w:color w:val="000000"/>
                <w:lang w:eastAsia="en-GB"/>
              </w:rPr>
            </w:pPr>
          </w:p>
        </w:tc>
        <w:tc>
          <w:tcPr>
            <w:tcW w:w="832" w:type="pct"/>
            <w:vMerge/>
            <w:vAlign w:val="center"/>
            <w:hideMark/>
          </w:tcPr>
          <w:p w14:paraId="54D1D9FB" w14:textId="77777777" w:rsidR="008903F7" w:rsidRPr="009F19BD" w:rsidRDefault="008903F7" w:rsidP="00B50CDC">
            <w:pPr>
              <w:pStyle w:val="NoSpacing"/>
              <w:rPr>
                <w:rFonts w:ascii="Times New Roman" w:hAnsi="Times New Roman" w:cs="Times New Roman"/>
                <w:color w:val="000000"/>
                <w:lang w:eastAsia="en-GB"/>
              </w:rPr>
            </w:pPr>
          </w:p>
        </w:tc>
        <w:tc>
          <w:tcPr>
            <w:tcW w:w="635" w:type="pct"/>
            <w:vMerge/>
            <w:vAlign w:val="center"/>
            <w:hideMark/>
          </w:tcPr>
          <w:p w14:paraId="11A464FA" w14:textId="77777777" w:rsidR="008903F7" w:rsidRPr="009F19BD" w:rsidRDefault="008903F7" w:rsidP="00B50CDC">
            <w:pPr>
              <w:pStyle w:val="NoSpacing"/>
              <w:rPr>
                <w:rFonts w:ascii="Times New Roman" w:hAnsi="Times New Roman" w:cs="Times New Roman"/>
                <w:color w:val="000000"/>
                <w:lang w:eastAsia="en-GB"/>
              </w:rPr>
            </w:pPr>
          </w:p>
        </w:tc>
        <w:tc>
          <w:tcPr>
            <w:tcW w:w="476" w:type="pct"/>
            <w:vMerge/>
            <w:vAlign w:val="center"/>
            <w:hideMark/>
          </w:tcPr>
          <w:p w14:paraId="6AC288C9" w14:textId="77777777" w:rsidR="008903F7" w:rsidRPr="009F19BD" w:rsidRDefault="008903F7" w:rsidP="00B50CDC">
            <w:pPr>
              <w:pStyle w:val="NoSpacing"/>
              <w:rPr>
                <w:rFonts w:ascii="Times New Roman" w:hAnsi="Times New Roman" w:cs="Times New Roman"/>
                <w:color w:val="000000"/>
                <w:lang w:eastAsia="en-GB"/>
              </w:rPr>
            </w:pPr>
          </w:p>
        </w:tc>
      </w:tr>
      <w:tr w:rsidR="008903F7" w:rsidRPr="009F19BD" w14:paraId="788AF26A" w14:textId="77777777" w:rsidTr="00B50CDC">
        <w:trPr>
          <w:trHeight w:val="375"/>
        </w:trPr>
        <w:tc>
          <w:tcPr>
            <w:tcW w:w="708" w:type="pct"/>
            <w:vMerge/>
            <w:vAlign w:val="center"/>
            <w:hideMark/>
          </w:tcPr>
          <w:p w14:paraId="44FDBB3D" w14:textId="77777777" w:rsidR="008903F7" w:rsidRPr="009F19BD" w:rsidRDefault="008903F7" w:rsidP="00B50CDC">
            <w:pPr>
              <w:pStyle w:val="NoSpacing"/>
              <w:rPr>
                <w:rFonts w:ascii="Times New Roman" w:hAnsi="Times New Roman" w:cs="Times New Roman"/>
                <w:color w:val="000000"/>
                <w:lang w:eastAsia="en-GB"/>
              </w:rPr>
            </w:pPr>
          </w:p>
        </w:tc>
        <w:tc>
          <w:tcPr>
            <w:tcW w:w="1436" w:type="pct"/>
            <w:vAlign w:val="center"/>
            <w:hideMark/>
          </w:tcPr>
          <w:p w14:paraId="5504EF7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Solid Biomass Gasification w CCS</w:t>
            </w:r>
          </w:p>
        </w:tc>
        <w:tc>
          <w:tcPr>
            <w:tcW w:w="554" w:type="pct"/>
            <w:vMerge/>
            <w:vAlign w:val="center"/>
            <w:hideMark/>
          </w:tcPr>
          <w:p w14:paraId="3963C668" w14:textId="77777777" w:rsidR="008903F7" w:rsidRPr="009F19BD" w:rsidRDefault="008903F7" w:rsidP="00B50CDC">
            <w:pPr>
              <w:pStyle w:val="NoSpacing"/>
              <w:rPr>
                <w:rFonts w:ascii="Times New Roman" w:hAnsi="Times New Roman" w:cs="Times New Roman"/>
                <w:color w:val="000000"/>
                <w:lang w:eastAsia="en-GB"/>
              </w:rPr>
            </w:pPr>
          </w:p>
        </w:tc>
        <w:tc>
          <w:tcPr>
            <w:tcW w:w="358" w:type="pct"/>
            <w:vMerge/>
            <w:vAlign w:val="center"/>
            <w:hideMark/>
          </w:tcPr>
          <w:p w14:paraId="43BF4844" w14:textId="77777777" w:rsidR="008903F7" w:rsidRPr="009F19BD" w:rsidRDefault="008903F7" w:rsidP="00B50CDC">
            <w:pPr>
              <w:pStyle w:val="NoSpacing"/>
              <w:rPr>
                <w:rFonts w:ascii="Times New Roman" w:hAnsi="Times New Roman" w:cs="Times New Roman"/>
                <w:color w:val="000000"/>
                <w:lang w:eastAsia="en-GB"/>
              </w:rPr>
            </w:pPr>
          </w:p>
        </w:tc>
        <w:tc>
          <w:tcPr>
            <w:tcW w:w="832" w:type="pct"/>
            <w:vMerge/>
            <w:vAlign w:val="center"/>
            <w:hideMark/>
          </w:tcPr>
          <w:p w14:paraId="1C44334B" w14:textId="77777777" w:rsidR="008903F7" w:rsidRPr="009F19BD" w:rsidRDefault="008903F7" w:rsidP="00B50CDC">
            <w:pPr>
              <w:pStyle w:val="NoSpacing"/>
              <w:rPr>
                <w:rFonts w:ascii="Times New Roman" w:hAnsi="Times New Roman" w:cs="Times New Roman"/>
                <w:color w:val="000000"/>
                <w:lang w:eastAsia="en-GB"/>
              </w:rPr>
            </w:pPr>
          </w:p>
        </w:tc>
        <w:tc>
          <w:tcPr>
            <w:tcW w:w="635" w:type="pct"/>
            <w:vMerge/>
            <w:vAlign w:val="center"/>
            <w:hideMark/>
          </w:tcPr>
          <w:p w14:paraId="7F708EDF" w14:textId="77777777" w:rsidR="008903F7" w:rsidRPr="009F19BD" w:rsidRDefault="008903F7" w:rsidP="00B50CDC">
            <w:pPr>
              <w:pStyle w:val="NoSpacing"/>
              <w:rPr>
                <w:rFonts w:ascii="Times New Roman" w:hAnsi="Times New Roman" w:cs="Times New Roman"/>
                <w:color w:val="000000"/>
                <w:lang w:eastAsia="en-GB"/>
              </w:rPr>
            </w:pPr>
          </w:p>
        </w:tc>
        <w:tc>
          <w:tcPr>
            <w:tcW w:w="476" w:type="pct"/>
            <w:vMerge/>
            <w:vAlign w:val="center"/>
            <w:hideMark/>
          </w:tcPr>
          <w:p w14:paraId="1C25FDEB" w14:textId="77777777" w:rsidR="008903F7" w:rsidRPr="009F19BD" w:rsidRDefault="008903F7" w:rsidP="00B50CDC">
            <w:pPr>
              <w:pStyle w:val="NoSpacing"/>
              <w:rPr>
                <w:rFonts w:ascii="Times New Roman" w:hAnsi="Times New Roman" w:cs="Times New Roman"/>
                <w:color w:val="000000"/>
                <w:lang w:eastAsia="en-GB"/>
              </w:rPr>
            </w:pPr>
          </w:p>
        </w:tc>
      </w:tr>
      <w:tr w:rsidR="008903F7" w:rsidRPr="009F19BD" w14:paraId="17C1D5DF" w14:textId="77777777" w:rsidTr="00B50CDC">
        <w:trPr>
          <w:trHeight w:val="320"/>
        </w:trPr>
        <w:tc>
          <w:tcPr>
            <w:tcW w:w="708" w:type="pct"/>
            <w:vAlign w:val="center"/>
            <w:hideMark/>
          </w:tcPr>
          <w:p w14:paraId="0582C8BE"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Heat</w:t>
            </w:r>
          </w:p>
        </w:tc>
        <w:tc>
          <w:tcPr>
            <w:tcW w:w="1436" w:type="pct"/>
            <w:vAlign w:val="center"/>
            <w:hideMark/>
          </w:tcPr>
          <w:p w14:paraId="055BDACC"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Heat from biomass with CCS</w:t>
            </w:r>
          </w:p>
        </w:tc>
        <w:tc>
          <w:tcPr>
            <w:tcW w:w="554" w:type="pct"/>
            <w:noWrap/>
            <w:vAlign w:val="center"/>
            <w:hideMark/>
          </w:tcPr>
          <w:p w14:paraId="2FE5794F"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2030</w:t>
            </w:r>
          </w:p>
        </w:tc>
        <w:tc>
          <w:tcPr>
            <w:tcW w:w="358" w:type="pct"/>
            <w:noWrap/>
            <w:vAlign w:val="center"/>
            <w:hideMark/>
          </w:tcPr>
          <w:p w14:paraId="116BA43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30</w:t>
            </w:r>
          </w:p>
        </w:tc>
        <w:tc>
          <w:tcPr>
            <w:tcW w:w="832" w:type="pct"/>
            <w:noWrap/>
            <w:vAlign w:val="center"/>
            <w:hideMark/>
          </w:tcPr>
          <w:p w14:paraId="6986B32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0.6</w:t>
            </w:r>
          </w:p>
        </w:tc>
        <w:tc>
          <w:tcPr>
            <w:tcW w:w="635" w:type="pct"/>
            <w:noWrap/>
            <w:vAlign w:val="center"/>
            <w:hideMark/>
          </w:tcPr>
          <w:p w14:paraId="6F92F63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90</w:t>
            </w:r>
          </w:p>
        </w:tc>
        <w:tc>
          <w:tcPr>
            <w:tcW w:w="476" w:type="pct"/>
            <w:noWrap/>
            <w:vAlign w:val="center"/>
            <w:hideMark/>
          </w:tcPr>
          <w:p w14:paraId="73FBA3A5"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w:t>
            </w:r>
          </w:p>
        </w:tc>
      </w:tr>
      <w:tr w:rsidR="008903F7" w:rsidRPr="009F19BD" w14:paraId="1A278BCF" w14:textId="77777777" w:rsidTr="00B50CDC">
        <w:trPr>
          <w:trHeight w:val="373"/>
        </w:trPr>
        <w:tc>
          <w:tcPr>
            <w:tcW w:w="708" w:type="pct"/>
            <w:vAlign w:val="center"/>
            <w:hideMark/>
          </w:tcPr>
          <w:p w14:paraId="02369944"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Hydrogen</w:t>
            </w:r>
          </w:p>
        </w:tc>
        <w:tc>
          <w:tcPr>
            <w:tcW w:w="1436" w:type="pct"/>
            <w:vAlign w:val="center"/>
            <w:hideMark/>
          </w:tcPr>
          <w:p w14:paraId="03A2839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 xml:space="preserve">Hydrogen from biomass </w:t>
            </w:r>
            <w:proofErr w:type="gramStart"/>
            <w:r w:rsidRPr="009F19BD">
              <w:rPr>
                <w:rFonts w:ascii="Times New Roman" w:hAnsi="Times New Roman" w:cs="Times New Roman"/>
                <w:color w:val="000000"/>
                <w:lang w:eastAsia="en-GB"/>
              </w:rPr>
              <w:t>gasification  +</w:t>
            </w:r>
            <w:proofErr w:type="gramEnd"/>
            <w:r w:rsidRPr="009F19BD">
              <w:rPr>
                <w:rFonts w:ascii="Times New Roman" w:hAnsi="Times New Roman" w:cs="Times New Roman"/>
                <w:color w:val="000000"/>
                <w:lang w:eastAsia="en-GB"/>
              </w:rPr>
              <w:t xml:space="preserve"> CCS</w:t>
            </w:r>
          </w:p>
        </w:tc>
        <w:tc>
          <w:tcPr>
            <w:tcW w:w="554" w:type="pct"/>
            <w:noWrap/>
            <w:vAlign w:val="center"/>
            <w:hideMark/>
          </w:tcPr>
          <w:p w14:paraId="0C9F396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2030</w:t>
            </w:r>
          </w:p>
        </w:tc>
        <w:tc>
          <w:tcPr>
            <w:tcW w:w="358" w:type="pct"/>
            <w:noWrap/>
            <w:vAlign w:val="center"/>
            <w:hideMark/>
          </w:tcPr>
          <w:p w14:paraId="536A3DC9"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30</w:t>
            </w:r>
          </w:p>
        </w:tc>
        <w:tc>
          <w:tcPr>
            <w:tcW w:w="832" w:type="pct"/>
            <w:noWrap/>
            <w:vAlign w:val="center"/>
            <w:hideMark/>
          </w:tcPr>
          <w:p w14:paraId="2DD131FF"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0.9</w:t>
            </w:r>
          </w:p>
        </w:tc>
        <w:tc>
          <w:tcPr>
            <w:tcW w:w="635" w:type="pct"/>
            <w:noWrap/>
            <w:vAlign w:val="center"/>
            <w:hideMark/>
          </w:tcPr>
          <w:p w14:paraId="4D77DEC0"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90</w:t>
            </w:r>
          </w:p>
        </w:tc>
        <w:tc>
          <w:tcPr>
            <w:tcW w:w="476" w:type="pct"/>
            <w:noWrap/>
            <w:vAlign w:val="center"/>
            <w:hideMark/>
          </w:tcPr>
          <w:p w14:paraId="0AA940CC"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5</w:t>
            </w:r>
          </w:p>
        </w:tc>
      </w:tr>
      <w:tr w:rsidR="008903F7" w:rsidRPr="009F19BD" w14:paraId="417F3921" w14:textId="77777777" w:rsidTr="00B50CDC">
        <w:trPr>
          <w:trHeight w:val="439"/>
        </w:trPr>
        <w:tc>
          <w:tcPr>
            <w:tcW w:w="708" w:type="pct"/>
            <w:vMerge w:val="restart"/>
            <w:vAlign w:val="center"/>
            <w:hideMark/>
          </w:tcPr>
          <w:p w14:paraId="7A2B326D"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Advanced transport fuels</w:t>
            </w:r>
          </w:p>
        </w:tc>
        <w:tc>
          <w:tcPr>
            <w:tcW w:w="1436" w:type="pct"/>
            <w:vAlign w:val="center"/>
            <w:hideMark/>
          </w:tcPr>
          <w:p w14:paraId="663A8292"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 xml:space="preserve">FT process w CCS using solid biomass </w:t>
            </w:r>
          </w:p>
        </w:tc>
        <w:tc>
          <w:tcPr>
            <w:tcW w:w="554" w:type="pct"/>
            <w:vMerge w:val="restart"/>
            <w:noWrap/>
            <w:vAlign w:val="center"/>
            <w:hideMark/>
          </w:tcPr>
          <w:p w14:paraId="6DB0085B"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2030</w:t>
            </w:r>
          </w:p>
        </w:tc>
        <w:tc>
          <w:tcPr>
            <w:tcW w:w="358" w:type="pct"/>
            <w:vMerge w:val="restart"/>
            <w:noWrap/>
            <w:vAlign w:val="center"/>
            <w:hideMark/>
          </w:tcPr>
          <w:p w14:paraId="153D8BCA"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30</w:t>
            </w:r>
          </w:p>
        </w:tc>
        <w:tc>
          <w:tcPr>
            <w:tcW w:w="832" w:type="pct"/>
            <w:vMerge w:val="restart"/>
            <w:noWrap/>
            <w:vAlign w:val="center"/>
            <w:hideMark/>
          </w:tcPr>
          <w:p w14:paraId="75287A41"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0.9</w:t>
            </w:r>
          </w:p>
        </w:tc>
        <w:tc>
          <w:tcPr>
            <w:tcW w:w="635" w:type="pct"/>
            <w:vMerge w:val="restart"/>
            <w:noWrap/>
            <w:vAlign w:val="center"/>
            <w:hideMark/>
          </w:tcPr>
          <w:p w14:paraId="2CE70075"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50</w:t>
            </w:r>
          </w:p>
        </w:tc>
        <w:tc>
          <w:tcPr>
            <w:tcW w:w="476" w:type="pct"/>
            <w:vMerge w:val="restart"/>
            <w:noWrap/>
            <w:vAlign w:val="center"/>
            <w:hideMark/>
          </w:tcPr>
          <w:p w14:paraId="35095143"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5</w:t>
            </w:r>
          </w:p>
        </w:tc>
      </w:tr>
      <w:tr w:rsidR="008903F7" w:rsidRPr="009F19BD" w14:paraId="0F2F5122" w14:textId="77777777" w:rsidTr="00B50CDC">
        <w:trPr>
          <w:trHeight w:val="406"/>
        </w:trPr>
        <w:tc>
          <w:tcPr>
            <w:tcW w:w="708" w:type="pct"/>
            <w:vMerge/>
            <w:vAlign w:val="center"/>
            <w:hideMark/>
          </w:tcPr>
          <w:p w14:paraId="48BF6CE5" w14:textId="77777777" w:rsidR="008903F7" w:rsidRPr="009F19BD" w:rsidRDefault="008903F7" w:rsidP="00B50CDC">
            <w:pPr>
              <w:pStyle w:val="NoSpacing"/>
              <w:rPr>
                <w:rFonts w:ascii="Times New Roman" w:hAnsi="Times New Roman" w:cs="Times New Roman"/>
                <w:color w:val="000000"/>
                <w:lang w:eastAsia="en-GB"/>
              </w:rPr>
            </w:pPr>
          </w:p>
        </w:tc>
        <w:tc>
          <w:tcPr>
            <w:tcW w:w="1436" w:type="pct"/>
            <w:vAlign w:val="center"/>
          </w:tcPr>
          <w:p w14:paraId="72C17916" w14:textId="77777777" w:rsidR="008903F7" w:rsidRPr="009F19BD" w:rsidRDefault="008903F7" w:rsidP="00B50CDC">
            <w:pPr>
              <w:pStyle w:val="NoSpacing"/>
              <w:rPr>
                <w:rFonts w:ascii="Times New Roman" w:hAnsi="Times New Roman" w:cs="Times New Roman"/>
                <w:color w:val="000000"/>
                <w:lang w:eastAsia="en-GB"/>
              </w:rPr>
            </w:pPr>
            <w:r w:rsidRPr="009F19BD">
              <w:rPr>
                <w:rFonts w:ascii="Times New Roman" w:hAnsi="Times New Roman" w:cs="Times New Roman"/>
                <w:color w:val="000000"/>
                <w:lang w:eastAsia="en-GB"/>
              </w:rPr>
              <w:t>FT process w CCS using energy crops</w:t>
            </w:r>
          </w:p>
        </w:tc>
        <w:tc>
          <w:tcPr>
            <w:tcW w:w="554" w:type="pct"/>
            <w:vMerge/>
            <w:vAlign w:val="center"/>
            <w:hideMark/>
          </w:tcPr>
          <w:p w14:paraId="034F306A" w14:textId="77777777" w:rsidR="008903F7" w:rsidRPr="009F19BD" w:rsidRDefault="008903F7" w:rsidP="00B50CDC">
            <w:pPr>
              <w:pStyle w:val="NoSpacing"/>
              <w:rPr>
                <w:rFonts w:ascii="Times New Roman" w:hAnsi="Times New Roman" w:cs="Times New Roman"/>
                <w:color w:val="000000"/>
                <w:lang w:eastAsia="en-GB"/>
              </w:rPr>
            </w:pPr>
          </w:p>
        </w:tc>
        <w:tc>
          <w:tcPr>
            <w:tcW w:w="358" w:type="pct"/>
            <w:vMerge/>
            <w:vAlign w:val="center"/>
            <w:hideMark/>
          </w:tcPr>
          <w:p w14:paraId="100109E2" w14:textId="77777777" w:rsidR="008903F7" w:rsidRPr="009F19BD" w:rsidRDefault="008903F7" w:rsidP="00B50CDC">
            <w:pPr>
              <w:pStyle w:val="NoSpacing"/>
              <w:rPr>
                <w:rFonts w:ascii="Times New Roman" w:hAnsi="Times New Roman" w:cs="Times New Roman"/>
                <w:color w:val="000000"/>
                <w:lang w:eastAsia="en-GB"/>
              </w:rPr>
            </w:pPr>
          </w:p>
        </w:tc>
        <w:tc>
          <w:tcPr>
            <w:tcW w:w="832" w:type="pct"/>
            <w:vMerge/>
            <w:vAlign w:val="center"/>
            <w:hideMark/>
          </w:tcPr>
          <w:p w14:paraId="12E4DF80" w14:textId="77777777" w:rsidR="008903F7" w:rsidRPr="009F19BD" w:rsidRDefault="008903F7" w:rsidP="00B50CDC">
            <w:pPr>
              <w:pStyle w:val="NoSpacing"/>
              <w:rPr>
                <w:rFonts w:ascii="Times New Roman" w:hAnsi="Times New Roman" w:cs="Times New Roman"/>
                <w:color w:val="000000"/>
                <w:lang w:eastAsia="en-GB"/>
              </w:rPr>
            </w:pPr>
          </w:p>
        </w:tc>
        <w:tc>
          <w:tcPr>
            <w:tcW w:w="635" w:type="pct"/>
            <w:vMerge/>
            <w:vAlign w:val="center"/>
            <w:hideMark/>
          </w:tcPr>
          <w:p w14:paraId="715EE50C" w14:textId="77777777" w:rsidR="008903F7" w:rsidRPr="009F19BD" w:rsidRDefault="008903F7" w:rsidP="00B50CDC">
            <w:pPr>
              <w:pStyle w:val="NoSpacing"/>
              <w:rPr>
                <w:rFonts w:ascii="Times New Roman" w:hAnsi="Times New Roman" w:cs="Times New Roman"/>
                <w:color w:val="000000"/>
                <w:lang w:eastAsia="en-GB"/>
              </w:rPr>
            </w:pPr>
          </w:p>
        </w:tc>
        <w:tc>
          <w:tcPr>
            <w:tcW w:w="476" w:type="pct"/>
            <w:vMerge/>
            <w:vAlign w:val="center"/>
            <w:hideMark/>
          </w:tcPr>
          <w:p w14:paraId="6085FC5C" w14:textId="77777777" w:rsidR="008903F7" w:rsidRPr="009F19BD" w:rsidRDefault="008903F7" w:rsidP="00B50CDC">
            <w:pPr>
              <w:pStyle w:val="NoSpacing"/>
              <w:rPr>
                <w:rFonts w:ascii="Times New Roman" w:hAnsi="Times New Roman" w:cs="Times New Roman"/>
                <w:color w:val="000000"/>
                <w:lang w:eastAsia="en-GB"/>
              </w:rPr>
            </w:pPr>
          </w:p>
        </w:tc>
      </w:tr>
    </w:tbl>
    <w:p w14:paraId="2548348F" w14:textId="77777777" w:rsidR="008903F7" w:rsidRPr="009F19BD" w:rsidRDefault="008903F7" w:rsidP="008903F7">
      <w:pPr>
        <w:pStyle w:val="NoSpacing"/>
        <w:rPr>
          <w:rFonts w:ascii="Times New Roman" w:hAnsi="Times New Roman" w:cs="Times New Roman"/>
        </w:rPr>
      </w:pPr>
    </w:p>
    <w:p w14:paraId="5E15160F" w14:textId="35248AD5"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Source: </w:t>
      </w:r>
      <w:proofErr w:type="spellStart"/>
      <w:r w:rsidRPr="009F19BD">
        <w:rPr>
          <w:rFonts w:ascii="Times New Roman" w:hAnsi="Times New Roman" w:cs="Times New Roman"/>
        </w:rPr>
        <w:t>Butnar</w:t>
      </w:r>
      <w:proofErr w:type="spellEnd"/>
      <w:r w:rsidRPr="009F19BD">
        <w:rPr>
          <w:rFonts w:ascii="Times New Roman" w:hAnsi="Times New Roman" w:cs="Times New Roman"/>
        </w:rPr>
        <w:t xml:space="preserve"> et al. 2020</w:t>
      </w:r>
      <w:r w:rsidR="003B0DBA">
        <w:rPr>
          <w:rStyle w:val="FootnoteReference"/>
          <w:rFonts w:ascii="Times New Roman" w:hAnsi="Times New Roman" w:cs="Times New Roman"/>
        </w:rPr>
        <w:footnoteReference w:id="11"/>
      </w:r>
      <w:r w:rsidRPr="009F19BD">
        <w:rPr>
          <w:rFonts w:ascii="Times New Roman" w:hAnsi="Times New Roman" w:cs="Times New Roman"/>
        </w:rPr>
        <w:fldChar w:fldCharType="begin" w:fldLock="1"/>
      </w:r>
      <w:r w:rsidRPr="009F19BD">
        <w:rPr>
          <w:rFonts w:ascii="Times New Roman" w:hAnsi="Times New Roman" w:cs="Times New Roman"/>
        </w:rPr>
        <w:instrText>ADDIN CSL_CITATION {"citationItems":[{"id":"ITEM-1","itemData":{"DOI":"10.1111/gcbb.12666","ISSN":"17571707","abstract":"Bioenergy is expected to have a prominent role in limiting global greenhouse emissions to meet the climate change target of the Paris Agreement. Many studies identify negative emissions from bioenergy generation with carbon capture and storage (BECCS) as its key contribution, but assume that no other CO2 removal technologies are available. We use a global integrated assessment model, TIAM-UCL, to investigate the role of bioenergy within the global energy system when direct air capture and afforestation are available as cost-competitive alternatives to BECCS. We find that the presence of other CO2 removal technologies does not reduce the pressure on biomass resources but changes the use of bioenergy for climate mitigation. While we confirm that when available BECCS offers cheaper decarbonization pathways, we also find that its use delays the phase-out of unabated fossil fuels in industry and transport. Furthermore, it displaces renewable electricity generation, potentially increasing the likelihood of missing the Paris Agreement target. We found that the most cost-effective solution is to invest in a basket of CO2 removal technologies. However, if these technologies rely on CCS, then urgent action is required to ramp up the necessary infrastructure. We conclude that a sustainable biomass supply is critical for decarbonizing the global energy system. Since only a few world regions carry the burden of producing the biomass resource and store CO2 in geological storage, adequate international collaboration, policies and standards will be needed to realize this resource while avoiding undesired land-use change.","author":[{"dropping-particle":"","family":"Butnar","given":"Isabela","non-dropping-particle":"","parse-names":false,"suffix":""},{"dropping-particle":"","family":"Broad","given":"Oliver","non-dropping-particle":"","parse-names":false,"suffix":""},{"dropping-particle":"","family":"Solano Rodriguez","given":"Baltazar","non-dropping-particle":"","parse-names":false,"suffix":""},{"dropping-particle":"","family":"Dodds","given":"Paul E.","non-dropping-particle":"","parse-names":false,"suffix":""}],"container-title":"GCB Bioenergy","id":"ITEM-1","issue":"3","issued":{"date-parts":[["2020"]]},"page":"198-212","title":"The role of bioenergy for global deep decarbonization: CO2 removal or low-carbon energy?","type":"article-journal","volume":"12"},"uris":["http://www.mendeley.com/documents/?uuid=a8b99a58-ad4c-4e72-9e3f-a249f09b00b0"]}],"mendeley":{"formattedCitation":"&lt;sup&gt;61&lt;/sup&gt;","plainTextFormattedCitation":"61","previouslyFormattedCitation":"&lt;sup&gt;62&lt;/sup&gt;"},"properties":{"noteIndex":0},"schema":"https://github.com/citation-style-language/schema/raw/master/csl-citation.json"}</w:instrText>
      </w:r>
      <w:r w:rsidR="00A872DB">
        <w:rPr>
          <w:rFonts w:ascii="Times New Roman" w:hAnsi="Times New Roman" w:cs="Times New Roman"/>
        </w:rPr>
        <w:fldChar w:fldCharType="separate"/>
      </w:r>
      <w:r w:rsidRPr="009F19BD">
        <w:rPr>
          <w:rFonts w:ascii="Times New Roman" w:hAnsi="Times New Roman" w:cs="Times New Roman"/>
        </w:rPr>
        <w:fldChar w:fldCharType="end"/>
      </w:r>
    </w:p>
    <w:p w14:paraId="69FC1B8F" w14:textId="77777777" w:rsidR="008903F7" w:rsidRPr="009F19BD" w:rsidRDefault="008903F7" w:rsidP="008903F7">
      <w:pPr>
        <w:rPr>
          <w:rFonts w:ascii="Times New Roman" w:hAnsi="Times New Roman" w:cs="Times New Roman"/>
          <w:b/>
          <w:bCs/>
        </w:rPr>
      </w:pPr>
    </w:p>
    <w:p w14:paraId="618CFF90" w14:textId="77777777" w:rsidR="007C7C7F" w:rsidRDefault="007C7C7F" w:rsidP="008903F7">
      <w:pPr>
        <w:rPr>
          <w:rFonts w:ascii="Times New Roman" w:hAnsi="Times New Roman" w:cs="Times New Roman"/>
          <w:b/>
          <w:bCs/>
          <w:iCs/>
        </w:rPr>
      </w:pPr>
      <w:bookmarkStart w:id="5" w:name="_Ref64821989"/>
    </w:p>
    <w:p w14:paraId="072FD0B1" w14:textId="77777777" w:rsidR="007C7C7F" w:rsidRDefault="007C7C7F" w:rsidP="008903F7">
      <w:pPr>
        <w:rPr>
          <w:rFonts w:ascii="Times New Roman" w:hAnsi="Times New Roman" w:cs="Times New Roman"/>
          <w:b/>
          <w:bCs/>
          <w:iCs/>
        </w:rPr>
      </w:pPr>
    </w:p>
    <w:p w14:paraId="07BA1C30" w14:textId="79352741" w:rsidR="008903F7" w:rsidRPr="007C7C7F" w:rsidRDefault="008903F7" w:rsidP="008903F7">
      <w:pPr>
        <w:rPr>
          <w:rFonts w:ascii="Times New Roman" w:hAnsi="Times New Roman" w:cs="Times New Roman"/>
          <w:b/>
          <w:iCs/>
        </w:rPr>
      </w:pPr>
      <w:r w:rsidRPr="007C7C7F">
        <w:rPr>
          <w:rFonts w:ascii="Times New Roman" w:hAnsi="Times New Roman" w:cs="Times New Roman"/>
          <w:b/>
          <w:bCs/>
          <w:iCs/>
        </w:rPr>
        <w:t xml:space="preserve">Supplementary </w:t>
      </w:r>
      <w:r w:rsidRPr="007C7C7F">
        <w:rPr>
          <w:rFonts w:ascii="Times New Roman" w:hAnsi="Times New Roman" w:cs="Times New Roman"/>
          <w:b/>
          <w:iCs/>
        </w:rPr>
        <w:t xml:space="preserve">Table </w:t>
      </w:r>
      <w:bookmarkEnd w:id="5"/>
      <w:r w:rsidR="007C7C7F" w:rsidRPr="007C7C7F">
        <w:rPr>
          <w:rFonts w:ascii="Times New Roman" w:hAnsi="Times New Roman" w:cs="Times New Roman"/>
          <w:b/>
          <w:iCs/>
        </w:rPr>
        <w:t>6</w:t>
      </w:r>
      <w:r w:rsidRPr="007C7C7F">
        <w:rPr>
          <w:rFonts w:ascii="Times New Roman" w:hAnsi="Times New Roman" w:cs="Times New Roman"/>
          <w:b/>
          <w:bCs/>
          <w:iCs/>
        </w:rPr>
        <w:t xml:space="preserve">. Direct Air Capture costs and technical lifetime assumptions </w:t>
      </w:r>
    </w:p>
    <w:tbl>
      <w:tblPr>
        <w:tblW w:w="0" w:type="auto"/>
        <w:tblInd w:w="103" w:type="dxa"/>
        <w:tblLook w:val="04A0" w:firstRow="1" w:lastRow="0" w:firstColumn="1" w:lastColumn="0" w:noHBand="0" w:noVBand="1"/>
      </w:tblPr>
      <w:tblGrid>
        <w:gridCol w:w="2982"/>
        <w:gridCol w:w="1701"/>
        <w:gridCol w:w="2190"/>
        <w:gridCol w:w="1935"/>
      </w:tblGrid>
      <w:tr w:rsidR="008903F7" w:rsidRPr="009F19BD" w14:paraId="516E3747" w14:textId="77777777" w:rsidTr="00B50CDC">
        <w:trPr>
          <w:trHeight w:val="255"/>
        </w:trPr>
        <w:tc>
          <w:tcPr>
            <w:tcW w:w="298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9D80BBF" w14:textId="77777777" w:rsidR="008903F7" w:rsidRPr="009F19BD" w:rsidRDefault="008903F7" w:rsidP="00B50CDC">
            <w:pPr>
              <w:pStyle w:val="NoSpacing"/>
              <w:rPr>
                <w:rFonts w:ascii="Times New Roman" w:hAnsi="Times New Roman" w:cs="Times New Roman"/>
                <w:b/>
                <w:bCs/>
                <w:lang w:eastAsia="en-GB"/>
              </w:rPr>
            </w:pPr>
            <w:r w:rsidRPr="009F19BD">
              <w:rPr>
                <w:rFonts w:ascii="Times New Roman" w:hAnsi="Times New Roman" w:cs="Times New Roman"/>
                <w:b/>
                <w:bCs/>
                <w:lang w:eastAsia="en-GB"/>
              </w:rPr>
              <w:t>Technology</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475B9A" w14:textId="77777777" w:rsidR="008903F7" w:rsidRPr="009F19BD" w:rsidRDefault="008903F7" w:rsidP="00B50CDC">
            <w:pPr>
              <w:pStyle w:val="NoSpacing"/>
              <w:rPr>
                <w:rFonts w:ascii="Times New Roman" w:hAnsi="Times New Roman" w:cs="Times New Roman"/>
                <w:b/>
                <w:bCs/>
                <w:lang w:eastAsia="en-GB"/>
              </w:rPr>
            </w:pPr>
            <w:r w:rsidRPr="009F19BD">
              <w:rPr>
                <w:rFonts w:ascii="Times New Roman" w:hAnsi="Times New Roman" w:cs="Times New Roman"/>
                <w:b/>
                <w:bCs/>
                <w:lang w:eastAsia="en-GB"/>
              </w:rPr>
              <w:t>Life (</w:t>
            </w:r>
            <w:proofErr w:type="spellStart"/>
            <w:r w:rsidRPr="009F19BD">
              <w:rPr>
                <w:rFonts w:ascii="Times New Roman" w:hAnsi="Times New Roman" w:cs="Times New Roman"/>
                <w:b/>
                <w:bCs/>
                <w:lang w:eastAsia="en-GB"/>
              </w:rPr>
              <w:t>yr</w:t>
            </w:r>
            <w:proofErr w:type="spellEnd"/>
            <w:r w:rsidRPr="009F19BD">
              <w:rPr>
                <w:rFonts w:ascii="Times New Roman" w:hAnsi="Times New Roman" w:cs="Times New Roman"/>
                <w:b/>
                <w:bCs/>
                <w:lang w:eastAsia="en-GB"/>
              </w:rPr>
              <w:t>)</w:t>
            </w:r>
          </w:p>
        </w:tc>
        <w:tc>
          <w:tcPr>
            <w:tcW w:w="21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920C26" w14:textId="77777777" w:rsidR="008903F7" w:rsidRPr="009F19BD" w:rsidRDefault="008903F7" w:rsidP="00B50CDC">
            <w:pPr>
              <w:pStyle w:val="NoSpacing"/>
              <w:rPr>
                <w:rFonts w:ascii="Times New Roman" w:hAnsi="Times New Roman" w:cs="Times New Roman"/>
                <w:b/>
                <w:bCs/>
                <w:lang w:eastAsia="en-GB"/>
              </w:rPr>
            </w:pPr>
            <w:r w:rsidRPr="009F19BD">
              <w:rPr>
                <w:rFonts w:ascii="Times New Roman" w:hAnsi="Times New Roman" w:cs="Times New Roman"/>
                <w:b/>
                <w:bCs/>
                <w:lang w:eastAsia="en-GB"/>
              </w:rPr>
              <w:t>Fixed O&amp;M costs ($2005/tCO2/</w:t>
            </w:r>
            <w:proofErr w:type="spellStart"/>
            <w:r w:rsidRPr="009F19BD">
              <w:rPr>
                <w:rFonts w:ascii="Times New Roman" w:hAnsi="Times New Roman" w:cs="Times New Roman"/>
                <w:b/>
                <w:bCs/>
                <w:lang w:eastAsia="en-GB"/>
              </w:rPr>
              <w:t>yr</w:t>
            </w:r>
            <w:proofErr w:type="spellEnd"/>
            <w:r w:rsidRPr="009F19BD">
              <w:rPr>
                <w:rFonts w:ascii="Times New Roman" w:hAnsi="Times New Roman" w:cs="Times New Roman"/>
                <w:b/>
                <w:bCs/>
                <w:lang w:eastAsia="en-GB"/>
              </w:rPr>
              <w:t>)</w:t>
            </w:r>
          </w:p>
        </w:tc>
        <w:tc>
          <w:tcPr>
            <w:tcW w:w="1935"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9E8C22E" w14:textId="77777777" w:rsidR="008903F7" w:rsidRPr="009F19BD" w:rsidRDefault="008903F7" w:rsidP="00B50CDC">
            <w:pPr>
              <w:pStyle w:val="NoSpacing"/>
              <w:rPr>
                <w:rFonts w:ascii="Times New Roman" w:hAnsi="Times New Roman" w:cs="Times New Roman"/>
                <w:b/>
                <w:bCs/>
                <w:lang w:eastAsia="en-GB"/>
              </w:rPr>
            </w:pPr>
            <w:r w:rsidRPr="009F19BD">
              <w:rPr>
                <w:rFonts w:ascii="Times New Roman" w:hAnsi="Times New Roman" w:cs="Times New Roman"/>
                <w:b/>
                <w:bCs/>
                <w:lang w:eastAsia="en-GB"/>
              </w:rPr>
              <w:t>Capital investment costs ($2005/tCO</w:t>
            </w:r>
            <w:r w:rsidRPr="009F19BD">
              <w:rPr>
                <w:rFonts w:ascii="Times New Roman" w:hAnsi="Times New Roman" w:cs="Times New Roman"/>
                <w:b/>
                <w:bCs/>
                <w:vertAlign w:val="subscript"/>
                <w:lang w:eastAsia="en-GB"/>
              </w:rPr>
              <w:t>2</w:t>
            </w:r>
            <w:r w:rsidRPr="009F19BD">
              <w:rPr>
                <w:rFonts w:ascii="Times New Roman" w:hAnsi="Times New Roman" w:cs="Times New Roman"/>
                <w:b/>
                <w:bCs/>
                <w:lang w:eastAsia="en-GB"/>
              </w:rPr>
              <w:t>)</w:t>
            </w:r>
          </w:p>
        </w:tc>
      </w:tr>
      <w:tr w:rsidR="008903F7" w:rsidRPr="009F19BD" w14:paraId="3E695B64" w14:textId="77777777" w:rsidTr="00B50CDC">
        <w:trPr>
          <w:trHeight w:val="255"/>
        </w:trPr>
        <w:tc>
          <w:tcPr>
            <w:tcW w:w="2982" w:type="dxa"/>
            <w:vMerge/>
            <w:tcBorders>
              <w:top w:val="single" w:sz="4" w:space="0" w:color="auto"/>
              <w:left w:val="single" w:sz="4" w:space="0" w:color="auto"/>
              <w:bottom w:val="single" w:sz="4" w:space="0" w:color="auto"/>
              <w:right w:val="single" w:sz="4" w:space="0" w:color="auto"/>
            </w:tcBorders>
          </w:tcPr>
          <w:p w14:paraId="0C4B6D19" w14:textId="77777777" w:rsidR="008903F7" w:rsidRPr="009F19BD" w:rsidRDefault="008903F7" w:rsidP="00B50CDC">
            <w:pPr>
              <w:rPr>
                <w:rFonts w:ascii="Times New Roman" w:hAnsi="Times New Roman" w:cs="Times New Roman"/>
              </w:rPr>
            </w:pPr>
          </w:p>
        </w:tc>
        <w:tc>
          <w:tcPr>
            <w:tcW w:w="1701" w:type="dxa"/>
            <w:vMerge/>
            <w:tcBorders>
              <w:top w:val="single" w:sz="4" w:space="0" w:color="auto"/>
              <w:left w:val="single" w:sz="4" w:space="0" w:color="auto"/>
              <w:bottom w:val="single" w:sz="4" w:space="0" w:color="auto"/>
              <w:right w:val="single" w:sz="4" w:space="0" w:color="auto"/>
            </w:tcBorders>
          </w:tcPr>
          <w:p w14:paraId="44A50471" w14:textId="77777777" w:rsidR="008903F7" w:rsidRPr="009F19BD" w:rsidRDefault="008903F7" w:rsidP="00B50CDC">
            <w:pPr>
              <w:rPr>
                <w:rFonts w:ascii="Times New Roman" w:hAnsi="Times New Roman" w:cs="Times New Roman"/>
              </w:rPr>
            </w:pPr>
          </w:p>
        </w:tc>
        <w:tc>
          <w:tcPr>
            <w:tcW w:w="2190" w:type="dxa"/>
            <w:tcBorders>
              <w:top w:val="nil"/>
              <w:left w:val="single" w:sz="4" w:space="0" w:color="auto"/>
              <w:bottom w:val="single" w:sz="4" w:space="0" w:color="auto"/>
              <w:right w:val="single" w:sz="4" w:space="0" w:color="auto"/>
            </w:tcBorders>
            <w:shd w:val="clear" w:color="auto" w:fill="D9D9D9" w:themeFill="background1" w:themeFillShade="D9"/>
            <w:vAlign w:val="center"/>
          </w:tcPr>
          <w:p w14:paraId="09A82AE9" w14:textId="77777777" w:rsidR="008903F7" w:rsidRPr="009F19BD" w:rsidRDefault="008903F7" w:rsidP="00B50CDC">
            <w:pPr>
              <w:pStyle w:val="NoSpacing"/>
              <w:rPr>
                <w:rFonts w:ascii="Times New Roman" w:hAnsi="Times New Roman" w:cs="Times New Roman"/>
                <w:b/>
                <w:bCs/>
                <w:lang w:eastAsia="en-GB"/>
              </w:rPr>
            </w:pPr>
            <w:r w:rsidRPr="009F19BD">
              <w:rPr>
                <w:rFonts w:ascii="Times New Roman" w:hAnsi="Times New Roman" w:cs="Times New Roman"/>
                <w:b/>
                <w:bCs/>
                <w:lang w:eastAsia="en-GB"/>
              </w:rPr>
              <w:t>2030</w:t>
            </w:r>
          </w:p>
        </w:tc>
        <w:tc>
          <w:tcPr>
            <w:tcW w:w="1935" w:type="dxa"/>
            <w:tcBorders>
              <w:top w:val="nil"/>
              <w:left w:val="nil"/>
              <w:bottom w:val="single" w:sz="4" w:space="0" w:color="auto"/>
              <w:right w:val="single" w:sz="4" w:space="0" w:color="auto"/>
            </w:tcBorders>
            <w:shd w:val="clear" w:color="auto" w:fill="D9D9D9" w:themeFill="background1" w:themeFillShade="D9"/>
            <w:vAlign w:val="center"/>
          </w:tcPr>
          <w:p w14:paraId="1382E78B" w14:textId="77777777" w:rsidR="008903F7" w:rsidRPr="009F19BD" w:rsidRDefault="008903F7" w:rsidP="00B50CDC">
            <w:pPr>
              <w:pStyle w:val="NoSpacing"/>
              <w:rPr>
                <w:rFonts w:ascii="Times New Roman" w:hAnsi="Times New Roman" w:cs="Times New Roman"/>
                <w:b/>
                <w:bCs/>
                <w:lang w:eastAsia="en-GB"/>
              </w:rPr>
            </w:pPr>
            <w:r w:rsidRPr="009F19BD">
              <w:rPr>
                <w:rFonts w:ascii="Times New Roman" w:hAnsi="Times New Roman" w:cs="Times New Roman"/>
                <w:b/>
                <w:bCs/>
                <w:lang w:eastAsia="en-GB"/>
              </w:rPr>
              <w:t>2030</w:t>
            </w:r>
          </w:p>
          <w:p w14:paraId="1FF96A22" w14:textId="77777777" w:rsidR="008903F7" w:rsidRPr="009F19BD" w:rsidRDefault="008903F7" w:rsidP="00B50CDC">
            <w:pPr>
              <w:pStyle w:val="NoSpacing"/>
              <w:rPr>
                <w:rFonts w:ascii="Times New Roman" w:hAnsi="Times New Roman" w:cs="Times New Roman"/>
                <w:b/>
                <w:bCs/>
                <w:lang w:eastAsia="en-GB"/>
              </w:rPr>
            </w:pPr>
          </w:p>
        </w:tc>
      </w:tr>
      <w:tr w:rsidR="008903F7" w:rsidRPr="009F19BD" w14:paraId="3EC05E50" w14:textId="77777777" w:rsidTr="00B50CDC">
        <w:trPr>
          <w:trHeight w:val="300"/>
        </w:trPr>
        <w:tc>
          <w:tcPr>
            <w:tcW w:w="2982" w:type="dxa"/>
            <w:tcBorders>
              <w:top w:val="single" w:sz="4" w:space="0" w:color="auto"/>
              <w:left w:val="single" w:sz="4" w:space="0" w:color="auto"/>
              <w:bottom w:val="single" w:sz="4" w:space="0" w:color="auto"/>
              <w:right w:val="single" w:sz="4" w:space="0" w:color="auto"/>
            </w:tcBorders>
            <w:shd w:val="clear" w:color="auto" w:fill="auto"/>
            <w:vAlign w:val="center"/>
          </w:tcPr>
          <w:p w14:paraId="6AE3D84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Direct air capture</w:t>
            </w:r>
          </w:p>
        </w:tc>
        <w:tc>
          <w:tcPr>
            <w:tcW w:w="1701" w:type="dxa"/>
            <w:tcBorders>
              <w:top w:val="single" w:sz="4" w:space="0" w:color="auto"/>
              <w:left w:val="nil"/>
              <w:bottom w:val="single" w:sz="4" w:space="0" w:color="auto"/>
              <w:right w:val="single" w:sz="4" w:space="0" w:color="auto"/>
            </w:tcBorders>
            <w:shd w:val="clear" w:color="auto" w:fill="auto"/>
            <w:vAlign w:val="center"/>
          </w:tcPr>
          <w:p w14:paraId="41ED0A8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20</w:t>
            </w:r>
          </w:p>
        </w:tc>
        <w:tc>
          <w:tcPr>
            <w:tcW w:w="2190" w:type="dxa"/>
            <w:tcBorders>
              <w:top w:val="nil"/>
              <w:left w:val="nil"/>
              <w:bottom w:val="single" w:sz="4" w:space="0" w:color="auto"/>
              <w:right w:val="single" w:sz="4" w:space="0" w:color="auto"/>
            </w:tcBorders>
            <w:shd w:val="clear" w:color="auto" w:fill="auto"/>
            <w:vAlign w:val="center"/>
          </w:tcPr>
          <w:p w14:paraId="3DBA159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120</w:t>
            </w:r>
          </w:p>
        </w:tc>
        <w:tc>
          <w:tcPr>
            <w:tcW w:w="1935" w:type="dxa"/>
            <w:tcBorders>
              <w:top w:val="nil"/>
              <w:left w:val="nil"/>
              <w:bottom w:val="single" w:sz="4" w:space="0" w:color="auto"/>
              <w:right w:val="single" w:sz="4" w:space="0" w:color="auto"/>
            </w:tcBorders>
            <w:shd w:val="clear" w:color="auto" w:fill="auto"/>
            <w:vAlign w:val="center"/>
          </w:tcPr>
          <w:p w14:paraId="26DB2A4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2900</w:t>
            </w:r>
          </w:p>
          <w:p w14:paraId="40F2D41E" w14:textId="77777777" w:rsidR="008903F7" w:rsidRPr="009F19BD" w:rsidRDefault="008903F7" w:rsidP="00B50CDC">
            <w:pPr>
              <w:pStyle w:val="NoSpacing"/>
              <w:rPr>
                <w:rFonts w:ascii="Times New Roman" w:hAnsi="Times New Roman" w:cs="Times New Roman"/>
                <w:lang w:eastAsia="en-GB"/>
              </w:rPr>
            </w:pPr>
          </w:p>
        </w:tc>
      </w:tr>
    </w:tbl>
    <w:p w14:paraId="74EEED9D" w14:textId="77777777" w:rsidR="008903F7" w:rsidRPr="009F19BD" w:rsidRDefault="008903F7" w:rsidP="008903F7">
      <w:pPr>
        <w:rPr>
          <w:rFonts w:ascii="Times New Roman" w:hAnsi="Times New Roman" w:cs="Times New Roman"/>
          <w:b/>
          <w:bCs/>
        </w:rPr>
      </w:pPr>
    </w:p>
    <w:p w14:paraId="0BF2ECCC" w14:textId="0F8DC050" w:rsidR="008903F7" w:rsidRPr="007C7C7F" w:rsidRDefault="008903F7" w:rsidP="008903F7">
      <w:pPr>
        <w:rPr>
          <w:rFonts w:ascii="Times New Roman" w:hAnsi="Times New Roman" w:cs="Times New Roman"/>
          <w:b/>
          <w:iCs/>
        </w:rPr>
      </w:pPr>
      <w:bookmarkStart w:id="6" w:name="_Ref64822024"/>
      <w:r w:rsidRPr="007C7C7F">
        <w:rPr>
          <w:rFonts w:ascii="Times New Roman" w:hAnsi="Times New Roman" w:cs="Times New Roman"/>
          <w:b/>
          <w:bCs/>
          <w:iCs/>
        </w:rPr>
        <w:t xml:space="preserve">Supplementary </w:t>
      </w:r>
      <w:r w:rsidRPr="007C7C7F">
        <w:rPr>
          <w:rFonts w:ascii="Times New Roman" w:hAnsi="Times New Roman" w:cs="Times New Roman"/>
          <w:b/>
          <w:iCs/>
        </w:rPr>
        <w:t>Table</w:t>
      </w:r>
      <w:bookmarkEnd w:id="6"/>
      <w:r w:rsidRPr="007C7C7F">
        <w:rPr>
          <w:rFonts w:ascii="Times New Roman" w:hAnsi="Times New Roman" w:cs="Times New Roman"/>
          <w:b/>
          <w:iCs/>
        </w:rPr>
        <w:t xml:space="preserve"> </w:t>
      </w:r>
      <w:r w:rsidR="007C7C7F" w:rsidRPr="007C7C7F">
        <w:rPr>
          <w:rFonts w:ascii="Times New Roman" w:hAnsi="Times New Roman" w:cs="Times New Roman"/>
          <w:b/>
          <w:iCs/>
        </w:rPr>
        <w:t>7</w:t>
      </w:r>
      <w:r w:rsidRPr="007C7C7F">
        <w:rPr>
          <w:rFonts w:ascii="Times New Roman" w:hAnsi="Times New Roman" w:cs="Times New Roman"/>
          <w:b/>
          <w:bCs/>
          <w:iCs/>
        </w:rPr>
        <w:t>. Hydrogen production technology costs and efficiency assumptions</w:t>
      </w:r>
    </w:p>
    <w:tbl>
      <w:tblPr>
        <w:tblW w:w="8808" w:type="dxa"/>
        <w:tblInd w:w="103" w:type="dxa"/>
        <w:tblLook w:val="04A0" w:firstRow="1" w:lastRow="0" w:firstColumn="1" w:lastColumn="0" w:noHBand="0" w:noVBand="1"/>
      </w:tblPr>
      <w:tblGrid>
        <w:gridCol w:w="2982"/>
        <w:gridCol w:w="1701"/>
        <w:gridCol w:w="1744"/>
        <w:gridCol w:w="1277"/>
        <w:gridCol w:w="1104"/>
      </w:tblGrid>
      <w:tr w:rsidR="008903F7" w:rsidRPr="009F19BD" w14:paraId="327705EA" w14:textId="77777777" w:rsidTr="00B50CDC">
        <w:trPr>
          <w:trHeight w:val="255"/>
        </w:trPr>
        <w:tc>
          <w:tcPr>
            <w:tcW w:w="2982"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01730A6E"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Technology</w:t>
            </w:r>
          </w:p>
        </w:tc>
        <w:tc>
          <w:tcPr>
            <w:tcW w:w="1701"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3563D9E8"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Size</w:t>
            </w:r>
          </w:p>
        </w:tc>
        <w:tc>
          <w:tcPr>
            <w:tcW w:w="174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2AB58BF"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Fixed O&amp;M costs (% capital costs)</w:t>
            </w:r>
          </w:p>
        </w:tc>
        <w:tc>
          <w:tcPr>
            <w:tcW w:w="2381"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27876EC"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Capital investment costs ($2005/GJ/y)</w:t>
            </w:r>
          </w:p>
        </w:tc>
      </w:tr>
      <w:tr w:rsidR="008903F7" w:rsidRPr="009F19BD" w14:paraId="3869B352" w14:textId="77777777" w:rsidTr="00B50CDC">
        <w:trPr>
          <w:trHeight w:val="255"/>
        </w:trPr>
        <w:tc>
          <w:tcPr>
            <w:tcW w:w="2982" w:type="dxa"/>
            <w:vMerge/>
            <w:tcBorders>
              <w:top w:val="single" w:sz="4" w:space="0" w:color="auto"/>
              <w:left w:val="single" w:sz="4" w:space="0" w:color="auto"/>
              <w:bottom w:val="single" w:sz="4" w:space="0" w:color="auto"/>
              <w:right w:val="single" w:sz="4" w:space="0" w:color="auto"/>
            </w:tcBorders>
            <w:vAlign w:val="center"/>
            <w:hideMark/>
          </w:tcPr>
          <w:p w14:paraId="1B2AB51B" w14:textId="77777777" w:rsidR="008903F7" w:rsidRPr="009F19BD" w:rsidRDefault="008903F7" w:rsidP="00B50CDC">
            <w:pPr>
              <w:pStyle w:val="NoSpacing"/>
              <w:rPr>
                <w:rFonts w:ascii="Times New Roman" w:hAnsi="Times New Roman" w:cs="Times New Roman"/>
                <w:b/>
                <w:lang w:eastAsia="en-GB"/>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50729124" w14:textId="77777777" w:rsidR="008903F7" w:rsidRPr="009F19BD" w:rsidRDefault="008903F7" w:rsidP="00B50CDC">
            <w:pPr>
              <w:pStyle w:val="NoSpacing"/>
              <w:rPr>
                <w:rFonts w:ascii="Times New Roman" w:hAnsi="Times New Roman" w:cs="Times New Roman"/>
                <w:b/>
                <w:lang w:eastAsia="en-GB"/>
              </w:rPr>
            </w:pPr>
          </w:p>
        </w:tc>
        <w:tc>
          <w:tcPr>
            <w:tcW w:w="174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6370518"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 </w:t>
            </w:r>
          </w:p>
        </w:tc>
        <w:tc>
          <w:tcPr>
            <w:tcW w:w="1277" w:type="dxa"/>
            <w:tcBorders>
              <w:top w:val="nil"/>
              <w:left w:val="nil"/>
              <w:bottom w:val="single" w:sz="4" w:space="0" w:color="auto"/>
              <w:right w:val="single" w:sz="4" w:space="0" w:color="auto"/>
            </w:tcBorders>
            <w:shd w:val="clear" w:color="auto" w:fill="D9D9D9" w:themeFill="background1" w:themeFillShade="D9"/>
            <w:noWrap/>
            <w:vAlign w:val="center"/>
            <w:hideMark/>
          </w:tcPr>
          <w:p w14:paraId="17CB3C98"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2025</w:t>
            </w:r>
          </w:p>
        </w:tc>
        <w:tc>
          <w:tcPr>
            <w:tcW w:w="1104" w:type="dxa"/>
            <w:tcBorders>
              <w:top w:val="nil"/>
              <w:left w:val="nil"/>
              <w:bottom w:val="single" w:sz="4" w:space="0" w:color="auto"/>
              <w:right w:val="single" w:sz="4" w:space="0" w:color="auto"/>
            </w:tcBorders>
            <w:shd w:val="clear" w:color="auto" w:fill="D9D9D9" w:themeFill="background1" w:themeFillShade="D9"/>
            <w:noWrap/>
            <w:vAlign w:val="center"/>
          </w:tcPr>
          <w:p w14:paraId="6AE042A5"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2050</w:t>
            </w:r>
          </w:p>
        </w:tc>
      </w:tr>
      <w:tr w:rsidR="008903F7" w:rsidRPr="009F19BD" w14:paraId="59D86E3C" w14:textId="77777777" w:rsidTr="00B50CDC">
        <w:trPr>
          <w:trHeight w:val="300"/>
        </w:trPr>
        <w:tc>
          <w:tcPr>
            <w:tcW w:w="29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11228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Coal gasification</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E66C22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Large</w:t>
            </w:r>
          </w:p>
        </w:tc>
        <w:tc>
          <w:tcPr>
            <w:tcW w:w="1744" w:type="dxa"/>
            <w:tcBorders>
              <w:top w:val="nil"/>
              <w:left w:val="nil"/>
              <w:bottom w:val="single" w:sz="4" w:space="0" w:color="auto"/>
              <w:right w:val="single" w:sz="4" w:space="0" w:color="auto"/>
            </w:tcBorders>
            <w:shd w:val="clear" w:color="auto" w:fill="auto"/>
            <w:noWrap/>
            <w:vAlign w:val="center"/>
            <w:hideMark/>
          </w:tcPr>
          <w:p w14:paraId="1732361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0.05</w:t>
            </w:r>
          </w:p>
        </w:tc>
        <w:tc>
          <w:tcPr>
            <w:tcW w:w="1277" w:type="dxa"/>
            <w:tcBorders>
              <w:top w:val="nil"/>
              <w:left w:val="nil"/>
              <w:bottom w:val="single" w:sz="4" w:space="0" w:color="auto"/>
              <w:right w:val="single" w:sz="4" w:space="0" w:color="auto"/>
            </w:tcBorders>
            <w:shd w:val="clear" w:color="auto" w:fill="auto"/>
            <w:noWrap/>
            <w:vAlign w:val="center"/>
            <w:hideMark/>
          </w:tcPr>
          <w:p w14:paraId="7C5202D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27</w:t>
            </w:r>
          </w:p>
        </w:tc>
        <w:tc>
          <w:tcPr>
            <w:tcW w:w="1104" w:type="dxa"/>
            <w:tcBorders>
              <w:top w:val="nil"/>
              <w:left w:val="nil"/>
              <w:bottom w:val="single" w:sz="4" w:space="0" w:color="auto"/>
              <w:right w:val="single" w:sz="4" w:space="0" w:color="auto"/>
            </w:tcBorders>
            <w:shd w:val="clear" w:color="auto" w:fill="auto"/>
            <w:noWrap/>
            <w:vAlign w:val="center"/>
          </w:tcPr>
          <w:p w14:paraId="7144074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24</w:t>
            </w:r>
          </w:p>
        </w:tc>
      </w:tr>
      <w:tr w:rsidR="008903F7" w:rsidRPr="009F19BD" w14:paraId="4769946A"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5F09D13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Gas SMR</w:t>
            </w:r>
          </w:p>
        </w:tc>
        <w:tc>
          <w:tcPr>
            <w:tcW w:w="1701" w:type="dxa"/>
            <w:tcBorders>
              <w:top w:val="nil"/>
              <w:left w:val="nil"/>
              <w:bottom w:val="single" w:sz="4" w:space="0" w:color="auto"/>
              <w:right w:val="single" w:sz="4" w:space="0" w:color="auto"/>
            </w:tcBorders>
            <w:shd w:val="clear" w:color="auto" w:fill="auto"/>
            <w:noWrap/>
            <w:vAlign w:val="center"/>
            <w:hideMark/>
          </w:tcPr>
          <w:p w14:paraId="16ACB1A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Large</w:t>
            </w:r>
          </w:p>
        </w:tc>
        <w:tc>
          <w:tcPr>
            <w:tcW w:w="1744" w:type="dxa"/>
            <w:tcBorders>
              <w:top w:val="nil"/>
              <w:left w:val="nil"/>
              <w:bottom w:val="single" w:sz="4" w:space="0" w:color="auto"/>
              <w:right w:val="single" w:sz="4" w:space="0" w:color="auto"/>
            </w:tcBorders>
            <w:shd w:val="clear" w:color="auto" w:fill="auto"/>
            <w:noWrap/>
            <w:vAlign w:val="center"/>
            <w:hideMark/>
          </w:tcPr>
          <w:p w14:paraId="7A29339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0.04</w:t>
            </w:r>
          </w:p>
        </w:tc>
        <w:tc>
          <w:tcPr>
            <w:tcW w:w="1277" w:type="dxa"/>
            <w:tcBorders>
              <w:top w:val="nil"/>
              <w:left w:val="nil"/>
              <w:bottom w:val="single" w:sz="4" w:space="0" w:color="auto"/>
              <w:right w:val="single" w:sz="4" w:space="0" w:color="auto"/>
            </w:tcBorders>
            <w:shd w:val="clear" w:color="auto" w:fill="auto"/>
            <w:noWrap/>
            <w:vAlign w:val="center"/>
            <w:hideMark/>
          </w:tcPr>
          <w:p w14:paraId="19ADA18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7</w:t>
            </w:r>
          </w:p>
        </w:tc>
        <w:tc>
          <w:tcPr>
            <w:tcW w:w="1104" w:type="dxa"/>
            <w:tcBorders>
              <w:top w:val="nil"/>
              <w:left w:val="nil"/>
              <w:bottom w:val="single" w:sz="4" w:space="0" w:color="auto"/>
              <w:right w:val="single" w:sz="4" w:space="0" w:color="auto"/>
            </w:tcBorders>
            <w:shd w:val="clear" w:color="auto" w:fill="auto"/>
            <w:noWrap/>
            <w:vAlign w:val="center"/>
          </w:tcPr>
          <w:p w14:paraId="351A277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5</w:t>
            </w:r>
          </w:p>
        </w:tc>
      </w:tr>
      <w:tr w:rsidR="008903F7" w:rsidRPr="009F19BD" w14:paraId="302FB437"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386F949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Gas SMR</w:t>
            </w:r>
          </w:p>
        </w:tc>
        <w:tc>
          <w:tcPr>
            <w:tcW w:w="1701" w:type="dxa"/>
            <w:tcBorders>
              <w:top w:val="nil"/>
              <w:left w:val="nil"/>
              <w:bottom w:val="single" w:sz="4" w:space="0" w:color="auto"/>
              <w:right w:val="single" w:sz="4" w:space="0" w:color="auto"/>
            </w:tcBorders>
            <w:shd w:val="clear" w:color="auto" w:fill="auto"/>
            <w:noWrap/>
            <w:vAlign w:val="center"/>
            <w:hideMark/>
          </w:tcPr>
          <w:p w14:paraId="2BA3C51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Small / medium</w:t>
            </w:r>
          </w:p>
        </w:tc>
        <w:tc>
          <w:tcPr>
            <w:tcW w:w="1744" w:type="dxa"/>
            <w:tcBorders>
              <w:top w:val="nil"/>
              <w:left w:val="nil"/>
              <w:bottom w:val="single" w:sz="4" w:space="0" w:color="auto"/>
              <w:right w:val="single" w:sz="4" w:space="0" w:color="auto"/>
            </w:tcBorders>
            <w:shd w:val="clear" w:color="auto" w:fill="auto"/>
            <w:noWrap/>
            <w:vAlign w:val="center"/>
            <w:hideMark/>
          </w:tcPr>
          <w:p w14:paraId="44CCB63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0.04</w:t>
            </w:r>
          </w:p>
        </w:tc>
        <w:tc>
          <w:tcPr>
            <w:tcW w:w="1277" w:type="dxa"/>
            <w:tcBorders>
              <w:top w:val="nil"/>
              <w:left w:val="nil"/>
              <w:bottom w:val="single" w:sz="4" w:space="0" w:color="auto"/>
              <w:right w:val="single" w:sz="4" w:space="0" w:color="auto"/>
            </w:tcBorders>
            <w:shd w:val="clear" w:color="auto" w:fill="auto"/>
            <w:noWrap/>
            <w:vAlign w:val="center"/>
            <w:hideMark/>
          </w:tcPr>
          <w:p w14:paraId="7C77DC1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17</w:t>
            </w:r>
          </w:p>
        </w:tc>
        <w:tc>
          <w:tcPr>
            <w:tcW w:w="1104" w:type="dxa"/>
            <w:tcBorders>
              <w:top w:val="nil"/>
              <w:left w:val="nil"/>
              <w:bottom w:val="single" w:sz="4" w:space="0" w:color="auto"/>
              <w:right w:val="single" w:sz="4" w:space="0" w:color="auto"/>
            </w:tcBorders>
            <w:shd w:val="clear" w:color="auto" w:fill="auto"/>
            <w:noWrap/>
            <w:vAlign w:val="center"/>
          </w:tcPr>
          <w:p w14:paraId="1D430BF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14</w:t>
            </w:r>
          </w:p>
        </w:tc>
      </w:tr>
      <w:tr w:rsidR="008903F7" w:rsidRPr="009F19BD" w14:paraId="16BF6F09"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31216A8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Biomass gasification</w:t>
            </w:r>
          </w:p>
        </w:tc>
        <w:tc>
          <w:tcPr>
            <w:tcW w:w="1701" w:type="dxa"/>
            <w:tcBorders>
              <w:top w:val="nil"/>
              <w:left w:val="nil"/>
              <w:bottom w:val="single" w:sz="4" w:space="0" w:color="auto"/>
              <w:right w:val="single" w:sz="4" w:space="0" w:color="auto"/>
            </w:tcBorders>
            <w:shd w:val="clear" w:color="auto" w:fill="auto"/>
            <w:noWrap/>
            <w:vAlign w:val="center"/>
            <w:hideMark/>
          </w:tcPr>
          <w:p w14:paraId="69FFF6D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Large</w:t>
            </w:r>
          </w:p>
        </w:tc>
        <w:tc>
          <w:tcPr>
            <w:tcW w:w="1744" w:type="dxa"/>
            <w:tcBorders>
              <w:top w:val="nil"/>
              <w:left w:val="nil"/>
              <w:bottom w:val="single" w:sz="4" w:space="0" w:color="auto"/>
              <w:right w:val="single" w:sz="4" w:space="0" w:color="auto"/>
            </w:tcBorders>
            <w:shd w:val="clear" w:color="auto" w:fill="auto"/>
            <w:noWrap/>
            <w:vAlign w:val="center"/>
            <w:hideMark/>
          </w:tcPr>
          <w:p w14:paraId="1BAD420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0.07</w:t>
            </w:r>
          </w:p>
        </w:tc>
        <w:tc>
          <w:tcPr>
            <w:tcW w:w="1277" w:type="dxa"/>
            <w:tcBorders>
              <w:top w:val="nil"/>
              <w:left w:val="nil"/>
              <w:bottom w:val="single" w:sz="4" w:space="0" w:color="auto"/>
              <w:right w:val="single" w:sz="4" w:space="0" w:color="auto"/>
            </w:tcBorders>
            <w:shd w:val="clear" w:color="auto" w:fill="auto"/>
            <w:noWrap/>
            <w:vAlign w:val="center"/>
            <w:hideMark/>
          </w:tcPr>
          <w:p w14:paraId="60CA57D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26</w:t>
            </w:r>
          </w:p>
        </w:tc>
        <w:tc>
          <w:tcPr>
            <w:tcW w:w="1104" w:type="dxa"/>
            <w:tcBorders>
              <w:top w:val="nil"/>
              <w:left w:val="nil"/>
              <w:bottom w:val="single" w:sz="4" w:space="0" w:color="auto"/>
              <w:right w:val="single" w:sz="4" w:space="0" w:color="auto"/>
            </w:tcBorders>
            <w:shd w:val="clear" w:color="auto" w:fill="auto"/>
            <w:noWrap/>
            <w:vAlign w:val="center"/>
          </w:tcPr>
          <w:p w14:paraId="4D998CE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26</w:t>
            </w:r>
          </w:p>
        </w:tc>
      </w:tr>
      <w:tr w:rsidR="008903F7" w:rsidRPr="009F19BD" w14:paraId="75DB0E69"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49135C1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Biomass gasification</w:t>
            </w:r>
          </w:p>
        </w:tc>
        <w:tc>
          <w:tcPr>
            <w:tcW w:w="1701" w:type="dxa"/>
            <w:tcBorders>
              <w:top w:val="nil"/>
              <w:left w:val="nil"/>
              <w:bottom w:val="single" w:sz="4" w:space="0" w:color="auto"/>
              <w:right w:val="single" w:sz="4" w:space="0" w:color="auto"/>
            </w:tcBorders>
            <w:shd w:val="clear" w:color="auto" w:fill="auto"/>
            <w:noWrap/>
            <w:vAlign w:val="center"/>
            <w:hideMark/>
          </w:tcPr>
          <w:p w14:paraId="06C01A6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Medium</w:t>
            </w:r>
          </w:p>
        </w:tc>
        <w:tc>
          <w:tcPr>
            <w:tcW w:w="1744" w:type="dxa"/>
            <w:tcBorders>
              <w:top w:val="nil"/>
              <w:left w:val="nil"/>
              <w:bottom w:val="single" w:sz="4" w:space="0" w:color="auto"/>
              <w:right w:val="single" w:sz="4" w:space="0" w:color="auto"/>
            </w:tcBorders>
            <w:shd w:val="clear" w:color="auto" w:fill="auto"/>
            <w:noWrap/>
            <w:vAlign w:val="center"/>
            <w:hideMark/>
          </w:tcPr>
          <w:p w14:paraId="12C17833"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0.07</w:t>
            </w:r>
          </w:p>
        </w:tc>
        <w:tc>
          <w:tcPr>
            <w:tcW w:w="1277" w:type="dxa"/>
            <w:tcBorders>
              <w:top w:val="nil"/>
              <w:left w:val="nil"/>
              <w:bottom w:val="single" w:sz="4" w:space="0" w:color="auto"/>
              <w:right w:val="single" w:sz="4" w:space="0" w:color="auto"/>
            </w:tcBorders>
            <w:shd w:val="clear" w:color="auto" w:fill="auto"/>
            <w:noWrap/>
            <w:vAlign w:val="center"/>
            <w:hideMark/>
          </w:tcPr>
          <w:p w14:paraId="232CF86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34</w:t>
            </w:r>
          </w:p>
        </w:tc>
        <w:tc>
          <w:tcPr>
            <w:tcW w:w="1104" w:type="dxa"/>
            <w:tcBorders>
              <w:top w:val="nil"/>
              <w:left w:val="nil"/>
              <w:bottom w:val="single" w:sz="4" w:space="0" w:color="auto"/>
              <w:right w:val="single" w:sz="4" w:space="0" w:color="auto"/>
            </w:tcBorders>
            <w:shd w:val="clear" w:color="auto" w:fill="auto"/>
            <w:noWrap/>
            <w:vAlign w:val="center"/>
          </w:tcPr>
          <w:p w14:paraId="0F42198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34</w:t>
            </w:r>
          </w:p>
        </w:tc>
      </w:tr>
      <w:tr w:rsidR="008903F7" w:rsidRPr="009F19BD" w14:paraId="2161B074"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6FC4CA5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Biomass gasification</w:t>
            </w:r>
          </w:p>
        </w:tc>
        <w:tc>
          <w:tcPr>
            <w:tcW w:w="1701" w:type="dxa"/>
            <w:tcBorders>
              <w:top w:val="nil"/>
              <w:left w:val="nil"/>
              <w:bottom w:val="single" w:sz="4" w:space="0" w:color="auto"/>
              <w:right w:val="single" w:sz="4" w:space="0" w:color="auto"/>
            </w:tcBorders>
            <w:shd w:val="clear" w:color="auto" w:fill="auto"/>
            <w:noWrap/>
            <w:vAlign w:val="center"/>
            <w:hideMark/>
          </w:tcPr>
          <w:p w14:paraId="6B92DFD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Small</w:t>
            </w:r>
          </w:p>
        </w:tc>
        <w:tc>
          <w:tcPr>
            <w:tcW w:w="1744" w:type="dxa"/>
            <w:tcBorders>
              <w:top w:val="nil"/>
              <w:left w:val="nil"/>
              <w:bottom w:val="single" w:sz="4" w:space="0" w:color="auto"/>
              <w:right w:val="single" w:sz="4" w:space="0" w:color="auto"/>
            </w:tcBorders>
            <w:shd w:val="clear" w:color="auto" w:fill="auto"/>
            <w:noWrap/>
            <w:vAlign w:val="center"/>
            <w:hideMark/>
          </w:tcPr>
          <w:p w14:paraId="7CA2278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0.07</w:t>
            </w:r>
          </w:p>
        </w:tc>
        <w:tc>
          <w:tcPr>
            <w:tcW w:w="1277" w:type="dxa"/>
            <w:tcBorders>
              <w:top w:val="nil"/>
              <w:left w:val="nil"/>
              <w:bottom w:val="single" w:sz="4" w:space="0" w:color="auto"/>
              <w:right w:val="single" w:sz="4" w:space="0" w:color="auto"/>
            </w:tcBorders>
            <w:shd w:val="clear" w:color="auto" w:fill="auto"/>
            <w:noWrap/>
            <w:vAlign w:val="center"/>
            <w:hideMark/>
          </w:tcPr>
          <w:p w14:paraId="73D3399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43</w:t>
            </w:r>
          </w:p>
        </w:tc>
        <w:tc>
          <w:tcPr>
            <w:tcW w:w="1104" w:type="dxa"/>
            <w:tcBorders>
              <w:top w:val="nil"/>
              <w:left w:val="nil"/>
              <w:bottom w:val="single" w:sz="4" w:space="0" w:color="auto"/>
              <w:right w:val="single" w:sz="4" w:space="0" w:color="auto"/>
            </w:tcBorders>
            <w:shd w:val="clear" w:color="auto" w:fill="auto"/>
            <w:noWrap/>
            <w:vAlign w:val="center"/>
          </w:tcPr>
          <w:p w14:paraId="09551DB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43</w:t>
            </w:r>
          </w:p>
        </w:tc>
      </w:tr>
      <w:tr w:rsidR="008903F7" w:rsidRPr="009F19BD" w14:paraId="5F07A79E"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3BBB03B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Waste gasification</w:t>
            </w:r>
          </w:p>
        </w:tc>
        <w:tc>
          <w:tcPr>
            <w:tcW w:w="1701" w:type="dxa"/>
            <w:tcBorders>
              <w:top w:val="nil"/>
              <w:left w:val="nil"/>
              <w:bottom w:val="single" w:sz="4" w:space="0" w:color="auto"/>
              <w:right w:val="single" w:sz="4" w:space="0" w:color="auto"/>
            </w:tcBorders>
            <w:shd w:val="clear" w:color="auto" w:fill="auto"/>
            <w:noWrap/>
            <w:vAlign w:val="center"/>
            <w:hideMark/>
          </w:tcPr>
          <w:p w14:paraId="108B734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Medium</w:t>
            </w:r>
          </w:p>
        </w:tc>
        <w:tc>
          <w:tcPr>
            <w:tcW w:w="1744" w:type="dxa"/>
            <w:tcBorders>
              <w:top w:val="nil"/>
              <w:left w:val="nil"/>
              <w:bottom w:val="single" w:sz="4" w:space="0" w:color="auto"/>
              <w:right w:val="single" w:sz="4" w:space="0" w:color="auto"/>
            </w:tcBorders>
            <w:shd w:val="clear" w:color="auto" w:fill="auto"/>
            <w:noWrap/>
            <w:vAlign w:val="center"/>
            <w:hideMark/>
          </w:tcPr>
          <w:p w14:paraId="50D344A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0.07</w:t>
            </w:r>
          </w:p>
        </w:tc>
        <w:tc>
          <w:tcPr>
            <w:tcW w:w="1277" w:type="dxa"/>
            <w:tcBorders>
              <w:top w:val="nil"/>
              <w:left w:val="nil"/>
              <w:bottom w:val="single" w:sz="4" w:space="0" w:color="auto"/>
              <w:right w:val="single" w:sz="4" w:space="0" w:color="auto"/>
            </w:tcBorders>
            <w:shd w:val="clear" w:color="auto" w:fill="auto"/>
            <w:noWrap/>
            <w:vAlign w:val="center"/>
            <w:hideMark/>
          </w:tcPr>
          <w:p w14:paraId="53FDF29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34</w:t>
            </w:r>
          </w:p>
        </w:tc>
        <w:tc>
          <w:tcPr>
            <w:tcW w:w="1104" w:type="dxa"/>
            <w:tcBorders>
              <w:top w:val="nil"/>
              <w:left w:val="nil"/>
              <w:bottom w:val="single" w:sz="4" w:space="0" w:color="auto"/>
              <w:right w:val="single" w:sz="4" w:space="0" w:color="auto"/>
            </w:tcBorders>
            <w:shd w:val="clear" w:color="auto" w:fill="auto"/>
            <w:noWrap/>
            <w:vAlign w:val="center"/>
          </w:tcPr>
          <w:p w14:paraId="50516E7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34</w:t>
            </w:r>
          </w:p>
        </w:tc>
      </w:tr>
      <w:tr w:rsidR="008903F7" w:rsidRPr="009F19BD" w14:paraId="1CCC5AA1"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43B630D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Electrolysis</w:t>
            </w:r>
          </w:p>
        </w:tc>
        <w:tc>
          <w:tcPr>
            <w:tcW w:w="1701" w:type="dxa"/>
            <w:tcBorders>
              <w:top w:val="nil"/>
              <w:left w:val="nil"/>
              <w:bottom w:val="single" w:sz="4" w:space="0" w:color="auto"/>
              <w:right w:val="single" w:sz="4" w:space="0" w:color="auto"/>
            </w:tcBorders>
            <w:shd w:val="clear" w:color="auto" w:fill="auto"/>
            <w:noWrap/>
            <w:vAlign w:val="center"/>
            <w:hideMark/>
          </w:tcPr>
          <w:p w14:paraId="3F7B824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Large</w:t>
            </w:r>
          </w:p>
        </w:tc>
        <w:tc>
          <w:tcPr>
            <w:tcW w:w="1744" w:type="dxa"/>
            <w:tcBorders>
              <w:top w:val="nil"/>
              <w:left w:val="nil"/>
              <w:bottom w:val="single" w:sz="4" w:space="0" w:color="auto"/>
              <w:right w:val="single" w:sz="4" w:space="0" w:color="auto"/>
            </w:tcBorders>
            <w:shd w:val="clear" w:color="auto" w:fill="auto"/>
            <w:noWrap/>
            <w:vAlign w:val="center"/>
            <w:hideMark/>
          </w:tcPr>
          <w:p w14:paraId="00422BD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0.04</w:t>
            </w:r>
          </w:p>
        </w:tc>
        <w:tc>
          <w:tcPr>
            <w:tcW w:w="1277" w:type="dxa"/>
            <w:tcBorders>
              <w:top w:val="nil"/>
              <w:left w:val="nil"/>
              <w:bottom w:val="single" w:sz="4" w:space="0" w:color="auto"/>
              <w:right w:val="single" w:sz="4" w:space="0" w:color="auto"/>
            </w:tcBorders>
            <w:shd w:val="clear" w:color="auto" w:fill="auto"/>
            <w:noWrap/>
            <w:vAlign w:val="center"/>
            <w:hideMark/>
          </w:tcPr>
          <w:p w14:paraId="0598EAF1"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7.7</w:t>
            </w:r>
          </w:p>
        </w:tc>
        <w:tc>
          <w:tcPr>
            <w:tcW w:w="1104" w:type="dxa"/>
            <w:tcBorders>
              <w:top w:val="nil"/>
              <w:left w:val="nil"/>
              <w:bottom w:val="single" w:sz="4" w:space="0" w:color="auto"/>
              <w:right w:val="single" w:sz="4" w:space="0" w:color="auto"/>
            </w:tcBorders>
            <w:shd w:val="clear" w:color="auto" w:fill="auto"/>
            <w:noWrap/>
            <w:vAlign w:val="center"/>
          </w:tcPr>
          <w:p w14:paraId="5679E17D"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2.4</w:t>
            </w:r>
          </w:p>
        </w:tc>
      </w:tr>
      <w:tr w:rsidR="008903F7" w:rsidRPr="009F19BD" w14:paraId="5AB9578F"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66BD9A7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Electrolysis</w:t>
            </w:r>
          </w:p>
          <w:p w14:paraId="12DCC2F8" w14:textId="77777777" w:rsidR="008903F7" w:rsidRPr="009F19BD" w:rsidRDefault="008903F7" w:rsidP="00B50CDC">
            <w:pPr>
              <w:pStyle w:val="NoSpacing"/>
              <w:rPr>
                <w:rFonts w:ascii="Times New Roman" w:hAnsi="Times New Roman" w:cs="Times New Roman"/>
                <w:lang w:eastAsia="en-GB"/>
              </w:rPr>
            </w:pPr>
          </w:p>
        </w:tc>
        <w:tc>
          <w:tcPr>
            <w:tcW w:w="1701" w:type="dxa"/>
            <w:tcBorders>
              <w:top w:val="nil"/>
              <w:left w:val="nil"/>
              <w:bottom w:val="single" w:sz="4" w:space="0" w:color="auto"/>
              <w:right w:val="single" w:sz="4" w:space="0" w:color="auto"/>
            </w:tcBorders>
            <w:shd w:val="clear" w:color="auto" w:fill="auto"/>
            <w:noWrap/>
            <w:vAlign w:val="center"/>
            <w:hideMark/>
          </w:tcPr>
          <w:p w14:paraId="3A306CD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Medium</w:t>
            </w:r>
          </w:p>
        </w:tc>
        <w:tc>
          <w:tcPr>
            <w:tcW w:w="1744" w:type="dxa"/>
            <w:tcBorders>
              <w:top w:val="nil"/>
              <w:left w:val="nil"/>
              <w:bottom w:val="single" w:sz="4" w:space="0" w:color="auto"/>
              <w:right w:val="single" w:sz="4" w:space="0" w:color="auto"/>
            </w:tcBorders>
            <w:shd w:val="clear" w:color="auto" w:fill="auto"/>
            <w:noWrap/>
            <w:vAlign w:val="center"/>
            <w:hideMark/>
          </w:tcPr>
          <w:p w14:paraId="6ECCA8F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0.05</w:t>
            </w:r>
          </w:p>
        </w:tc>
        <w:tc>
          <w:tcPr>
            <w:tcW w:w="1277" w:type="dxa"/>
            <w:tcBorders>
              <w:top w:val="nil"/>
              <w:left w:val="nil"/>
              <w:bottom w:val="single" w:sz="4" w:space="0" w:color="auto"/>
              <w:right w:val="single" w:sz="4" w:space="0" w:color="auto"/>
            </w:tcBorders>
            <w:shd w:val="clear" w:color="auto" w:fill="auto"/>
            <w:noWrap/>
            <w:vAlign w:val="center"/>
            <w:hideMark/>
          </w:tcPr>
          <w:p w14:paraId="3C7B917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8.8</w:t>
            </w:r>
          </w:p>
        </w:tc>
        <w:tc>
          <w:tcPr>
            <w:tcW w:w="1104" w:type="dxa"/>
            <w:tcBorders>
              <w:top w:val="nil"/>
              <w:left w:val="nil"/>
              <w:bottom w:val="single" w:sz="4" w:space="0" w:color="auto"/>
              <w:right w:val="single" w:sz="4" w:space="0" w:color="auto"/>
            </w:tcBorders>
            <w:shd w:val="clear" w:color="auto" w:fill="auto"/>
            <w:noWrap/>
            <w:vAlign w:val="center"/>
          </w:tcPr>
          <w:p w14:paraId="6B87FB1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2.7</w:t>
            </w:r>
          </w:p>
        </w:tc>
      </w:tr>
      <w:tr w:rsidR="008903F7" w:rsidRPr="009F19BD" w14:paraId="2A9EC5A7" w14:textId="77777777" w:rsidTr="00B50CDC">
        <w:trPr>
          <w:trHeight w:val="300"/>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14:paraId="1360E27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Electrolysis</w:t>
            </w:r>
          </w:p>
          <w:p w14:paraId="06DDB193" w14:textId="77777777" w:rsidR="008903F7" w:rsidRPr="009F19BD" w:rsidRDefault="008903F7" w:rsidP="00B50CDC">
            <w:pPr>
              <w:pStyle w:val="NoSpacing"/>
              <w:rPr>
                <w:rFonts w:ascii="Times New Roman" w:hAnsi="Times New Roman" w:cs="Times New Roman"/>
                <w:lang w:eastAsia="en-GB"/>
              </w:rPr>
            </w:pPr>
          </w:p>
        </w:tc>
        <w:tc>
          <w:tcPr>
            <w:tcW w:w="1701" w:type="dxa"/>
            <w:tcBorders>
              <w:top w:val="nil"/>
              <w:left w:val="nil"/>
              <w:bottom w:val="single" w:sz="4" w:space="0" w:color="auto"/>
              <w:right w:val="single" w:sz="4" w:space="0" w:color="auto"/>
            </w:tcBorders>
            <w:shd w:val="clear" w:color="auto" w:fill="auto"/>
            <w:noWrap/>
            <w:vAlign w:val="center"/>
            <w:hideMark/>
          </w:tcPr>
          <w:p w14:paraId="01F217E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Small</w:t>
            </w:r>
          </w:p>
        </w:tc>
        <w:tc>
          <w:tcPr>
            <w:tcW w:w="1744" w:type="dxa"/>
            <w:tcBorders>
              <w:top w:val="nil"/>
              <w:left w:val="nil"/>
              <w:bottom w:val="single" w:sz="4" w:space="0" w:color="auto"/>
              <w:right w:val="single" w:sz="4" w:space="0" w:color="auto"/>
            </w:tcBorders>
            <w:shd w:val="clear" w:color="auto" w:fill="auto"/>
            <w:noWrap/>
            <w:vAlign w:val="center"/>
            <w:hideMark/>
          </w:tcPr>
          <w:p w14:paraId="3F8C38BC"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0.05</w:t>
            </w:r>
          </w:p>
        </w:tc>
        <w:tc>
          <w:tcPr>
            <w:tcW w:w="1277" w:type="dxa"/>
            <w:tcBorders>
              <w:top w:val="nil"/>
              <w:left w:val="nil"/>
              <w:bottom w:val="single" w:sz="4" w:space="0" w:color="auto"/>
              <w:right w:val="single" w:sz="4" w:space="0" w:color="auto"/>
            </w:tcBorders>
            <w:shd w:val="clear" w:color="auto" w:fill="auto"/>
            <w:noWrap/>
            <w:vAlign w:val="center"/>
            <w:hideMark/>
          </w:tcPr>
          <w:p w14:paraId="01695E2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10</w:t>
            </w:r>
          </w:p>
        </w:tc>
        <w:tc>
          <w:tcPr>
            <w:tcW w:w="1104" w:type="dxa"/>
            <w:tcBorders>
              <w:top w:val="nil"/>
              <w:left w:val="nil"/>
              <w:bottom w:val="single" w:sz="4" w:space="0" w:color="auto"/>
              <w:right w:val="single" w:sz="4" w:space="0" w:color="auto"/>
            </w:tcBorders>
            <w:shd w:val="clear" w:color="auto" w:fill="auto"/>
            <w:noWrap/>
            <w:vAlign w:val="center"/>
          </w:tcPr>
          <w:p w14:paraId="424D4D64"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3.1</w:t>
            </w:r>
          </w:p>
        </w:tc>
      </w:tr>
    </w:tbl>
    <w:p w14:paraId="2811722F" w14:textId="77777777" w:rsidR="008903F7" w:rsidRPr="009F19BD" w:rsidRDefault="008903F7" w:rsidP="008903F7">
      <w:pPr>
        <w:rPr>
          <w:rFonts w:ascii="Times New Roman" w:hAnsi="Times New Roman" w:cs="Times New Roman"/>
        </w:rPr>
      </w:pPr>
    </w:p>
    <w:p w14:paraId="46CB5EF6" w14:textId="608C9848" w:rsidR="008903F7" w:rsidRPr="007C7C7F" w:rsidRDefault="008903F7" w:rsidP="007C7C7F">
      <w:pPr>
        <w:pStyle w:val="Heading4"/>
      </w:pPr>
      <w:r w:rsidRPr="009F19BD">
        <w:t>Other key assumptions</w:t>
      </w:r>
    </w:p>
    <w:p w14:paraId="0306D4F8" w14:textId="78C189DB" w:rsidR="008903F7" w:rsidRPr="009F19BD" w:rsidRDefault="008903F7" w:rsidP="0A113E58">
      <w:pPr>
        <w:numPr>
          <w:ilvl w:val="0"/>
          <w:numId w:val="17"/>
        </w:numPr>
        <w:spacing w:after="0" w:line="240" w:lineRule="auto"/>
        <w:rPr>
          <w:rFonts w:ascii="Times New Roman" w:hAnsi="Times New Roman" w:cs="Times New Roman"/>
        </w:rPr>
      </w:pPr>
      <w:r w:rsidRPr="009F19BD">
        <w:rPr>
          <w:rFonts w:ascii="Times New Roman" w:eastAsia="Times New Roman" w:hAnsi="Times New Roman" w:cs="Times New Roman"/>
          <w:lang w:eastAsia="en-GB"/>
        </w:rPr>
        <w:t>LULUCF emissions. Land use and forestry (LULUCF) emissions of CO</w:t>
      </w:r>
      <w:r w:rsidRPr="009F19BD">
        <w:rPr>
          <w:rFonts w:ascii="Times New Roman" w:eastAsia="Times New Roman" w:hAnsi="Times New Roman" w:cs="Times New Roman"/>
          <w:vertAlign w:val="subscript"/>
          <w:lang w:eastAsia="en-GB"/>
        </w:rPr>
        <w:t>2</w:t>
      </w:r>
      <w:r w:rsidRPr="009F19BD">
        <w:rPr>
          <w:rFonts w:ascii="Times New Roman" w:eastAsia="Times New Roman" w:hAnsi="Times New Roman" w:cs="Times New Roman"/>
          <w:lang w:eastAsia="en-GB"/>
        </w:rPr>
        <w:t xml:space="preserve"> are based on a fixed trajectory, using outputs from the IMAGE model, based on the RCP2.6 SSP2 case. They are net CO</w:t>
      </w:r>
      <w:r w:rsidRPr="009F19BD">
        <w:rPr>
          <w:rFonts w:ascii="Times New Roman" w:eastAsia="Times New Roman" w:hAnsi="Times New Roman" w:cs="Times New Roman"/>
          <w:vertAlign w:val="subscript"/>
          <w:lang w:eastAsia="en-GB"/>
        </w:rPr>
        <w:t>2</w:t>
      </w:r>
      <w:r w:rsidRPr="009F19BD">
        <w:rPr>
          <w:rFonts w:ascii="Times New Roman" w:eastAsia="Times New Roman" w:hAnsi="Times New Roman" w:cs="Times New Roman"/>
          <w:lang w:eastAsia="en-GB"/>
        </w:rPr>
        <w:t xml:space="preserve"> emissions from deforestation, and reforestation in line with SSP2 RCP2.6 assumptions (</w:t>
      </w:r>
      <w:r w:rsidRPr="009F19BD">
        <w:rPr>
          <w:rFonts w:ascii="Times New Roman" w:hAnsi="Times New Roman" w:cs="Times New Roman"/>
        </w:rPr>
        <w:t xml:space="preserve">Supplementary Table </w:t>
      </w:r>
      <w:r w:rsidR="007C7C7F">
        <w:rPr>
          <w:rFonts w:ascii="Times New Roman" w:hAnsi="Times New Roman" w:cs="Times New Roman"/>
        </w:rPr>
        <w:t>8</w:t>
      </w:r>
      <w:r w:rsidRPr="009F19BD">
        <w:rPr>
          <w:rFonts w:ascii="Times New Roman" w:eastAsia="Times New Roman" w:hAnsi="Times New Roman" w:cs="Times New Roman"/>
          <w:lang w:eastAsia="en-GB"/>
        </w:rPr>
        <w:t xml:space="preserve">). </w:t>
      </w:r>
    </w:p>
    <w:p w14:paraId="3824DA27" w14:textId="780039BC" w:rsidR="008903F7" w:rsidRPr="009F19BD" w:rsidRDefault="008903F7" w:rsidP="0A113E58">
      <w:pPr>
        <w:numPr>
          <w:ilvl w:val="0"/>
          <w:numId w:val="17"/>
        </w:numPr>
        <w:spacing w:after="0" w:line="240" w:lineRule="auto"/>
        <w:rPr>
          <w:rFonts w:ascii="Times New Roman" w:hAnsi="Times New Roman" w:cs="Times New Roman"/>
        </w:rPr>
      </w:pPr>
      <w:r w:rsidRPr="009F19BD">
        <w:rPr>
          <w:rFonts w:ascii="Times New Roman" w:hAnsi="Times New Roman" w:cs="Times New Roman"/>
        </w:rPr>
        <w:t>Non-CO</w:t>
      </w:r>
      <w:r w:rsidRPr="009F19BD">
        <w:rPr>
          <w:rFonts w:ascii="Times New Roman" w:hAnsi="Times New Roman" w:cs="Times New Roman"/>
          <w:vertAlign w:val="subscript"/>
        </w:rPr>
        <w:t>2</w:t>
      </w:r>
      <w:r w:rsidRPr="009F19BD">
        <w:rPr>
          <w:rFonts w:ascii="Times New Roman" w:hAnsi="Times New Roman" w:cs="Times New Roman"/>
        </w:rPr>
        <w:t xml:space="preserve"> GHGs. Some non-energy sector sources of CH</w:t>
      </w:r>
      <w:r w:rsidRPr="009F19BD">
        <w:rPr>
          <w:rFonts w:ascii="Times New Roman" w:hAnsi="Times New Roman" w:cs="Times New Roman"/>
          <w:vertAlign w:val="subscript"/>
        </w:rPr>
        <w:t>4</w:t>
      </w:r>
      <w:r w:rsidRPr="009F19BD">
        <w:rPr>
          <w:rFonts w:ascii="Times New Roman" w:hAnsi="Times New Roman" w:cs="Times New Roman"/>
        </w:rPr>
        <w:t xml:space="preserve"> and N</w:t>
      </w:r>
      <w:r w:rsidRPr="009F19BD">
        <w:rPr>
          <w:rFonts w:ascii="Times New Roman" w:hAnsi="Times New Roman" w:cs="Times New Roman"/>
          <w:vertAlign w:val="subscript"/>
        </w:rPr>
        <w:t>2</w:t>
      </w:r>
      <w:r w:rsidRPr="009F19BD">
        <w:rPr>
          <w:rFonts w:ascii="Times New Roman" w:hAnsi="Times New Roman" w:cs="Times New Roman"/>
        </w:rPr>
        <w:t xml:space="preserve">O are not explicitly represented in TIAM-UCL but rather included as an emissions trajectory based on the RCP </w:t>
      </w:r>
      <w:r w:rsidRPr="009F19BD">
        <w:rPr>
          <w:rFonts w:ascii="Times New Roman" w:hAnsi="Times New Roman" w:cs="Times New Roman"/>
        </w:rPr>
        <w:lastRenderedPageBreak/>
        <w:t>database. Such sources include CH</w:t>
      </w:r>
      <w:r w:rsidRPr="009F19BD">
        <w:rPr>
          <w:rFonts w:ascii="Times New Roman" w:hAnsi="Times New Roman" w:cs="Times New Roman"/>
          <w:vertAlign w:val="subscript"/>
        </w:rPr>
        <w:t>4</w:t>
      </w:r>
      <w:r w:rsidRPr="009F19BD">
        <w:rPr>
          <w:rFonts w:ascii="Times New Roman" w:hAnsi="Times New Roman" w:cs="Times New Roman"/>
        </w:rPr>
        <w:t xml:space="preserve"> from landfill and </w:t>
      </w:r>
      <w:proofErr w:type="gramStart"/>
      <w:r w:rsidRPr="009F19BD">
        <w:rPr>
          <w:rFonts w:ascii="Times New Roman" w:hAnsi="Times New Roman" w:cs="Times New Roman"/>
        </w:rPr>
        <w:t>waste water</w:t>
      </w:r>
      <w:proofErr w:type="gramEnd"/>
      <w:r w:rsidRPr="009F19BD">
        <w:rPr>
          <w:rFonts w:ascii="Times New Roman" w:hAnsi="Times New Roman" w:cs="Times New Roman"/>
        </w:rPr>
        <w:t>, and agriculture (manure, rice paddies) and N</w:t>
      </w:r>
      <w:r w:rsidRPr="009F19BD">
        <w:rPr>
          <w:rFonts w:ascii="Times New Roman" w:hAnsi="Times New Roman" w:cs="Times New Roman"/>
          <w:vertAlign w:val="subscript"/>
        </w:rPr>
        <w:t>2</w:t>
      </w:r>
      <w:r w:rsidRPr="009F19BD">
        <w:rPr>
          <w:rFonts w:ascii="Times New Roman" w:hAnsi="Times New Roman" w:cs="Times New Roman"/>
        </w:rPr>
        <w:t>O from industry (nitric and adipic acid) and agriculture. In this modelling, the RCP2.6 trajectory is used.  Emissions of these gases from the energy sector (</w:t>
      </w:r>
      <w:proofErr w:type="gramStart"/>
      <w:r w:rsidRPr="009F19BD">
        <w:rPr>
          <w:rFonts w:ascii="Times New Roman" w:hAnsi="Times New Roman" w:cs="Times New Roman"/>
        </w:rPr>
        <w:t>e.g.</w:t>
      </w:r>
      <w:proofErr w:type="gramEnd"/>
      <w:r w:rsidRPr="009F19BD">
        <w:rPr>
          <w:rFonts w:ascii="Times New Roman" w:hAnsi="Times New Roman" w:cs="Times New Roman"/>
        </w:rPr>
        <w:t xml:space="preserve"> CH</w:t>
      </w:r>
      <w:r w:rsidRPr="009F19BD">
        <w:rPr>
          <w:rFonts w:ascii="Times New Roman" w:hAnsi="Times New Roman" w:cs="Times New Roman"/>
          <w:vertAlign w:val="subscript"/>
        </w:rPr>
        <w:t>4</w:t>
      </w:r>
      <w:r w:rsidRPr="009F19BD">
        <w:rPr>
          <w:rFonts w:ascii="Times New Roman" w:hAnsi="Times New Roman" w:cs="Times New Roman"/>
        </w:rPr>
        <w:t xml:space="preserve"> leakage from fossil methane gas extraction and transport) are capped under an overall constraint, which includes the sources above.</w:t>
      </w:r>
    </w:p>
    <w:p w14:paraId="78D1DC83" w14:textId="77777777" w:rsidR="008903F7" w:rsidRPr="009F19BD" w:rsidRDefault="008903F7" w:rsidP="0A113E58">
      <w:pPr>
        <w:numPr>
          <w:ilvl w:val="0"/>
          <w:numId w:val="17"/>
        </w:numPr>
        <w:spacing w:after="0" w:line="240" w:lineRule="auto"/>
        <w:rPr>
          <w:rFonts w:ascii="Times New Roman" w:hAnsi="Times New Roman" w:cs="Times New Roman"/>
        </w:rPr>
      </w:pPr>
      <w:r w:rsidRPr="009F19BD">
        <w:rPr>
          <w:rFonts w:ascii="Times New Roman" w:hAnsi="Times New Roman" w:cs="Times New Roman"/>
        </w:rPr>
        <w:t xml:space="preserve">Discount rate. </w:t>
      </w:r>
      <w:r w:rsidRPr="009F19BD">
        <w:rPr>
          <w:rFonts w:ascii="Times New Roman" w:hAnsi="Times New Roman" w:cs="Times New Roman"/>
          <w:lang w:eastAsia="en-GB"/>
        </w:rPr>
        <w:t>The social discount rate used in the calculation of net present value (used as the basis for the objective function) is set at 3.5%.</w:t>
      </w:r>
    </w:p>
    <w:p w14:paraId="26059656" w14:textId="77777777" w:rsidR="008903F7" w:rsidRPr="009F19BD" w:rsidRDefault="008903F7" w:rsidP="0A113E58">
      <w:pPr>
        <w:numPr>
          <w:ilvl w:val="0"/>
          <w:numId w:val="17"/>
        </w:numPr>
        <w:spacing w:after="0" w:line="240" w:lineRule="auto"/>
        <w:rPr>
          <w:rFonts w:ascii="Times New Roman" w:eastAsia="Times New Roman" w:hAnsi="Times New Roman" w:cs="Times New Roman"/>
          <w:color w:val="000000"/>
          <w:lang w:eastAsia="en-GB"/>
        </w:rPr>
      </w:pPr>
      <w:r w:rsidRPr="009F19BD">
        <w:rPr>
          <w:rFonts w:ascii="Times New Roman" w:eastAsia="Times New Roman" w:hAnsi="Times New Roman" w:cs="Times New Roman"/>
          <w:color w:val="000000" w:themeColor="text1"/>
          <w:lang w:eastAsia="en-GB"/>
        </w:rPr>
        <w:t xml:space="preserve">Base year. Model is calibrated based on 2005 IEA energy balances. Additional constraints have been introduced in the model to help represent the energy system in 2010 and 2015 - and to reflect projected emissions in 2020. </w:t>
      </w:r>
    </w:p>
    <w:p w14:paraId="3F6527C0" w14:textId="77777777" w:rsidR="008903F7" w:rsidRPr="009F19BD" w:rsidRDefault="008903F7" w:rsidP="008903F7">
      <w:pPr>
        <w:spacing w:after="0" w:line="240" w:lineRule="auto"/>
        <w:rPr>
          <w:rFonts w:ascii="Times New Roman" w:eastAsia="Times New Roman" w:hAnsi="Times New Roman" w:cs="Times New Roman"/>
          <w:color w:val="000000"/>
          <w:lang w:eastAsia="en-GB"/>
        </w:rPr>
      </w:pPr>
    </w:p>
    <w:p w14:paraId="26B2C7AB" w14:textId="20C361FC" w:rsidR="008903F7" w:rsidRPr="007C7C7F" w:rsidRDefault="008903F7" w:rsidP="008903F7">
      <w:pPr>
        <w:rPr>
          <w:rFonts w:ascii="Times New Roman" w:hAnsi="Times New Roman" w:cs="Times New Roman"/>
          <w:b/>
        </w:rPr>
      </w:pPr>
      <w:bookmarkStart w:id="7" w:name="_Ref64822073"/>
      <w:r w:rsidRPr="007C7C7F">
        <w:rPr>
          <w:rFonts w:ascii="Times New Roman" w:hAnsi="Times New Roman" w:cs="Times New Roman"/>
          <w:b/>
        </w:rPr>
        <w:t>Supplementary Table</w:t>
      </w:r>
      <w:r w:rsidR="007C7C7F" w:rsidRPr="007C7C7F">
        <w:rPr>
          <w:rFonts w:ascii="Times New Roman" w:hAnsi="Times New Roman" w:cs="Times New Roman"/>
          <w:b/>
        </w:rPr>
        <w:t xml:space="preserve"> 8</w:t>
      </w:r>
      <w:bookmarkEnd w:id="7"/>
      <w:r w:rsidRPr="007C7C7F">
        <w:rPr>
          <w:rFonts w:ascii="Times New Roman" w:hAnsi="Times New Roman" w:cs="Times New Roman"/>
          <w:b/>
        </w:rPr>
        <w:t>. LULUCF and non-CO</w:t>
      </w:r>
      <w:r w:rsidRPr="007C7C7F">
        <w:rPr>
          <w:rFonts w:ascii="Times New Roman" w:hAnsi="Times New Roman" w:cs="Times New Roman"/>
          <w:b/>
          <w:vertAlign w:val="subscript"/>
        </w:rPr>
        <w:t>2</w:t>
      </w:r>
      <w:r w:rsidRPr="007C7C7F">
        <w:rPr>
          <w:rFonts w:ascii="Times New Roman" w:hAnsi="Times New Roman" w:cs="Times New Roman"/>
          <w:b/>
        </w:rPr>
        <w:t xml:space="preserve"> GHG emissions</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993"/>
        <w:gridCol w:w="892"/>
        <w:gridCol w:w="950"/>
        <w:gridCol w:w="993"/>
        <w:gridCol w:w="850"/>
        <w:gridCol w:w="2982"/>
      </w:tblGrid>
      <w:tr w:rsidR="008903F7" w:rsidRPr="009F19BD" w14:paraId="7FB63571" w14:textId="77777777" w:rsidTr="00B50CDC">
        <w:trPr>
          <w:trHeight w:val="300"/>
        </w:trPr>
        <w:tc>
          <w:tcPr>
            <w:tcW w:w="1129" w:type="dxa"/>
            <w:shd w:val="clear" w:color="000000" w:fill="D9D9D9" w:themeFill="background1" w:themeFillShade="D9"/>
            <w:vAlign w:val="center"/>
          </w:tcPr>
          <w:p w14:paraId="33A2B992"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Emissions</w:t>
            </w:r>
          </w:p>
        </w:tc>
        <w:tc>
          <w:tcPr>
            <w:tcW w:w="3828" w:type="dxa"/>
            <w:gridSpan w:val="4"/>
            <w:shd w:val="clear" w:color="000000" w:fill="D9D9D9" w:themeFill="background1" w:themeFillShade="D9"/>
            <w:noWrap/>
            <w:vAlign w:val="center"/>
            <w:hideMark/>
          </w:tcPr>
          <w:p w14:paraId="04B5F6B3"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Values by year</w:t>
            </w:r>
          </w:p>
        </w:tc>
        <w:tc>
          <w:tcPr>
            <w:tcW w:w="850" w:type="dxa"/>
            <w:shd w:val="clear" w:color="000000" w:fill="D9D9D9" w:themeFill="background1" w:themeFillShade="D9"/>
            <w:noWrap/>
            <w:vAlign w:val="center"/>
            <w:hideMark/>
          </w:tcPr>
          <w:p w14:paraId="53C5F0A4"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Units</w:t>
            </w:r>
          </w:p>
        </w:tc>
        <w:tc>
          <w:tcPr>
            <w:tcW w:w="2982" w:type="dxa"/>
            <w:shd w:val="clear" w:color="000000" w:fill="D9D9D9" w:themeFill="background1" w:themeFillShade="D9"/>
            <w:vAlign w:val="center"/>
          </w:tcPr>
          <w:p w14:paraId="6BADA595"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Source</w:t>
            </w:r>
          </w:p>
        </w:tc>
      </w:tr>
      <w:tr w:rsidR="008903F7" w:rsidRPr="009F19BD" w14:paraId="08EF36D3" w14:textId="77777777" w:rsidTr="00B50CDC">
        <w:trPr>
          <w:trHeight w:val="321"/>
        </w:trPr>
        <w:tc>
          <w:tcPr>
            <w:tcW w:w="1129" w:type="dxa"/>
            <w:shd w:val="clear" w:color="000000" w:fill="D9D9D9" w:themeFill="background1" w:themeFillShade="D9"/>
            <w:vAlign w:val="center"/>
          </w:tcPr>
          <w:p w14:paraId="0C2D3B0C" w14:textId="77777777" w:rsidR="008903F7" w:rsidRPr="009F19BD" w:rsidRDefault="008903F7" w:rsidP="00B50CDC">
            <w:pPr>
              <w:pStyle w:val="NoSpacing"/>
              <w:rPr>
                <w:rFonts w:ascii="Times New Roman" w:hAnsi="Times New Roman" w:cs="Times New Roman"/>
                <w:b/>
                <w:lang w:eastAsia="en-GB"/>
              </w:rPr>
            </w:pPr>
          </w:p>
        </w:tc>
        <w:tc>
          <w:tcPr>
            <w:tcW w:w="993" w:type="dxa"/>
            <w:shd w:val="clear" w:color="000000" w:fill="D9D9D9" w:themeFill="background1" w:themeFillShade="D9"/>
            <w:noWrap/>
            <w:vAlign w:val="center"/>
            <w:hideMark/>
          </w:tcPr>
          <w:p w14:paraId="3E3EECBD"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2030</w:t>
            </w:r>
          </w:p>
        </w:tc>
        <w:tc>
          <w:tcPr>
            <w:tcW w:w="892" w:type="dxa"/>
            <w:shd w:val="clear" w:color="000000" w:fill="D9D9D9" w:themeFill="background1" w:themeFillShade="D9"/>
            <w:noWrap/>
            <w:vAlign w:val="center"/>
            <w:hideMark/>
          </w:tcPr>
          <w:p w14:paraId="0F0CDD0A"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2050</w:t>
            </w:r>
          </w:p>
        </w:tc>
        <w:tc>
          <w:tcPr>
            <w:tcW w:w="950" w:type="dxa"/>
            <w:shd w:val="clear" w:color="000000" w:fill="D9D9D9" w:themeFill="background1" w:themeFillShade="D9"/>
            <w:noWrap/>
            <w:vAlign w:val="center"/>
            <w:hideMark/>
          </w:tcPr>
          <w:p w14:paraId="7B887BF5"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2080</w:t>
            </w:r>
          </w:p>
        </w:tc>
        <w:tc>
          <w:tcPr>
            <w:tcW w:w="993" w:type="dxa"/>
            <w:shd w:val="clear" w:color="000000" w:fill="D9D9D9" w:themeFill="background1" w:themeFillShade="D9"/>
            <w:noWrap/>
            <w:vAlign w:val="center"/>
            <w:hideMark/>
          </w:tcPr>
          <w:p w14:paraId="3E08501A" w14:textId="77777777" w:rsidR="008903F7" w:rsidRPr="009F19BD" w:rsidRDefault="008903F7" w:rsidP="00B50CDC">
            <w:pPr>
              <w:pStyle w:val="NoSpacing"/>
              <w:rPr>
                <w:rFonts w:ascii="Times New Roman" w:hAnsi="Times New Roman" w:cs="Times New Roman"/>
                <w:b/>
                <w:lang w:eastAsia="en-GB"/>
              </w:rPr>
            </w:pPr>
            <w:r w:rsidRPr="009F19BD">
              <w:rPr>
                <w:rFonts w:ascii="Times New Roman" w:hAnsi="Times New Roman" w:cs="Times New Roman"/>
                <w:b/>
                <w:lang w:eastAsia="en-GB"/>
              </w:rPr>
              <w:t>2100</w:t>
            </w:r>
          </w:p>
        </w:tc>
        <w:tc>
          <w:tcPr>
            <w:tcW w:w="850" w:type="dxa"/>
            <w:shd w:val="clear" w:color="000000" w:fill="D9D9D9" w:themeFill="background1" w:themeFillShade="D9"/>
            <w:noWrap/>
            <w:vAlign w:val="center"/>
            <w:hideMark/>
          </w:tcPr>
          <w:p w14:paraId="5FF5D713" w14:textId="77777777" w:rsidR="008903F7" w:rsidRPr="009F19BD" w:rsidRDefault="008903F7" w:rsidP="00B50CDC">
            <w:pPr>
              <w:pStyle w:val="NoSpacing"/>
              <w:rPr>
                <w:rFonts w:ascii="Times New Roman" w:hAnsi="Times New Roman" w:cs="Times New Roman"/>
                <w:b/>
                <w:lang w:eastAsia="en-GB"/>
              </w:rPr>
            </w:pPr>
          </w:p>
        </w:tc>
        <w:tc>
          <w:tcPr>
            <w:tcW w:w="2982" w:type="dxa"/>
            <w:shd w:val="clear" w:color="000000" w:fill="D9D9D9" w:themeFill="background1" w:themeFillShade="D9"/>
            <w:vAlign w:val="center"/>
          </w:tcPr>
          <w:p w14:paraId="7548E7BD" w14:textId="77777777" w:rsidR="008903F7" w:rsidRPr="009F19BD" w:rsidRDefault="008903F7" w:rsidP="00B50CDC">
            <w:pPr>
              <w:pStyle w:val="NoSpacing"/>
              <w:rPr>
                <w:rFonts w:ascii="Times New Roman" w:hAnsi="Times New Roman" w:cs="Times New Roman"/>
                <w:b/>
                <w:lang w:eastAsia="en-GB"/>
              </w:rPr>
            </w:pPr>
          </w:p>
        </w:tc>
      </w:tr>
      <w:tr w:rsidR="008903F7" w:rsidRPr="009F19BD" w14:paraId="106E57A8" w14:textId="77777777" w:rsidTr="00B50CDC">
        <w:trPr>
          <w:trHeight w:val="300"/>
        </w:trPr>
        <w:tc>
          <w:tcPr>
            <w:tcW w:w="1129" w:type="dxa"/>
            <w:vAlign w:val="center"/>
          </w:tcPr>
          <w:p w14:paraId="5C16E53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CO</w:t>
            </w:r>
            <w:r w:rsidRPr="009F19BD">
              <w:rPr>
                <w:rFonts w:ascii="Times New Roman" w:hAnsi="Times New Roman" w:cs="Times New Roman"/>
                <w:vertAlign w:val="subscript"/>
                <w:lang w:eastAsia="en-GB"/>
              </w:rPr>
              <w:t>2</w:t>
            </w:r>
            <w:r w:rsidRPr="009F19BD">
              <w:rPr>
                <w:rFonts w:ascii="Times New Roman" w:hAnsi="Times New Roman" w:cs="Times New Roman"/>
                <w:lang w:eastAsia="en-GB"/>
              </w:rPr>
              <w:t xml:space="preserve"> from LULUCF</w:t>
            </w:r>
          </w:p>
        </w:tc>
        <w:tc>
          <w:tcPr>
            <w:tcW w:w="993" w:type="dxa"/>
            <w:shd w:val="clear" w:color="auto" w:fill="auto"/>
            <w:noWrap/>
            <w:vAlign w:val="center"/>
          </w:tcPr>
          <w:p w14:paraId="7563468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2.5</w:t>
            </w:r>
          </w:p>
        </w:tc>
        <w:tc>
          <w:tcPr>
            <w:tcW w:w="892" w:type="dxa"/>
            <w:shd w:val="clear" w:color="auto" w:fill="auto"/>
            <w:noWrap/>
            <w:vAlign w:val="center"/>
          </w:tcPr>
          <w:p w14:paraId="7C960FB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1.2</w:t>
            </w:r>
          </w:p>
        </w:tc>
        <w:tc>
          <w:tcPr>
            <w:tcW w:w="950" w:type="dxa"/>
            <w:shd w:val="clear" w:color="auto" w:fill="auto"/>
            <w:noWrap/>
            <w:vAlign w:val="center"/>
          </w:tcPr>
          <w:p w14:paraId="23E6F6B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-1.0</w:t>
            </w:r>
          </w:p>
        </w:tc>
        <w:tc>
          <w:tcPr>
            <w:tcW w:w="993" w:type="dxa"/>
            <w:shd w:val="clear" w:color="auto" w:fill="auto"/>
            <w:noWrap/>
            <w:vAlign w:val="center"/>
          </w:tcPr>
          <w:p w14:paraId="6E93ACB5"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-1.5</w:t>
            </w:r>
          </w:p>
        </w:tc>
        <w:tc>
          <w:tcPr>
            <w:tcW w:w="850" w:type="dxa"/>
            <w:shd w:val="clear" w:color="auto" w:fill="auto"/>
            <w:noWrap/>
            <w:vAlign w:val="center"/>
          </w:tcPr>
          <w:p w14:paraId="3255A0F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GtCO</w:t>
            </w:r>
            <w:r w:rsidRPr="009F19BD">
              <w:rPr>
                <w:rFonts w:ascii="Times New Roman" w:hAnsi="Times New Roman" w:cs="Times New Roman"/>
                <w:vertAlign w:val="subscript"/>
                <w:lang w:eastAsia="en-GB"/>
              </w:rPr>
              <w:t>2</w:t>
            </w:r>
          </w:p>
        </w:tc>
        <w:tc>
          <w:tcPr>
            <w:tcW w:w="2982" w:type="dxa"/>
            <w:vMerge w:val="restart"/>
            <w:vAlign w:val="center"/>
          </w:tcPr>
          <w:p w14:paraId="1A0D6F2A"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 xml:space="preserve">Trajectory sourced from </w:t>
            </w:r>
            <w:r w:rsidRPr="009F19BD">
              <w:rPr>
                <w:rFonts w:ascii="Times New Roman" w:hAnsi="Times New Roman" w:cs="Times New Roman"/>
                <w:lang w:eastAsia="en-GB"/>
              </w:rPr>
              <w:t xml:space="preserve">SSP Public Database (Version 1.1) hosted by IIASA </w:t>
            </w:r>
            <w:hyperlink r:id="rId18" w:history="1">
              <w:r w:rsidRPr="009F19BD">
                <w:rPr>
                  <w:rFonts w:ascii="Times New Roman" w:eastAsia="Times New Roman" w:hAnsi="Times New Roman" w:cs="Times New Roman"/>
                  <w:lang w:eastAsia="en-GB"/>
                </w:rPr>
                <w:t>https://tntcat.iiasa.ac.at/SspDb/dsd?Action=htmlpage&amp;page=welcome</w:t>
              </w:r>
            </w:hyperlink>
            <w:r w:rsidRPr="009F19BD">
              <w:rPr>
                <w:rFonts w:ascii="Times New Roman" w:hAnsi="Times New Roman" w:cs="Times New Roman"/>
                <w:lang w:eastAsia="en-GB"/>
              </w:rPr>
              <w:t>. Model-Scenario: IMAGE SSP2-26</w:t>
            </w:r>
          </w:p>
        </w:tc>
      </w:tr>
      <w:tr w:rsidR="008903F7" w:rsidRPr="009F19BD" w14:paraId="0B69B5B1" w14:textId="77777777" w:rsidTr="00B50CDC">
        <w:trPr>
          <w:trHeight w:val="300"/>
        </w:trPr>
        <w:tc>
          <w:tcPr>
            <w:tcW w:w="1129" w:type="dxa"/>
            <w:vAlign w:val="center"/>
          </w:tcPr>
          <w:p w14:paraId="742580C0"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CH</w:t>
            </w:r>
            <w:r w:rsidRPr="009F19BD">
              <w:rPr>
                <w:rFonts w:ascii="Times New Roman" w:hAnsi="Times New Roman" w:cs="Times New Roman"/>
                <w:vertAlign w:val="subscript"/>
                <w:lang w:eastAsia="en-GB"/>
              </w:rPr>
              <w:t>4</w:t>
            </w:r>
          </w:p>
        </w:tc>
        <w:tc>
          <w:tcPr>
            <w:tcW w:w="993" w:type="dxa"/>
            <w:shd w:val="clear" w:color="auto" w:fill="auto"/>
            <w:noWrap/>
            <w:vAlign w:val="center"/>
          </w:tcPr>
          <w:p w14:paraId="5DC932D8"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275,467</w:t>
            </w:r>
          </w:p>
        </w:tc>
        <w:tc>
          <w:tcPr>
            <w:tcW w:w="892" w:type="dxa"/>
            <w:shd w:val="clear" w:color="auto" w:fill="auto"/>
            <w:noWrap/>
            <w:vAlign w:val="center"/>
          </w:tcPr>
          <w:p w14:paraId="0AB0744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212,033</w:t>
            </w:r>
          </w:p>
        </w:tc>
        <w:tc>
          <w:tcPr>
            <w:tcW w:w="950" w:type="dxa"/>
            <w:shd w:val="clear" w:color="auto" w:fill="auto"/>
            <w:noWrap/>
            <w:vAlign w:val="center"/>
          </w:tcPr>
          <w:p w14:paraId="2E6A2356"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178,996</w:t>
            </w:r>
          </w:p>
        </w:tc>
        <w:tc>
          <w:tcPr>
            <w:tcW w:w="993" w:type="dxa"/>
            <w:shd w:val="clear" w:color="auto" w:fill="auto"/>
            <w:noWrap/>
            <w:vAlign w:val="center"/>
          </w:tcPr>
          <w:p w14:paraId="38DA55A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rPr>
              <w:t>157,291</w:t>
            </w:r>
          </w:p>
        </w:tc>
        <w:tc>
          <w:tcPr>
            <w:tcW w:w="850" w:type="dxa"/>
            <w:shd w:val="clear" w:color="auto" w:fill="auto"/>
            <w:noWrap/>
            <w:vAlign w:val="center"/>
          </w:tcPr>
          <w:p w14:paraId="2B150FCF"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Kt</w:t>
            </w:r>
          </w:p>
        </w:tc>
        <w:tc>
          <w:tcPr>
            <w:tcW w:w="2982" w:type="dxa"/>
            <w:vMerge/>
            <w:vAlign w:val="center"/>
          </w:tcPr>
          <w:p w14:paraId="620C42C0" w14:textId="77777777" w:rsidR="008903F7" w:rsidRPr="009F19BD" w:rsidRDefault="008903F7" w:rsidP="00B50CDC">
            <w:pPr>
              <w:pStyle w:val="NoSpacing"/>
              <w:rPr>
                <w:rFonts w:ascii="Times New Roman" w:hAnsi="Times New Roman" w:cs="Times New Roman"/>
                <w:lang w:eastAsia="en-GB"/>
              </w:rPr>
            </w:pPr>
          </w:p>
        </w:tc>
      </w:tr>
      <w:tr w:rsidR="008903F7" w:rsidRPr="009F19BD" w14:paraId="139F6294" w14:textId="77777777" w:rsidTr="00B50CDC">
        <w:trPr>
          <w:trHeight w:val="300"/>
        </w:trPr>
        <w:tc>
          <w:tcPr>
            <w:tcW w:w="1129" w:type="dxa"/>
            <w:vAlign w:val="center"/>
          </w:tcPr>
          <w:p w14:paraId="716BF70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N</w:t>
            </w:r>
            <w:r w:rsidRPr="009F19BD">
              <w:rPr>
                <w:rFonts w:ascii="Times New Roman" w:hAnsi="Times New Roman" w:cs="Times New Roman"/>
                <w:vertAlign w:val="subscript"/>
                <w:lang w:eastAsia="en-GB"/>
              </w:rPr>
              <w:t>2</w:t>
            </w:r>
            <w:r w:rsidRPr="009F19BD">
              <w:rPr>
                <w:rFonts w:ascii="Times New Roman" w:hAnsi="Times New Roman" w:cs="Times New Roman"/>
                <w:lang w:eastAsia="en-GB"/>
              </w:rPr>
              <w:t>O</w:t>
            </w:r>
          </w:p>
        </w:tc>
        <w:tc>
          <w:tcPr>
            <w:tcW w:w="993" w:type="dxa"/>
            <w:shd w:val="clear" w:color="auto" w:fill="auto"/>
            <w:noWrap/>
            <w:vAlign w:val="center"/>
          </w:tcPr>
          <w:p w14:paraId="55F0BC6E"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9297</w:t>
            </w:r>
          </w:p>
        </w:tc>
        <w:tc>
          <w:tcPr>
            <w:tcW w:w="892" w:type="dxa"/>
            <w:shd w:val="clear" w:color="auto" w:fill="auto"/>
            <w:noWrap/>
            <w:vAlign w:val="center"/>
          </w:tcPr>
          <w:p w14:paraId="0F79AF9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8863</w:t>
            </w:r>
          </w:p>
        </w:tc>
        <w:tc>
          <w:tcPr>
            <w:tcW w:w="950" w:type="dxa"/>
            <w:shd w:val="clear" w:color="auto" w:fill="auto"/>
            <w:noWrap/>
            <w:vAlign w:val="center"/>
          </w:tcPr>
          <w:p w14:paraId="4A51EF59"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8320</w:t>
            </w:r>
          </w:p>
        </w:tc>
        <w:tc>
          <w:tcPr>
            <w:tcW w:w="993" w:type="dxa"/>
            <w:shd w:val="clear" w:color="auto" w:fill="auto"/>
            <w:noWrap/>
            <w:vAlign w:val="center"/>
          </w:tcPr>
          <w:p w14:paraId="44580BB7"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7920</w:t>
            </w:r>
          </w:p>
        </w:tc>
        <w:tc>
          <w:tcPr>
            <w:tcW w:w="850" w:type="dxa"/>
            <w:shd w:val="clear" w:color="auto" w:fill="auto"/>
            <w:noWrap/>
            <w:vAlign w:val="center"/>
          </w:tcPr>
          <w:p w14:paraId="00C631EB" w14:textId="77777777" w:rsidR="008903F7" w:rsidRPr="009F19BD" w:rsidRDefault="008903F7" w:rsidP="00B50CDC">
            <w:pPr>
              <w:pStyle w:val="NoSpacing"/>
              <w:rPr>
                <w:rFonts w:ascii="Times New Roman" w:hAnsi="Times New Roman" w:cs="Times New Roman"/>
                <w:lang w:eastAsia="en-GB"/>
              </w:rPr>
            </w:pPr>
            <w:r w:rsidRPr="009F19BD">
              <w:rPr>
                <w:rFonts w:ascii="Times New Roman" w:hAnsi="Times New Roman" w:cs="Times New Roman"/>
                <w:lang w:eastAsia="en-GB"/>
              </w:rPr>
              <w:t>Kt</w:t>
            </w:r>
          </w:p>
        </w:tc>
        <w:tc>
          <w:tcPr>
            <w:tcW w:w="2982" w:type="dxa"/>
            <w:vMerge/>
            <w:vAlign w:val="center"/>
          </w:tcPr>
          <w:p w14:paraId="4E75ADF5" w14:textId="77777777" w:rsidR="008903F7" w:rsidRPr="009F19BD" w:rsidRDefault="008903F7" w:rsidP="00B50CDC">
            <w:pPr>
              <w:pStyle w:val="NoSpacing"/>
              <w:rPr>
                <w:rFonts w:ascii="Times New Roman" w:hAnsi="Times New Roman" w:cs="Times New Roman"/>
                <w:lang w:eastAsia="en-GB"/>
              </w:rPr>
            </w:pPr>
          </w:p>
        </w:tc>
      </w:tr>
    </w:tbl>
    <w:p w14:paraId="64958D26" w14:textId="77777777" w:rsidR="008903F7" w:rsidRPr="009F19BD" w:rsidRDefault="008903F7" w:rsidP="008903F7">
      <w:pPr>
        <w:spacing w:after="0" w:line="240" w:lineRule="auto"/>
        <w:rPr>
          <w:rFonts w:ascii="Times New Roman" w:eastAsia="Times New Roman" w:hAnsi="Times New Roman" w:cs="Times New Roman"/>
          <w:color w:val="000000"/>
          <w:lang w:eastAsia="en-GB"/>
        </w:rPr>
      </w:pPr>
    </w:p>
    <w:p w14:paraId="5854CC49" w14:textId="24DFB695" w:rsidR="008903F7" w:rsidRPr="009F19BD" w:rsidRDefault="008903F7" w:rsidP="008903F7">
      <w:pPr>
        <w:pStyle w:val="Normalsingle"/>
        <w:rPr>
          <w:rFonts w:ascii="Times New Roman" w:hAnsi="Times New Roman"/>
          <w:sz w:val="22"/>
          <w:szCs w:val="22"/>
        </w:rPr>
      </w:pPr>
      <w:r w:rsidRPr="009F19BD">
        <w:rPr>
          <w:rFonts w:ascii="Times New Roman" w:hAnsi="Times New Roman"/>
          <w:sz w:val="22"/>
          <w:szCs w:val="22"/>
        </w:rPr>
        <w:t xml:space="preserve">Additional documentation for TIAM-UCL can be found on the Integrated Assessment Modelling Consortium (IAMC) wiki at </w:t>
      </w:r>
      <w:hyperlink r:id="rId19" w:history="1">
        <w:r w:rsidR="00F04086" w:rsidRPr="000B7703">
          <w:rPr>
            <w:rStyle w:val="Hyperlink"/>
            <w:rFonts w:ascii="Times New Roman" w:eastAsiaTheme="majorEastAsia" w:hAnsi="Times New Roman"/>
            <w:sz w:val="22"/>
            <w:szCs w:val="22"/>
          </w:rPr>
          <w:t>https://www.iamcdocumentation.eu/index.php/Model_Documentation_-_TIAM-UCL</w:t>
        </w:r>
      </w:hyperlink>
      <w:r w:rsidRPr="009F19BD">
        <w:rPr>
          <w:rFonts w:ascii="Times New Roman" w:hAnsi="Times New Roman"/>
          <w:sz w:val="22"/>
          <w:szCs w:val="22"/>
        </w:rPr>
        <w:t xml:space="preserve">. </w:t>
      </w:r>
    </w:p>
    <w:p w14:paraId="6AA701D8" w14:textId="77777777" w:rsidR="007C7C7F" w:rsidRDefault="007C7C7F" w:rsidP="008903F7">
      <w:pPr>
        <w:rPr>
          <w:rFonts w:ascii="Times New Roman" w:hAnsi="Times New Roman" w:cs="Times New Roman"/>
          <w:b/>
        </w:rPr>
      </w:pPr>
      <w:bookmarkStart w:id="8" w:name="_Ref64821849"/>
      <w:bookmarkStart w:id="9" w:name="_Ref22571312"/>
    </w:p>
    <w:p w14:paraId="482DF26C" w14:textId="4007146A" w:rsidR="008903F7" w:rsidRPr="007C7C7F" w:rsidRDefault="008903F7" w:rsidP="008903F7">
      <w:pPr>
        <w:rPr>
          <w:rFonts w:ascii="Times New Roman" w:hAnsi="Times New Roman" w:cs="Times New Roman"/>
          <w:b/>
          <w:iCs/>
        </w:rPr>
      </w:pPr>
      <w:r w:rsidRPr="007C7C7F">
        <w:rPr>
          <w:rFonts w:ascii="Times New Roman" w:hAnsi="Times New Roman" w:cs="Times New Roman"/>
          <w:b/>
        </w:rPr>
        <w:t>Supplementary Table</w:t>
      </w:r>
      <w:r w:rsidR="007C7C7F" w:rsidRPr="007C7C7F">
        <w:rPr>
          <w:rFonts w:ascii="Times New Roman" w:hAnsi="Times New Roman" w:cs="Times New Roman"/>
          <w:b/>
        </w:rPr>
        <w:t xml:space="preserve"> 9</w:t>
      </w:r>
      <w:bookmarkEnd w:id="8"/>
      <w:r w:rsidRPr="007C7C7F">
        <w:rPr>
          <w:rFonts w:ascii="Times New Roman" w:hAnsi="Times New Roman" w:cs="Times New Roman"/>
          <w:b/>
        </w:rPr>
        <w:t>. List of regions and countries in the 16 region TIAM-UCL model</w:t>
      </w:r>
      <w:bookmarkEnd w:id="9"/>
    </w:p>
    <w:tbl>
      <w:tblPr>
        <w:tblW w:w="8789" w:type="dxa"/>
        <w:tblInd w:w="108" w:type="dxa"/>
        <w:tblLook w:val="04A0" w:firstRow="1" w:lastRow="0" w:firstColumn="1" w:lastColumn="0" w:noHBand="0" w:noVBand="1"/>
      </w:tblPr>
      <w:tblGrid>
        <w:gridCol w:w="1583"/>
        <w:gridCol w:w="7206"/>
      </w:tblGrid>
      <w:tr w:rsidR="008903F7" w:rsidRPr="009F19BD" w14:paraId="5BDD0C0B" w14:textId="77777777" w:rsidTr="00B50CDC">
        <w:tc>
          <w:tcPr>
            <w:tcW w:w="1583" w:type="dxa"/>
            <w:shd w:val="clear" w:color="auto" w:fill="D9D9D9" w:themeFill="background1" w:themeFillShade="D9"/>
            <w:vAlign w:val="center"/>
          </w:tcPr>
          <w:p w14:paraId="25B9F446" w14:textId="77777777" w:rsidR="008903F7" w:rsidRPr="009F19BD" w:rsidRDefault="008903F7" w:rsidP="00B50CDC">
            <w:pPr>
              <w:pStyle w:val="Normalsingle"/>
              <w:rPr>
                <w:rFonts w:ascii="Times New Roman" w:hAnsi="Times New Roman"/>
                <w:b/>
                <w:bCs/>
                <w:sz w:val="22"/>
                <w:szCs w:val="22"/>
              </w:rPr>
            </w:pPr>
            <w:r w:rsidRPr="009F19BD">
              <w:rPr>
                <w:rFonts w:ascii="Times New Roman" w:hAnsi="Times New Roman"/>
                <w:b/>
                <w:bCs/>
                <w:sz w:val="22"/>
                <w:szCs w:val="22"/>
              </w:rPr>
              <w:t>Region</w:t>
            </w:r>
          </w:p>
        </w:tc>
        <w:tc>
          <w:tcPr>
            <w:tcW w:w="7206" w:type="dxa"/>
            <w:shd w:val="clear" w:color="auto" w:fill="D9D9D9" w:themeFill="background1" w:themeFillShade="D9"/>
            <w:vAlign w:val="center"/>
          </w:tcPr>
          <w:p w14:paraId="69DCEF81" w14:textId="77777777" w:rsidR="008903F7" w:rsidRPr="009F19BD" w:rsidRDefault="008903F7" w:rsidP="00B50CDC">
            <w:pPr>
              <w:pStyle w:val="EndnoteText"/>
              <w:keepNext/>
              <w:keepLines/>
              <w:rPr>
                <w:rFonts w:ascii="Times New Roman" w:hAnsi="Times New Roman" w:cs="Times New Roman"/>
                <w:b/>
                <w:sz w:val="22"/>
                <w:szCs w:val="22"/>
              </w:rPr>
            </w:pPr>
            <w:r w:rsidRPr="009F19BD">
              <w:rPr>
                <w:rFonts w:ascii="Times New Roman" w:hAnsi="Times New Roman" w:cs="Times New Roman"/>
                <w:b/>
                <w:sz w:val="22"/>
                <w:szCs w:val="22"/>
              </w:rPr>
              <w:t>Countries</w:t>
            </w:r>
          </w:p>
        </w:tc>
      </w:tr>
      <w:tr w:rsidR="008903F7" w:rsidRPr="009F19BD" w14:paraId="69522018" w14:textId="77777777" w:rsidTr="00B50CDC">
        <w:tc>
          <w:tcPr>
            <w:tcW w:w="1583" w:type="dxa"/>
          </w:tcPr>
          <w:p w14:paraId="4A23D637"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Africa (AFR)</w:t>
            </w:r>
          </w:p>
        </w:tc>
        <w:tc>
          <w:tcPr>
            <w:tcW w:w="7206" w:type="dxa"/>
          </w:tcPr>
          <w:p w14:paraId="5BDDDC1D"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Algeria, Angola, Benin, Botswana, Burkina Faso, Burundi, Cameroon, Cape Verde, Central African Republic, Chad, Comoros, Congo, Côte d'Ivoire, Democratic Republic of the Congo, Djibouti, Egypt, Equatorial Guinea, Eritrea, Ethiopia, Gabon, Gambia, Ghana, Guinea, Guinea-Bissau, Kenya, Lesotho, Liberia, Libya, Madagascar, Malawi, Mali, Mauritania, Morocco, Mozambique, Namibia, Niger, Nigeria, Rwanda, Sao Tome and Principe, Senegal, Seychelles, Sierra Leone, Somalia, South Africa, South Sudan, Sudan, Swaziland, Togo, Tunisia, Uganda, United Republic of Tanzania, Zambia, Zimbabwe</w:t>
            </w:r>
          </w:p>
        </w:tc>
      </w:tr>
      <w:tr w:rsidR="008903F7" w:rsidRPr="009F19BD" w14:paraId="617E0823" w14:textId="77777777" w:rsidTr="00B50CDC">
        <w:trPr>
          <w:trHeight w:val="273"/>
        </w:trPr>
        <w:tc>
          <w:tcPr>
            <w:tcW w:w="1583" w:type="dxa"/>
          </w:tcPr>
          <w:p w14:paraId="0EA63793"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Australia (AUS)</w:t>
            </w:r>
          </w:p>
        </w:tc>
        <w:tc>
          <w:tcPr>
            <w:tcW w:w="7206" w:type="dxa"/>
          </w:tcPr>
          <w:p w14:paraId="19AEC9BD"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Australia, New Zealand</w:t>
            </w:r>
          </w:p>
        </w:tc>
      </w:tr>
      <w:tr w:rsidR="008903F7" w:rsidRPr="009F19BD" w14:paraId="0443432D" w14:textId="77777777" w:rsidTr="00B50CDC">
        <w:tc>
          <w:tcPr>
            <w:tcW w:w="1583" w:type="dxa"/>
          </w:tcPr>
          <w:p w14:paraId="3B0B148F"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Canada (CAN)</w:t>
            </w:r>
          </w:p>
        </w:tc>
        <w:tc>
          <w:tcPr>
            <w:tcW w:w="7206" w:type="dxa"/>
          </w:tcPr>
          <w:p w14:paraId="332096BB"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Canada</w:t>
            </w:r>
          </w:p>
        </w:tc>
      </w:tr>
      <w:tr w:rsidR="008903F7" w:rsidRPr="009F19BD" w14:paraId="0C1F887D" w14:textId="77777777" w:rsidTr="00B50CDC">
        <w:tc>
          <w:tcPr>
            <w:tcW w:w="1583" w:type="dxa"/>
          </w:tcPr>
          <w:p w14:paraId="2374D484"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Central and South America (CSA)</w:t>
            </w:r>
          </w:p>
        </w:tc>
        <w:tc>
          <w:tcPr>
            <w:tcW w:w="7206" w:type="dxa"/>
          </w:tcPr>
          <w:p w14:paraId="54098426"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Anguilla, Antigua and Barbuda, Argentina, Aruba, Bahamas, Barbados, Belize, Bermuda, Bolivia, Brazil, Cayman Islands, Chile, Colombia, Costa Rica, Cuba, Dominica, Dominican Republic, Ecuador, El Salvador, Falkland Islands, Grenada, Guatemala, Guyana, Haiti, Honduras, Jamaica, Martinique, Netherlands Antilles, Nicaragua, Panama, Paraguay, Peru, Saint Kitts and Nevis, Saint Lucia, Saint Vincent and the Grenadines, Suriname, Trinidad and Tobago, Uruguay, Venezuela (Bolivarian Republic of)</w:t>
            </w:r>
          </w:p>
        </w:tc>
      </w:tr>
      <w:tr w:rsidR="008903F7" w:rsidRPr="009F19BD" w14:paraId="24AF99C0" w14:textId="77777777" w:rsidTr="00B50CDC">
        <w:tc>
          <w:tcPr>
            <w:tcW w:w="1583" w:type="dxa"/>
          </w:tcPr>
          <w:p w14:paraId="30C3DF5B"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lastRenderedPageBreak/>
              <w:t>China (CHI)</w:t>
            </w:r>
          </w:p>
        </w:tc>
        <w:tc>
          <w:tcPr>
            <w:tcW w:w="7206" w:type="dxa"/>
          </w:tcPr>
          <w:p w14:paraId="655C6585"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China, Taiwan, Tibet</w:t>
            </w:r>
          </w:p>
        </w:tc>
      </w:tr>
      <w:tr w:rsidR="008903F7" w:rsidRPr="009F19BD" w14:paraId="7AE62195" w14:textId="77777777" w:rsidTr="00B50CDC">
        <w:tc>
          <w:tcPr>
            <w:tcW w:w="1583" w:type="dxa"/>
          </w:tcPr>
          <w:p w14:paraId="7FAA2CF1"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Eastern Europe (EEU)</w:t>
            </w:r>
          </w:p>
        </w:tc>
        <w:tc>
          <w:tcPr>
            <w:tcW w:w="7206" w:type="dxa"/>
          </w:tcPr>
          <w:p w14:paraId="3E8B23B8"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Bosnia and Herzegovina, Bulgaria, Croatia, Czech Republic, Hungary, Montenegro, Poland, Romania, Serbia, Slovakia, Slovenia, The former Yugoslav Republic of Macedonia</w:t>
            </w:r>
          </w:p>
        </w:tc>
      </w:tr>
      <w:tr w:rsidR="008903F7" w:rsidRPr="009F19BD" w14:paraId="4976A015" w14:textId="77777777" w:rsidTr="00B50CDC">
        <w:tc>
          <w:tcPr>
            <w:tcW w:w="1583" w:type="dxa"/>
          </w:tcPr>
          <w:p w14:paraId="69A345DD"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Former Soviet Union (FSU)</w:t>
            </w:r>
          </w:p>
        </w:tc>
        <w:tc>
          <w:tcPr>
            <w:tcW w:w="7206" w:type="dxa"/>
          </w:tcPr>
          <w:p w14:paraId="37BC2F7D"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Armenia, Azerbaijan, Belarus, Estonia, Georgia, Kazakhstan, Kyrgyzstan, Latvia, Lithuania, Republic of Moldova, Russian Federation, Tajikistan, Turkmenistan, Ukraine, Uzbekistan</w:t>
            </w:r>
          </w:p>
        </w:tc>
      </w:tr>
      <w:tr w:rsidR="008903F7" w:rsidRPr="009F19BD" w14:paraId="3E325EC0" w14:textId="77777777" w:rsidTr="00B50CDC">
        <w:tc>
          <w:tcPr>
            <w:tcW w:w="1583" w:type="dxa"/>
          </w:tcPr>
          <w:p w14:paraId="66E81F04"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India (IND)</w:t>
            </w:r>
          </w:p>
        </w:tc>
        <w:tc>
          <w:tcPr>
            <w:tcW w:w="7206" w:type="dxa"/>
          </w:tcPr>
          <w:p w14:paraId="71FAD10A"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India</w:t>
            </w:r>
          </w:p>
        </w:tc>
      </w:tr>
      <w:tr w:rsidR="008903F7" w:rsidRPr="009F19BD" w14:paraId="30CE0F8D" w14:textId="77777777" w:rsidTr="00B50CDC">
        <w:tc>
          <w:tcPr>
            <w:tcW w:w="1583" w:type="dxa"/>
          </w:tcPr>
          <w:p w14:paraId="2D69B7CE"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Japan (JAP)</w:t>
            </w:r>
          </w:p>
        </w:tc>
        <w:tc>
          <w:tcPr>
            <w:tcW w:w="7206" w:type="dxa"/>
          </w:tcPr>
          <w:p w14:paraId="4BBD1B53"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Japan</w:t>
            </w:r>
          </w:p>
        </w:tc>
      </w:tr>
      <w:tr w:rsidR="008903F7" w:rsidRPr="009F19BD" w14:paraId="2F84AF17" w14:textId="77777777" w:rsidTr="00B50CDC">
        <w:tc>
          <w:tcPr>
            <w:tcW w:w="1583" w:type="dxa"/>
          </w:tcPr>
          <w:p w14:paraId="6C376A3D"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Mexico (MEX)</w:t>
            </w:r>
          </w:p>
        </w:tc>
        <w:tc>
          <w:tcPr>
            <w:tcW w:w="7206" w:type="dxa"/>
          </w:tcPr>
          <w:p w14:paraId="24F39415"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Mexico</w:t>
            </w:r>
          </w:p>
        </w:tc>
      </w:tr>
      <w:tr w:rsidR="008903F7" w:rsidRPr="009F19BD" w14:paraId="374D95CB" w14:textId="77777777" w:rsidTr="00B50CDC">
        <w:tc>
          <w:tcPr>
            <w:tcW w:w="1583" w:type="dxa"/>
          </w:tcPr>
          <w:p w14:paraId="103DC772" w14:textId="77777777" w:rsidR="008903F7" w:rsidRPr="009F19BD" w:rsidRDefault="008903F7" w:rsidP="00B50CDC">
            <w:pPr>
              <w:rPr>
                <w:rFonts w:ascii="Times New Roman" w:hAnsi="Times New Roman" w:cs="Times New Roman"/>
              </w:rPr>
            </w:pPr>
            <w:proofErr w:type="gramStart"/>
            <w:r w:rsidRPr="009F19BD">
              <w:rPr>
                <w:rFonts w:ascii="Times New Roman" w:hAnsi="Times New Roman" w:cs="Times New Roman"/>
              </w:rPr>
              <w:t>Middle-east</w:t>
            </w:r>
            <w:proofErr w:type="gramEnd"/>
            <w:r w:rsidRPr="009F19BD">
              <w:rPr>
                <w:rFonts w:ascii="Times New Roman" w:hAnsi="Times New Roman" w:cs="Times New Roman"/>
              </w:rPr>
              <w:t xml:space="preserve"> (MEA)</w:t>
            </w:r>
          </w:p>
        </w:tc>
        <w:tc>
          <w:tcPr>
            <w:tcW w:w="7206" w:type="dxa"/>
          </w:tcPr>
          <w:p w14:paraId="2D191BD5"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Bahrain, Brunei Darussalam, Cyprus, Iran (Islamic Republic of), Israel, Jordan, Kuwait, Lebanon, Occupied Palestinian Territory, Oman, Qatar, Saudi Arabia, Syrian Arab Republic, Turkey, United Arab Emirates, Yemen</w:t>
            </w:r>
          </w:p>
        </w:tc>
      </w:tr>
      <w:tr w:rsidR="008903F7" w:rsidRPr="009F19BD" w14:paraId="15E774F4" w14:textId="77777777" w:rsidTr="00B50CDC">
        <w:tc>
          <w:tcPr>
            <w:tcW w:w="1583" w:type="dxa"/>
          </w:tcPr>
          <w:p w14:paraId="3678574D"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Other Developing Asia (ODA)</w:t>
            </w:r>
          </w:p>
        </w:tc>
        <w:tc>
          <w:tcPr>
            <w:tcW w:w="7206" w:type="dxa"/>
          </w:tcPr>
          <w:p w14:paraId="41B9F48C"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Afghanistan, American Samoa, Bangladesh, Bhutan, Cambodia, Democratic People's Republic of Korea, Fiji, French Polynesia, Indonesia, Kiribati, Lao People's Democratic Republic, Malaysia, Maldives, Mauritius, Mongolia, Myanmar, Nepal, New Caledonia, Pakistan, Papua New Guinea, Philippines, Samoa, Singapore, Solomon Islands, Sri Lanka, Thailand, Timor-Leste, Tonga, Vanuatu, Vietnam</w:t>
            </w:r>
          </w:p>
        </w:tc>
      </w:tr>
      <w:tr w:rsidR="008903F7" w:rsidRPr="009F19BD" w14:paraId="549FC508" w14:textId="77777777" w:rsidTr="00B50CDC">
        <w:tc>
          <w:tcPr>
            <w:tcW w:w="1583" w:type="dxa"/>
          </w:tcPr>
          <w:p w14:paraId="6B7E832A"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South Korea (SKO)</w:t>
            </w:r>
          </w:p>
        </w:tc>
        <w:tc>
          <w:tcPr>
            <w:tcW w:w="7206" w:type="dxa"/>
          </w:tcPr>
          <w:p w14:paraId="6F7AC9E2"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Republic of Korea</w:t>
            </w:r>
          </w:p>
        </w:tc>
      </w:tr>
      <w:tr w:rsidR="008903F7" w:rsidRPr="009F19BD" w14:paraId="22037419" w14:textId="77777777" w:rsidTr="00B50CDC">
        <w:tc>
          <w:tcPr>
            <w:tcW w:w="1583" w:type="dxa"/>
          </w:tcPr>
          <w:p w14:paraId="1056AD55"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United Kingdom (UK)</w:t>
            </w:r>
          </w:p>
        </w:tc>
        <w:tc>
          <w:tcPr>
            <w:tcW w:w="7206" w:type="dxa"/>
          </w:tcPr>
          <w:p w14:paraId="68445F28"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United Kingdom</w:t>
            </w:r>
          </w:p>
        </w:tc>
      </w:tr>
      <w:tr w:rsidR="008903F7" w:rsidRPr="009F19BD" w14:paraId="234C9F72" w14:textId="77777777" w:rsidTr="00B50CDC">
        <w:tc>
          <w:tcPr>
            <w:tcW w:w="1583" w:type="dxa"/>
          </w:tcPr>
          <w:p w14:paraId="7989B281"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USA (USA)</w:t>
            </w:r>
          </w:p>
        </w:tc>
        <w:tc>
          <w:tcPr>
            <w:tcW w:w="7206" w:type="dxa"/>
          </w:tcPr>
          <w:p w14:paraId="3291ED62"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United States of America</w:t>
            </w:r>
          </w:p>
        </w:tc>
      </w:tr>
      <w:tr w:rsidR="008903F7" w:rsidRPr="009F19BD" w14:paraId="10CB27B3" w14:textId="77777777" w:rsidTr="00B50CDC">
        <w:tc>
          <w:tcPr>
            <w:tcW w:w="1583" w:type="dxa"/>
          </w:tcPr>
          <w:p w14:paraId="4D8D9FE5" w14:textId="77777777" w:rsidR="008903F7" w:rsidRPr="009F19BD" w:rsidRDefault="008903F7" w:rsidP="00B50CDC">
            <w:pPr>
              <w:rPr>
                <w:rFonts w:ascii="Times New Roman" w:hAnsi="Times New Roman" w:cs="Times New Roman"/>
              </w:rPr>
            </w:pPr>
            <w:r w:rsidRPr="009F19BD">
              <w:rPr>
                <w:rFonts w:ascii="Times New Roman" w:hAnsi="Times New Roman" w:cs="Times New Roman"/>
              </w:rPr>
              <w:t>Western Europe (WEU)</w:t>
            </w:r>
          </w:p>
        </w:tc>
        <w:tc>
          <w:tcPr>
            <w:tcW w:w="7206" w:type="dxa"/>
          </w:tcPr>
          <w:p w14:paraId="4D3BF8F8" w14:textId="77777777" w:rsidR="008903F7" w:rsidRPr="009F19BD" w:rsidRDefault="008903F7" w:rsidP="00B50CDC">
            <w:pPr>
              <w:pStyle w:val="EndnoteText"/>
              <w:keepNext/>
              <w:keepLines/>
              <w:rPr>
                <w:rFonts w:ascii="Times New Roman" w:hAnsi="Times New Roman" w:cs="Times New Roman"/>
                <w:color w:val="000000"/>
                <w:sz w:val="22"/>
                <w:szCs w:val="22"/>
              </w:rPr>
            </w:pPr>
            <w:r w:rsidRPr="009F19BD">
              <w:rPr>
                <w:rFonts w:ascii="Times New Roman" w:hAnsi="Times New Roman" w:cs="Times New Roman"/>
                <w:color w:val="000000"/>
                <w:sz w:val="22"/>
                <w:szCs w:val="22"/>
              </w:rPr>
              <w:t>Albania, Andorra, Austria, Belgium, Denmark, Faroe Islands, Finland, France, Germany, Gibraltar, Greece, Greenland, Iceland, Ireland, Italy, Luxembourg, Malta, Monaco, Netherlands, Norway, Portugal, San Marino, Spain, Sweden, Switzerland, Vatican</w:t>
            </w:r>
          </w:p>
        </w:tc>
      </w:tr>
    </w:tbl>
    <w:p w14:paraId="5CBEBD31" w14:textId="77777777" w:rsidR="008903F7" w:rsidRPr="009F19BD" w:rsidRDefault="008903F7" w:rsidP="008903F7">
      <w:pPr>
        <w:pStyle w:val="NoSpacing"/>
        <w:rPr>
          <w:rFonts w:ascii="Times New Roman" w:hAnsi="Times New Roman" w:cs="Times New Roman"/>
        </w:rPr>
      </w:pPr>
    </w:p>
    <w:p w14:paraId="1C6CDF5D" w14:textId="23FEA56B" w:rsidR="008903F7" w:rsidRPr="009F19BD" w:rsidRDefault="008903F7" w:rsidP="008903F7">
      <w:pPr>
        <w:rPr>
          <w:rFonts w:ascii="Times New Roman" w:hAnsi="Times New Roman" w:cs="Times New Roman"/>
        </w:rPr>
      </w:pPr>
      <w:r w:rsidRPr="009F19BD">
        <w:rPr>
          <w:rFonts w:ascii="Times New Roman" w:hAnsi="Times New Roman" w:cs="Times New Roman"/>
        </w:rPr>
        <w:br w:type="page"/>
      </w:r>
    </w:p>
    <w:p w14:paraId="32207101" w14:textId="72C7E890" w:rsidR="008903F7" w:rsidRPr="009F19BD" w:rsidRDefault="008903F7" w:rsidP="00377CFD">
      <w:pPr>
        <w:pStyle w:val="Heading3"/>
      </w:pPr>
      <w:r w:rsidRPr="009F19BD">
        <w:lastRenderedPageBreak/>
        <w:t xml:space="preserve">SI Section </w:t>
      </w:r>
      <w:r w:rsidR="00542755" w:rsidRPr="009F19BD">
        <w:t>4</w:t>
      </w:r>
      <w:r w:rsidRPr="009F19BD">
        <w:t>: Fossil fuel characterisation in TIAM-UCL</w:t>
      </w:r>
    </w:p>
    <w:p w14:paraId="4BF5DCB2" w14:textId="4B6446BA"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This section briefly discusses the </w:t>
      </w:r>
      <w:r w:rsidR="001309B9" w:rsidRPr="009F19BD">
        <w:rPr>
          <w:rFonts w:ascii="Times New Roman" w:hAnsi="Times New Roman" w:cs="Times New Roman"/>
        </w:rPr>
        <w:t xml:space="preserve">upstream </w:t>
      </w:r>
      <w:r w:rsidRPr="009F19BD">
        <w:rPr>
          <w:rFonts w:ascii="Times New Roman" w:hAnsi="Times New Roman" w:cs="Times New Roman"/>
        </w:rPr>
        <w:t>representation of fossil fuels in TIAM-UCL</w:t>
      </w:r>
      <w:r w:rsidR="001309B9" w:rsidRPr="009F19BD">
        <w:rPr>
          <w:rFonts w:ascii="Times New Roman" w:hAnsi="Times New Roman" w:cs="Times New Roman"/>
        </w:rPr>
        <w:t>. This includes the cost and availability of different categories of fossil fuels, and asymmetric constraints which constrain how quickly production can grow or decline.</w:t>
      </w:r>
    </w:p>
    <w:p w14:paraId="790264B2" w14:textId="77777777" w:rsidR="001309B9" w:rsidRPr="009F19BD" w:rsidRDefault="001309B9" w:rsidP="001309B9">
      <w:pPr>
        <w:pStyle w:val="Normalsingle"/>
        <w:rPr>
          <w:rFonts w:ascii="Times New Roman" w:hAnsi="Times New Roman"/>
          <w:sz w:val="22"/>
          <w:szCs w:val="22"/>
          <w:u w:val="single"/>
        </w:rPr>
      </w:pPr>
      <w:r w:rsidRPr="009F19BD">
        <w:rPr>
          <w:rFonts w:ascii="Times New Roman" w:hAnsi="Times New Roman"/>
          <w:sz w:val="22"/>
          <w:szCs w:val="22"/>
          <w:u w:val="single"/>
        </w:rPr>
        <w:t>Coal</w:t>
      </w:r>
    </w:p>
    <w:p w14:paraId="6BDDFF71" w14:textId="21E586CB" w:rsidR="001309B9" w:rsidRPr="009F19BD" w:rsidRDefault="001309B9" w:rsidP="001309B9">
      <w:pPr>
        <w:pStyle w:val="00DDPPNormal"/>
        <w:jc w:val="left"/>
        <w:rPr>
          <w:rFonts w:ascii="Times New Roman" w:hAnsi="Times New Roman" w:cs="Times New Roman"/>
          <w:sz w:val="22"/>
          <w:lang w:val="en-US"/>
        </w:rPr>
      </w:pPr>
      <w:r w:rsidRPr="009F19BD">
        <w:rPr>
          <w:rFonts w:ascii="Times New Roman" w:hAnsi="Times New Roman" w:cs="Times New Roman"/>
          <w:sz w:val="22"/>
          <w:lang w:val="en-US"/>
        </w:rPr>
        <w:t xml:space="preserve">Primary coal resources in TIAM-UCL are split into two categories, utilizing data collected by </w:t>
      </w:r>
      <w:proofErr w:type="spellStart"/>
      <w:r w:rsidRPr="009F19BD">
        <w:rPr>
          <w:rFonts w:ascii="Times New Roman" w:hAnsi="Times New Roman" w:cs="Times New Roman"/>
          <w:sz w:val="22"/>
          <w:lang w:val="en-US"/>
        </w:rPr>
        <w:t>Remme</w:t>
      </w:r>
      <w:proofErr w:type="spellEnd"/>
      <w:r w:rsidRPr="009F19BD">
        <w:rPr>
          <w:rFonts w:ascii="Times New Roman" w:hAnsi="Times New Roman" w:cs="Times New Roman"/>
          <w:sz w:val="22"/>
          <w:lang w:val="en-US"/>
        </w:rPr>
        <w:t xml:space="preserve"> et. al.</w:t>
      </w:r>
      <w:r w:rsidR="003B0DBA">
        <w:rPr>
          <w:rStyle w:val="FootnoteReference"/>
          <w:rFonts w:ascii="Times New Roman" w:hAnsi="Times New Roman" w:cs="Times New Roman"/>
          <w:sz w:val="22"/>
          <w:lang w:val="en-US"/>
        </w:rPr>
        <w:footnoteReference w:id="12"/>
      </w:r>
      <w:r w:rsidRPr="009F19BD">
        <w:rPr>
          <w:rFonts w:ascii="Times New Roman" w:hAnsi="Times New Roman" w:cs="Times New Roman"/>
          <w:sz w:val="22"/>
          <w:lang w:val="en-US"/>
        </w:rPr>
        <w:fldChar w:fldCharType="begin" w:fldLock="1"/>
      </w:r>
      <w:r w:rsidRPr="009F19BD">
        <w:rPr>
          <w:rFonts w:ascii="Times New Roman" w:hAnsi="Times New Roman" w:cs="Times New Roman"/>
          <w:sz w:val="22"/>
          <w:lang w:val="en-US"/>
        </w:rPr>
        <w:instrText>ADDIN CSL_CITATION {"citationItems":[{"id":"ITEM-1","itemData":{"author":[{"dropping-particle":"","family":"Remme","given":"Uwe","non-dropping-particle":"","parse-names":false,"suffix":""},{"dropping-particle":"","family":"Blesl","given":"Markus","non-dropping-particle":"","parse-names":false,"suffix":""},{"dropping-particle":"","family":"Fahl","given":"Ulrich","non-dropping-particle":"","parse-names":false,"suffix":""}],"id":"ITEM-1","issued":{"date-parts":[["2007"]]},"publisher-place":"IER Universitat Stuttgart","title":"Global resources and energy trade: An overview for coal, natural gas, oil and uranium","type":"report"},"uris":["http://www.mendeley.com/documents/?uuid=f92fef48-af92-40ad-ad66-7ad3dc0e2011"]}],"mendeley":{"formattedCitation":"&lt;sup&gt;33&lt;/sup&gt;","plainTextFormattedCitation":"33","previouslyFormattedCitation":"&lt;sup&gt;33&lt;/sup&gt;"},"properties":{"noteIndex":0},"schema":"https://github.com/citation-style-language/schema/raw/master/csl-citation.json"}</w:instrText>
      </w:r>
      <w:r w:rsidR="00A872DB">
        <w:rPr>
          <w:rFonts w:ascii="Times New Roman" w:hAnsi="Times New Roman" w:cs="Times New Roman"/>
          <w:sz w:val="22"/>
          <w:lang w:val="en-US"/>
        </w:rPr>
        <w:fldChar w:fldCharType="separate"/>
      </w:r>
      <w:r w:rsidRPr="009F19BD">
        <w:rPr>
          <w:rFonts w:ascii="Times New Roman" w:hAnsi="Times New Roman" w:cs="Times New Roman"/>
          <w:sz w:val="22"/>
          <w:lang w:val="en-US"/>
        </w:rPr>
        <w:fldChar w:fldCharType="end"/>
      </w:r>
      <w:r w:rsidRPr="009F19BD">
        <w:rPr>
          <w:rFonts w:ascii="Times New Roman" w:hAnsi="Times New Roman" w:cs="Times New Roman"/>
          <w:sz w:val="22"/>
          <w:lang w:val="en-US"/>
        </w:rPr>
        <w:t xml:space="preserve"> - </w:t>
      </w:r>
    </w:p>
    <w:p w14:paraId="3E9D78C7" w14:textId="77777777" w:rsidR="001309B9" w:rsidRPr="009F19BD" w:rsidRDefault="001309B9" w:rsidP="0A113E58">
      <w:pPr>
        <w:pStyle w:val="00DDPPNormal"/>
        <w:numPr>
          <w:ilvl w:val="0"/>
          <w:numId w:val="9"/>
        </w:numPr>
        <w:jc w:val="left"/>
        <w:rPr>
          <w:rFonts w:ascii="Times New Roman" w:hAnsi="Times New Roman" w:cs="Times New Roman"/>
          <w:sz w:val="22"/>
          <w:lang w:val="en-US"/>
        </w:rPr>
      </w:pPr>
      <w:r w:rsidRPr="009F19BD">
        <w:rPr>
          <w:rFonts w:ascii="Times New Roman" w:hAnsi="Times New Roman" w:cs="Times New Roman"/>
          <w:sz w:val="22"/>
          <w:lang w:val="en-US"/>
        </w:rPr>
        <w:t>Brown coal (lignite): lower energy content, with average heating value ranging from 5.57-17 MJ/kg</w:t>
      </w:r>
    </w:p>
    <w:p w14:paraId="3A2F4555" w14:textId="77777777" w:rsidR="001309B9" w:rsidRPr="009F19BD" w:rsidRDefault="001309B9" w:rsidP="0A113E58">
      <w:pPr>
        <w:pStyle w:val="00DDPPNormal"/>
        <w:numPr>
          <w:ilvl w:val="0"/>
          <w:numId w:val="9"/>
        </w:numPr>
        <w:jc w:val="left"/>
        <w:rPr>
          <w:rFonts w:ascii="Times New Roman" w:hAnsi="Times New Roman" w:cs="Times New Roman"/>
          <w:sz w:val="22"/>
          <w:lang w:val="en-US"/>
        </w:rPr>
      </w:pPr>
      <w:r w:rsidRPr="009F19BD">
        <w:rPr>
          <w:rFonts w:ascii="Times New Roman" w:hAnsi="Times New Roman" w:cs="Times New Roman"/>
          <w:sz w:val="22"/>
          <w:lang w:val="en-US"/>
        </w:rPr>
        <w:t>Hard coal (sub-bituminous, bituminous and anthracite): higher energy content, with average heating value ranging from 17.58-27.55 MJ/kg</w:t>
      </w:r>
    </w:p>
    <w:p w14:paraId="42839BF4" w14:textId="77777777" w:rsidR="001309B9" w:rsidRPr="009F19BD" w:rsidRDefault="001309B9" w:rsidP="001309B9">
      <w:pPr>
        <w:pStyle w:val="NoSpacing"/>
        <w:rPr>
          <w:rFonts w:ascii="Times New Roman" w:hAnsi="Times New Roman" w:cs="Times New Roman"/>
        </w:rPr>
      </w:pPr>
    </w:p>
    <w:p w14:paraId="4E02C3D2" w14:textId="77777777" w:rsidR="001309B9" w:rsidRPr="009F19BD" w:rsidRDefault="001309B9" w:rsidP="001309B9">
      <w:pPr>
        <w:pStyle w:val="NoSpacing"/>
        <w:rPr>
          <w:rFonts w:ascii="Times New Roman" w:hAnsi="Times New Roman" w:cs="Times New Roman"/>
        </w:rPr>
      </w:pPr>
      <w:r w:rsidRPr="009F19BD">
        <w:rPr>
          <w:rFonts w:ascii="Times New Roman" w:hAnsi="Times New Roman" w:cs="Times New Roman"/>
        </w:rPr>
        <w:t xml:space="preserve">As with oil and fossil methane gas, the extraction technologies for coal split the resource base into cost tranches, </w:t>
      </w:r>
      <w:proofErr w:type="gramStart"/>
      <w:r w:rsidRPr="009F19BD">
        <w:rPr>
          <w:rFonts w:ascii="Times New Roman" w:hAnsi="Times New Roman" w:cs="Times New Roman"/>
        </w:rPr>
        <w:t>in order to</w:t>
      </w:r>
      <w:proofErr w:type="gramEnd"/>
      <w:r w:rsidRPr="009F19BD">
        <w:rPr>
          <w:rFonts w:ascii="Times New Roman" w:hAnsi="Times New Roman" w:cs="Times New Roman"/>
        </w:rPr>
        <w:t xml:space="preserve"> reflect (albeit simplistically), cost depletion dynamics. In short, as the more accessible and higher quality resources are depleted, the model must move to more expensive extraction of (potentially) harder to exploit resources. Coal is split into hard coal and brown coal, with the representative mining technologies for both categories split into three cost categories. The distribution of resources/reserves assigned to each cost category varies by </w:t>
      </w:r>
      <w:proofErr w:type="gramStart"/>
      <w:r w:rsidRPr="009F19BD">
        <w:rPr>
          <w:rFonts w:ascii="Times New Roman" w:hAnsi="Times New Roman" w:cs="Times New Roman"/>
        </w:rPr>
        <w:t>region, and</w:t>
      </w:r>
      <w:proofErr w:type="gramEnd"/>
      <w:r w:rsidRPr="009F19BD">
        <w:rPr>
          <w:rFonts w:ascii="Times New Roman" w:hAnsi="Times New Roman" w:cs="Times New Roman"/>
        </w:rPr>
        <w:t xml:space="preserve"> is influenced by the proportion of the total resource base which can be considered reserves, with the remainder of resources split between the middle and highest cost categories.  </w:t>
      </w:r>
    </w:p>
    <w:p w14:paraId="5B1F2382" w14:textId="77777777" w:rsidR="001309B9" w:rsidRPr="009F19BD" w:rsidRDefault="001309B9" w:rsidP="001309B9">
      <w:pPr>
        <w:pStyle w:val="NoSpacing"/>
        <w:rPr>
          <w:rFonts w:ascii="Times New Roman" w:hAnsi="Times New Roman" w:cs="Times New Roman"/>
          <w:sz w:val="20"/>
          <w:szCs w:val="20"/>
          <w:lang w:val="en-US"/>
        </w:rPr>
      </w:pPr>
    </w:p>
    <w:p w14:paraId="54A2125C" w14:textId="67FD205A" w:rsidR="007B3C2E" w:rsidRDefault="001309B9" w:rsidP="001309B9">
      <w:pPr>
        <w:pStyle w:val="NoSpacing"/>
        <w:rPr>
          <w:rFonts w:ascii="Times New Roman" w:hAnsi="Times New Roman" w:cs="Times New Roman"/>
          <w:lang w:val="en-US"/>
        </w:rPr>
      </w:pPr>
      <w:bookmarkStart w:id="10" w:name="_Hlk83283690"/>
      <w:r w:rsidRPr="009F19BD">
        <w:rPr>
          <w:rFonts w:ascii="Times New Roman" w:hAnsi="Times New Roman" w:cs="Times New Roman"/>
          <w:lang w:val="en-US"/>
        </w:rPr>
        <w:t>Supplementary Figure</w:t>
      </w:r>
      <w:r w:rsidR="007B3C2E">
        <w:rPr>
          <w:rFonts w:ascii="Times New Roman" w:hAnsi="Times New Roman" w:cs="Times New Roman"/>
          <w:lang w:val="en-US"/>
        </w:rPr>
        <w:t xml:space="preserve"> </w:t>
      </w:r>
      <w:bookmarkEnd w:id="10"/>
      <w:r w:rsidR="0028121F">
        <w:rPr>
          <w:rFonts w:ascii="Times New Roman" w:hAnsi="Times New Roman" w:cs="Times New Roman"/>
          <w:lang w:val="en-US"/>
        </w:rPr>
        <w:t>4</w:t>
      </w:r>
      <w:r w:rsidRPr="009F19BD">
        <w:rPr>
          <w:rFonts w:ascii="Times New Roman" w:hAnsi="Times New Roman" w:cs="Times New Roman"/>
          <w:lang w:val="en-US"/>
        </w:rPr>
        <w:t xml:space="preserve"> shows a cost depletion curve for global coal resources, and the corresponding global supply cost curve constructed from the cost depletion curve. Additionally, Supplementary Figure</w:t>
      </w:r>
      <w:r w:rsidR="007B3C2E">
        <w:rPr>
          <w:rFonts w:ascii="Times New Roman" w:hAnsi="Times New Roman" w:cs="Times New Roman"/>
          <w:lang w:val="en-US"/>
        </w:rPr>
        <w:t xml:space="preserve"> </w:t>
      </w:r>
      <w:r w:rsidR="0028121F">
        <w:rPr>
          <w:rFonts w:ascii="Times New Roman" w:hAnsi="Times New Roman" w:cs="Times New Roman"/>
          <w:lang w:val="en-US"/>
        </w:rPr>
        <w:t>5</w:t>
      </w:r>
      <w:r w:rsidRPr="009F19BD">
        <w:rPr>
          <w:rFonts w:ascii="Times New Roman" w:hAnsi="Times New Roman" w:cs="Times New Roman"/>
          <w:lang w:val="en-US"/>
        </w:rPr>
        <w:t xml:space="preserve"> shows a global supply cost curve broken down into the regions of TIAM-UCL.</w:t>
      </w:r>
      <w:r w:rsidR="007B3C2E">
        <w:rPr>
          <w:rFonts w:ascii="Times New Roman" w:hAnsi="Times New Roman" w:cs="Times New Roman"/>
          <w:lang w:val="en-US"/>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6816"/>
      </w:tblGrid>
      <w:tr w:rsidR="001309B9" w:rsidRPr="009F19BD" w14:paraId="3AE1AA93" w14:textId="77777777" w:rsidTr="001309B9">
        <w:tc>
          <w:tcPr>
            <w:tcW w:w="421" w:type="dxa"/>
          </w:tcPr>
          <w:p w14:paraId="70C25209" w14:textId="77777777" w:rsidR="001309B9" w:rsidRPr="009F19BD" w:rsidRDefault="001309B9" w:rsidP="00B50CDC">
            <w:pPr>
              <w:pStyle w:val="00DDPPNormal"/>
              <w:jc w:val="left"/>
              <w:rPr>
                <w:rFonts w:ascii="Times New Roman" w:hAnsi="Times New Roman" w:cs="Times New Roman"/>
                <w:sz w:val="22"/>
                <w:lang w:val="en-US"/>
              </w:rPr>
            </w:pPr>
            <w:r w:rsidRPr="009F19BD">
              <w:rPr>
                <w:rFonts w:ascii="Times New Roman" w:hAnsi="Times New Roman" w:cs="Times New Roman"/>
                <w:sz w:val="22"/>
                <w:lang w:val="en-US"/>
              </w:rPr>
              <w:lastRenderedPageBreak/>
              <w:t>a)</w:t>
            </w:r>
          </w:p>
        </w:tc>
        <w:tc>
          <w:tcPr>
            <w:tcW w:w="6816" w:type="dxa"/>
          </w:tcPr>
          <w:p w14:paraId="69D210F6" w14:textId="77777777" w:rsidR="001309B9" w:rsidRPr="009F19BD" w:rsidRDefault="001309B9" w:rsidP="00B50CDC">
            <w:pPr>
              <w:pStyle w:val="00DDPPNormal"/>
              <w:jc w:val="left"/>
              <w:rPr>
                <w:rFonts w:ascii="Times New Roman" w:hAnsi="Times New Roman" w:cs="Times New Roman"/>
                <w:sz w:val="22"/>
                <w:lang w:val="en-US"/>
              </w:rPr>
            </w:pPr>
            <w:r w:rsidRPr="009F19BD">
              <w:rPr>
                <w:rFonts w:ascii="Times New Roman" w:hAnsi="Times New Roman" w:cs="Times New Roman"/>
                <w:noProof/>
                <w:lang w:eastAsia="en-GB"/>
              </w:rPr>
              <w:drawing>
                <wp:inline distT="0" distB="0" distL="0" distR="0" wp14:anchorId="573AD7A4" wp14:editId="076F8FD7">
                  <wp:extent cx="4183881" cy="2390140"/>
                  <wp:effectExtent l="0" t="0" r="7620" b="0"/>
                  <wp:docPr id="21" name="Picture 2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line chart&#10;&#10;Description automatically generated"/>
                          <pic:cNvPicPr/>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4211148" cy="2405717"/>
                          </a:xfrm>
                          <a:prstGeom prst="rect">
                            <a:avLst/>
                          </a:prstGeom>
                          <a:ln>
                            <a:noFill/>
                          </a:ln>
                          <a:extLst>
                            <a:ext uri="{53640926-AAD7-44D8-BBD7-CCE9431645EC}">
                              <a14:shadowObscured xmlns:a14="http://schemas.microsoft.com/office/drawing/2010/main"/>
                            </a:ext>
                          </a:extLst>
                        </pic:spPr>
                      </pic:pic>
                    </a:graphicData>
                  </a:graphic>
                </wp:inline>
              </w:drawing>
            </w:r>
          </w:p>
        </w:tc>
      </w:tr>
      <w:tr w:rsidR="001309B9" w:rsidRPr="009F19BD" w14:paraId="2F99276B" w14:textId="77777777" w:rsidTr="001309B9">
        <w:tc>
          <w:tcPr>
            <w:tcW w:w="421" w:type="dxa"/>
          </w:tcPr>
          <w:p w14:paraId="7E5990E1" w14:textId="77777777" w:rsidR="001309B9" w:rsidRPr="009F19BD" w:rsidRDefault="001309B9" w:rsidP="00B50CDC">
            <w:pPr>
              <w:pStyle w:val="00DDPPNormal"/>
              <w:jc w:val="left"/>
              <w:rPr>
                <w:rFonts w:ascii="Times New Roman" w:hAnsi="Times New Roman" w:cs="Times New Roman"/>
                <w:sz w:val="22"/>
                <w:lang w:val="en-US"/>
              </w:rPr>
            </w:pPr>
            <w:r w:rsidRPr="009F19BD">
              <w:rPr>
                <w:rFonts w:ascii="Times New Roman" w:hAnsi="Times New Roman" w:cs="Times New Roman"/>
                <w:sz w:val="22"/>
                <w:lang w:val="en-US"/>
              </w:rPr>
              <w:t>b)</w:t>
            </w:r>
          </w:p>
        </w:tc>
        <w:tc>
          <w:tcPr>
            <w:tcW w:w="6816" w:type="dxa"/>
          </w:tcPr>
          <w:p w14:paraId="4D1812E1" w14:textId="77777777" w:rsidR="001309B9" w:rsidRPr="009F19BD" w:rsidRDefault="001309B9" w:rsidP="00B50CDC">
            <w:pPr>
              <w:pStyle w:val="00DDPPNormal"/>
              <w:jc w:val="left"/>
              <w:rPr>
                <w:rFonts w:ascii="Times New Roman" w:hAnsi="Times New Roman" w:cs="Times New Roman"/>
                <w:sz w:val="22"/>
                <w:lang w:val="en-US"/>
              </w:rPr>
            </w:pPr>
            <w:r w:rsidRPr="009F19BD">
              <w:rPr>
                <w:rFonts w:ascii="Times New Roman" w:hAnsi="Times New Roman" w:cs="Times New Roman"/>
                <w:noProof/>
                <w:lang w:eastAsia="en-GB"/>
              </w:rPr>
              <w:drawing>
                <wp:inline distT="0" distB="0" distL="0" distR="0" wp14:anchorId="5DEDD5BD" wp14:editId="082D9B11">
                  <wp:extent cx="4162425" cy="2445487"/>
                  <wp:effectExtent l="0" t="0" r="0" b="0"/>
                  <wp:docPr id="19" name="Picture 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line chart&#10;&#10;Description automatically generated"/>
                          <pic:cNvPicPr/>
                        </pic:nvPicPr>
                        <pic:blipFill rotWithShape="1">
                          <a:blip r:embed="rId21" cstate="print">
                            <a:extLst>
                              <a:ext uri="{28A0092B-C50C-407E-A947-70E740481C1C}">
                                <a14:useLocalDpi xmlns:a14="http://schemas.microsoft.com/office/drawing/2010/main" val="0"/>
                              </a:ext>
                            </a:extLst>
                          </a:blip>
                          <a:srcRect/>
                          <a:stretch/>
                        </pic:blipFill>
                        <pic:spPr bwMode="auto">
                          <a:xfrm>
                            <a:off x="0" y="0"/>
                            <a:ext cx="4184252" cy="2458311"/>
                          </a:xfrm>
                          <a:prstGeom prst="rect">
                            <a:avLst/>
                          </a:prstGeom>
                          <a:ln>
                            <a:noFill/>
                          </a:ln>
                          <a:extLst>
                            <a:ext uri="{53640926-AAD7-44D8-BBD7-CCE9431645EC}">
                              <a14:shadowObscured xmlns:a14="http://schemas.microsoft.com/office/drawing/2010/main"/>
                            </a:ext>
                          </a:extLst>
                        </pic:spPr>
                      </pic:pic>
                    </a:graphicData>
                  </a:graphic>
                </wp:inline>
              </w:drawing>
            </w:r>
          </w:p>
        </w:tc>
      </w:tr>
    </w:tbl>
    <w:p w14:paraId="15CBE588" w14:textId="44C32133" w:rsidR="001309B9" w:rsidRPr="007B3C2E" w:rsidRDefault="001309B9" w:rsidP="007B3C2E">
      <w:pPr>
        <w:pStyle w:val="Caption"/>
        <w:rPr>
          <w:rFonts w:ascii="Times New Roman" w:hAnsi="Times New Roman" w:cs="Times New Roman"/>
          <w:i w:val="0"/>
          <w:iCs w:val="0"/>
          <w:sz w:val="22"/>
          <w:szCs w:val="22"/>
          <w:lang w:val="en-US"/>
        </w:rPr>
      </w:pPr>
      <w:r w:rsidRPr="007B3C2E">
        <w:rPr>
          <w:rFonts w:ascii="Times New Roman" w:hAnsi="Times New Roman" w:cs="Times New Roman"/>
          <w:i w:val="0"/>
          <w:iCs w:val="0"/>
          <w:sz w:val="22"/>
          <w:szCs w:val="22"/>
          <w:lang w:val="en-US"/>
        </w:rPr>
        <w:t xml:space="preserve">Supplementary Figure </w:t>
      </w:r>
      <w:r w:rsidR="0028121F">
        <w:rPr>
          <w:rFonts w:ascii="Times New Roman" w:hAnsi="Times New Roman" w:cs="Times New Roman"/>
          <w:i w:val="0"/>
          <w:iCs w:val="0"/>
          <w:sz w:val="22"/>
          <w:szCs w:val="22"/>
          <w:lang w:val="en-US"/>
        </w:rPr>
        <w:t>4</w:t>
      </w:r>
      <w:r w:rsidRPr="007B3C2E">
        <w:rPr>
          <w:rFonts w:ascii="Times New Roman" w:hAnsi="Times New Roman" w:cs="Times New Roman"/>
          <w:i w:val="0"/>
          <w:iCs w:val="0"/>
          <w:sz w:val="22"/>
          <w:szCs w:val="22"/>
          <w:lang w:val="en-US"/>
        </w:rPr>
        <w:t xml:space="preserve">. a) Cost depletion curve derived from TIAM-UCL resources and costs for global coal; b) supply cost curve derived from the cost depletion curve. </w:t>
      </w:r>
      <w:r w:rsidRPr="007B3C2E">
        <w:rPr>
          <w:rFonts w:ascii="Times New Roman" w:hAnsi="Times New Roman" w:cs="Times New Roman"/>
          <w:b w:val="0"/>
          <w:i w:val="0"/>
          <w:iCs w:val="0"/>
          <w:sz w:val="22"/>
          <w:szCs w:val="22"/>
          <w:lang w:val="en-US"/>
        </w:rPr>
        <w:t>Source data are provided as a Source Data file.</w:t>
      </w:r>
    </w:p>
    <w:p w14:paraId="4A314AD4" w14:textId="77777777" w:rsidR="001309B9" w:rsidRPr="009F19BD" w:rsidRDefault="001309B9" w:rsidP="001309B9">
      <w:pPr>
        <w:pStyle w:val="00DDPPNormal"/>
        <w:rPr>
          <w:rFonts w:ascii="Times New Roman" w:hAnsi="Times New Roman" w:cs="Times New Roman"/>
          <w:lang w:val="en-US"/>
        </w:rPr>
      </w:pPr>
      <w:r w:rsidRPr="009F19BD">
        <w:rPr>
          <w:rFonts w:ascii="Times New Roman" w:hAnsi="Times New Roman" w:cs="Times New Roman"/>
          <w:noProof/>
        </w:rPr>
        <w:drawing>
          <wp:inline distT="0" distB="0" distL="0" distR="0" wp14:anchorId="58A281C3" wp14:editId="6D590495">
            <wp:extent cx="5731510" cy="2985135"/>
            <wp:effectExtent l="0" t="0" r="2540" b="5715"/>
            <wp:docPr id="20" name="Picture 2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22">
                      <a:extLst>
                        <a:ext uri="{28A0092B-C50C-407E-A947-70E740481C1C}">
                          <a14:useLocalDpi xmlns:a14="http://schemas.microsoft.com/office/drawing/2010/main" val="0"/>
                        </a:ext>
                      </a:extLst>
                    </a:blip>
                    <a:stretch>
                      <a:fillRect/>
                    </a:stretch>
                  </pic:blipFill>
                  <pic:spPr>
                    <a:xfrm>
                      <a:off x="0" y="0"/>
                      <a:ext cx="5731510" cy="2985135"/>
                    </a:xfrm>
                    <a:prstGeom prst="rect">
                      <a:avLst/>
                    </a:prstGeom>
                  </pic:spPr>
                </pic:pic>
              </a:graphicData>
            </a:graphic>
          </wp:inline>
        </w:drawing>
      </w:r>
    </w:p>
    <w:p w14:paraId="6010783C" w14:textId="2509B6E5" w:rsidR="001309B9" w:rsidRPr="007B3C2E" w:rsidRDefault="001309B9" w:rsidP="001309B9">
      <w:pPr>
        <w:pStyle w:val="Caption"/>
        <w:rPr>
          <w:rFonts w:ascii="Times New Roman" w:hAnsi="Times New Roman" w:cs="Times New Roman"/>
          <w:b w:val="0"/>
          <w:i w:val="0"/>
          <w:iCs w:val="0"/>
          <w:sz w:val="22"/>
          <w:szCs w:val="22"/>
        </w:rPr>
      </w:pPr>
      <w:r w:rsidRPr="007B3C2E">
        <w:rPr>
          <w:rFonts w:ascii="Times New Roman" w:hAnsi="Times New Roman" w:cs="Times New Roman"/>
          <w:i w:val="0"/>
          <w:iCs w:val="0"/>
          <w:sz w:val="22"/>
          <w:szCs w:val="22"/>
          <w:lang w:val="en-US"/>
        </w:rPr>
        <w:t>Supplementary Figure</w:t>
      </w:r>
      <w:r w:rsidR="007B3C2E" w:rsidRPr="007B3C2E">
        <w:rPr>
          <w:rFonts w:ascii="Times New Roman" w:hAnsi="Times New Roman" w:cs="Times New Roman"/>
          <w:i w:val="0"/>
          <w:iCs w:val="0"/>
          <w:sz w:val="22"/>
          <w:szCs w:val="22"/>
          <w:lang w:val="en-US"/>
        </w:rPr>
        <w:t xml:space="preserve"> </w:t>
      </w:r>
      <w:r w:rsidR="0028121F">
        <w:rPr>
          <w:rFonts w:ascii="Times New Roman" w:hAnsi="Times New Roman" w:cs="Times New Roman"/>
          <w:i w:val="0"/>
          <w:iCs w:val="0"/>
          <w:sz w:val="22"/>
          <w:szCs w:val="22"/>
          <w:lang w:val="en-US"/>
        </w:rPr>
        <w:t>5</w:t>
      </w:r>
      <w:r w:rsidRPr="007B3C2E">
        <w:rPr>
          <w:rFonts w:ascii="Times New Roman" w:hAnsi="Times New Roman" w:cs="Times New Roman"/>
          <w:i w:val="0"/>
          <w:iCs w:val="0"/>
          <w:sz w:val="22"/>
          <w:szCs w:val="22"/>
          <w:lang w:val="en-US"/>
        </w:rPr>
        <w:t>.</w:t>
      </w:r>
      <w:r w:rsidRPr="007B3C2E">
        <w:rPr>
          <w:rFonts w:ascii="Times New Roman" w:hAnsi="Times New Roman" w:cs="Times New Roman"/>
          <w:i w:val="0"/>
          <w:iCs w:val="0"/>
          <w:sz w:val="22"/>
          <w:szCs w:val="22"/>
        </w:rPr>
        <w:t xml:space="preserve"> Global supply cost curve for coal disaggregated into TIAM-UCL regions. </w:t>
      </w:r>
      <w:r w:rsidRPr="007B3C2E">
        <w:rPr>
          <w:rFonts w:ascii="Times New Roman" w:hAnsi="Times New Roman" w:cs="Times New Roman"/>
          <w:b w:val="0"/>
          <w:i w:val="0"/>
          <w:iCs w:val="0"/>
          <w:sz w:val="22"/>
          <w:szCs w:val="22"/>
        </w:rPr>
        <w:t>Source data are provided as a Source Data file.</w:t>
      </w:r>
    </w:p>
    <w:p w14:paraId="72E1921A" w14:textId="77777777" w:rsidR="001309B9" w:rsidRPr="009F19BD" w:rsidRDefault="001309B9" w:rsidP="001309B9">
      <w:pPr>
        <w:pStyle w:val="Normalsingle"/>
        <w:rPr>
          <w:rFonts w:ascii="Times New Roman" w:hAnsi="Times New Roman"/>
          <w:sz w:val="20"/>
          <w:szCs w:val="20"/>
          <w:u w:val="single"/>
        </w:rPr>
      </w:pPr>
      <w:bookmarkStart w:id="11" w:name="_Toc34831247"/>
    </w:p>
    <w:bookmarkEnd w:id="11"/>
    <w:p w14:paraId="52AED665" w14:textId="77777777" w:rsidR="001309B9" w:rsidRPr="009F19BD" w:rsidRDefault="001309B9" w:rsidP="001309B9">
      <w:pPr>
        <w:pStyle w:val="Normalsingle"/>
        <w:rPr>
          <w:rFonts w:ascii="Times New Roman" w:hAnsi="Times New Roman"/>
          <w:sz w:val="22"/>
          <w:szCs w:val="22"/>
          <w:u w:val="single"/>
        </w:rPr>
      </w:pPr>
      <w:r w:rsidRPr="009F19BD">
        <w:rPr>
          <w:rFonts w:ascii="Times New Roman" w:hAnsi="Times New Roman"/>
          <w:sz w:val="22"/>
          <w:szCs w:val="22"/>
          <w:u w:val="single"/>
        </w:rPr>
        <w:t>Fossil methane gas</w:t>
      </w:r>
    </w:p>
    <w:p w14:paraId="1863D0B6" w14:textId="77777777" w:rsidR="001309B9" w:rsidRPr="009F19BD" w:rsidRDefault="001309B9" w:rsidP="001309B9">
      <w:pPr>
        <w:rPr>
          <w:rFonts w:ascii="Times New Roman" w:hAnsi="Times New Roman" w:cs="Times New Roman"/>
        </w:rPr>
      </w:pPr>
      <w:r w:rsidRPr="009F19BD">
        <w:rPr>
          <w:rFonts w:ascii="Times New Roman" w:hAnsi="Times New Roman" w:cs="Times New Roman"/>
        </w:rPr>
        <w:t>The underlying availability and cost of fossil methane gas in TIAM-UCL is disaggregated into the following geological categories:</w:t>
      </w:r>
    </w:p>
    <w:p w14:paraId="484A9ECC"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Non-associated conventional gas proved reserves</w:t>
      </w:r>
    </w:p>
    <w:p w14:paraId="71BAD94A"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 xml:space="preserve">Non-associated conventional gas reserve additions </w:t>
      </w:r>
    </w:p>
    <w:p w14:paraId="282EDC47"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Non-associated conventional gas new discoveries</w:t>
      </w:r>
    </w:p>
    <w:p w14:paraId="28C554F4"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Associated fossil methane gas</w:t>
      </w:r>
    </w:p>
    <w:p w14:paraId="3558E138"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Arctic conventional fossil methane gas resources</w:t>
      </w:r>
    </w:p>
    <w:p w14:paraId="2DC4ED3F"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Shale gas</w:t>
      </w:r>
    </w:p>
    <w:p w14:paraId="76CE63CC"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Coal bed methane</w:t>
      </w:r>
    </w:p>
    <w:p w14:paraId="66D7881C" w14:textId="77777777" w:rsidR="001309B9" w:rsidRPr="009F19BD" w:rsidRDefault="001309B9" w:rsidP="0A113E58">
      <w:pPr>
        <w:pStyle w:val="ListParagraph"/>
        <w:numPr>
          <w:ilvl w:val="0"/>
          <w:numId w:val="11"/>
        </w:numPr>
        <w:spacing w:after="0" w:line="240" w:lineRule="auto"/>
        <w:rPr>
          <w:rFonts w:ascii="Times New Roman" w:hAnsi="Times New Roman" w:cs="Times New Roman"/>
        </w:rPr>
      </w:pPr>
      <w:r w:rsidRPr="009F19BD">
        <w:rPr>
          <w:rFonts w:ascii="Times New Roman" w:hAnsi="Times New Roman" w:cs="Times New Roman"/>
        </w:rPr>
        <w:t xml:space="preserve">Tight fossil methane gas </w:t>
      </w:r>
    </w:p>
    <w:p w14:paraId="758D95E0" w14:textId="77777777" w:rsidR="001309B9" w:rsidRPr="009F19BD" w:rsidRDefault="001309B9" w:rsidP="001309B9">
      <w:pPr>
        <w:pStyle w:val="NoSpacing"/>
        <w:rPr>
          <w:rFonts w:ascii="Times New Roman" w:hAnsi="Times New Roman" w:cs="Times New Roman"/>
        </w:rPr>
      </w:pPr>
    </w:p>
    <w:p w14:paraId="53BBAE4E" w14:textId="2C860EC8" w:rsidR="001309B9" w:rsidRPr="009F19BD" w:rsidRDefault="001309B9" w:rsidP="001309B9">
      <w:pPr>
        <w:pStyle w:val="NoSpacing"/>
        <w:rPr>
          <w:rFonts w:ascii="Times New Roman" w:hAnsi="Times New Roman" w:cs="Times New Roman"/>
        </w:rPr>
      </w:pPr>
      <w:r w:rsidRPr="009F19BD">
        <w:rPr>
          <w:rFonts w:ascii="Times New Roman" w:hAnsi="Times New Roman" w:cs="Times New Roman"/>
        </w:rPr>
        <w:t>As with oil, the disaggregation of fossil methane gas in TIAM-UCL is based on McGlade</w:t>
      </w:r>
      <w:r w:rsidR="003B0DBA">
        <w:rPr>
          <w:rStyle w:val="FootnoteReference"/>
          <w:rFonts w:ascii="Times New Roman" w:hAnsi="Times New Roman" w:cs="Times New Roman"/>
        </w:rPr>
        <w:footnoteReference w:id="13"/>
      </w:r>
      <w:r w:rsidRPr="009F19BD">
        <w:rPr>
          <w:rFonts w:ascii="Times New Roman" w:hAnsi="Times New Roman" w:cs="Times New Roman"/>
        </w:rPr>
        <w:fldChar w:fldCharType="begin" w:fldLock="1"/>
      </w:r>
      <w:r w:rsidRPr="009F19BD">
        <w:rPr>
          <w:rFonts w:ascii="Times New Roman" w:hAnsi="Times New Roman" w:cs="Times New Roman"/>
        </w:rPr>
        <w:instrText>ADDIN CSL_CITATION {"citationItems":[{"id":"ITEM-1","itemData":{"abstract":"Oil and gas will play a central role in the global energy system for the foreseeable future. However, uncertainty surrounds both the availability of and demand for these fuels, and as a result, there are quite disparate viewpoints on the magnitude of this role. The aim of this thesis is to identify, understand, quantify and, where possible, minimise the sources of this uncertainty, and to investigate the implications that such uncertainties have on the future of oil and gas. There are two areas of original contribution to knowledge. First, while numerous studies have examined the availability of various subsets of oil and gas, often in a deterministic manner, this work provides a full description of the uncertainty in the resource potential of all individual categories of oil and gas. This includes estimating the uncertainty in resource availability at different costs of production, and also examining the resource potential of categories that have been previously overlooked. Second, the implications of this and other major sources of uncertainty have never been investigated using models that incorporate both supply and demand-side dynamics. Two models are used for this purpose. The first is an existing energy systems model, TIAM-UCL, which has been substantially modified to allow a more accurate characterisation of long-term oil and gas production and consumption. The second is an oil-sector specific model that has been developed named the 'Bottom-Up Geological and Economic Oil field production model' (BUEGO). This is capable of examining oil production potential to 2035 and is used to examine shorter-term and more sector specific uncertainties.","author":[{"dropping-particle":"","family":"McGlade","given":"C.","non-dropping-particle":"","parse-names":false,"suffix":""}],"container-title":"Doctoral thesis, UCL (University College London).","id":"ITEM-1","issued":{"date-parts":[["2013"]]},"title":"Uncertainties in the outlook for oil and gas","type":"thesis"},"uris":["http://www.mendeley.com/documents/?uuid=9488accc-627f-4007-9f81-0b72268ff191"]}],"mendeley":{"formattedCitation":"&lt;sup&gt;9&lt;/sup&gt;","plainTextFormattedCitation":"9","previouslyFormattedCitation":"&lt;sup&gt;9&lt;/sup&gt;"},"properties":{"noteIndex":0},"schema":"https://github.com/citation-style-language/schema/raw/master/csl-citation.json"}</w:instrText>
      </w:r>
      <w:r w:rsidR="00A872DB">
        <w:rPr>
          <w:rFonts w:ascii="Times New Roman" w:hAnsi="Times New Roman" w:cs="Times New Roman"/>
        </w:rPr>
        <w:fldChar w:fldCharType="separate"/>
      </w:r>
      <w:r w:rsidRPr="009F19BD">
        <w:rPr>
          <w:rFonts w:ascii="Times New Roman" w:hAnsi="Times New Roman" w:cs="Times New Roman"/>
        </w:rPr>
        <w:fldChar w:fldCharType="end"/>
      </w:r>
      <w:r w:rsidRPr="009F19BD">
        <w:rPr>
          <w:rFonts w:ascii="Times New Roman" w:hAnsi="Times New Roman" w:cs="Times New Roman"/>
        </w:rPr>
        <w:t>. This analysis has been extended in a forthcoming thesis by Welsby</w:t>
      </w:r>
      <w:r w:rsidR="003B0DBA">
        <w:rPr>
          <w:rStyle w:val="FootnoteReference"/>
          <w:rFonts w:ascii="Times New Roman" w:hAnsi="Times New Roman" w:cs="Times New Roman"/>
        </w:rPr>
        <w:footnoteReference w:id="14"/>
      </w:r>
      <w:r w:rsidRPr="009F19BD">
        <w:rPr>
          <w:rFonts w:ascii="Times New Roman" w:hAnsi="Times New Roman" w:cs="Times New Roman"/>
        </w:rPr>
        <w:t>, with field-level assessments of resource availabilities and costs. On a regional level, supply cost curves are constructed using an approach developed in Welsby</w:t>
      </w:r>
      <w:r w:rsidR="003B0DBA">
        <w:rPr>
          <w:rStyle w:val="FootnoteReference"/>
          <w:rFonts w:ascii="Times New Roman" w:hAnsi="Times New Roman" w:cs="Times New Roman"/>
        </w:rPr>
        <w:footnoteReference w:id="15"/>
      </w:r>
      <w:r w:rsidRPr="009F19BD">
        <w:rPr>
          <w:rFonts w:ascii="Times New Roman" w:hAnsi="Times New Roman" w:cs="Times New Roman"/>
        </w:rPr>
        <w:t xml:space="preserve">. Resource assessments were generally conducted at disaggregated field-/play-level, and then aggregated into the regions of TIAM-UCL using probability distributions, and </w:t>
      </w:r>
      <w:proofErr w:type="gramStart"/>
      <w:r w:rsidRPr="009F19BD">
        <w:rPr>
          <w:rFonts w:ascii="Times New Roman" w:hAnsi="Times New Roman" w:cs="Times New Roman"/>
        </w:rPr>
        <w:t>taking into account</w:t>
      </w:r>
      <w:proofErr w:type="gramEnd"/>
      <w:r w:rsidRPr="009F19BD">
        <w:rPr>
          <w:rFonts w:ascii="Times New Roman" w:hAnsi="Times New Roman" w:cs="Times New Roman"/>
        </w:rPr>
        <w:t xml:space="preserve"> any correlation between discrete estimates etc. These were then applied to depletion curves which were formed from a database of field-/play-level costs where possible. The database was extended to fields for which costs were either not known (</w:t>
      </w:r>
      <w:proofErr w:type="gramStart"/>
      <w:r w:rsidRPr="009F19BD">
        <w:rPr>
          <w:rFonts w:ascii="Times New Roman" w:hAnsi="Times New Roman" w:cs="Times New Roman"/>
        </w:rPr>
        <w:t>i.e.</w:t>
      </w:r>
      <w:proofErr w:type="gramEnd"/>
      <w:r w:rsidRPr="009F19BD">
        <w:rPr>
          <w:rFonts w:ascii="Times New Roman" w:hAnsi="Times New Roman" w:cs="Times New Roman"/>
        </w:rPr>
        <w:t xml:space="preserve"> no publicly available indication of field supply costs) or have not yet been developed. </w:t>
      </w:r>
    </w:p>
    <w:p w14:paraId="5CE650B7" w14:textId="77777777" w:rsidR="001309B9" w:rsidRPr="009F19BD" w:rsidRDefault="001309B9" w:rsidP="001309B9">
      <w:pPr>
        <w:pStyle w:val="NoSpacing"/>
        <w:rPr>
          <w:rFonts w:ascii="Times New Roman" w:hAnsi="Times New Roman" w:cs="Times New Roman"/>
          <w:lang w:val="en-US"/>
        </w:rPr>
      </w:pPr>
    </w:p>
    <w:p w14:paraId="0AB351E7" w14:textId="416682F0" w:rsidR="001309B9" w:rsidRDefault="001309B9" w:rsidP="001309B9">
      <w:pPr>
        <w:pStyle w:val="NoSpacing"/>
        <w:rPr>
          <w:rFonts w:ascii="Times New Roman" w:hAnsi="Times New Roman" w:cs="Times New Roman"/>
        </w:rPr>
      </w:pPr>
      <w:r w:rsidRPr="009F19BD">
        <w:rPr>
          <w:rFonts w:ascii="Times New Roman" w:hAnsi="Times New Roman" w:cs="Times New Roman"/>
          <w:lang w:val="en-US"/>
        </w:rPr>
        <w:t>Supplementary Figure</w:t>
      </w:r>
      <w:r w:rsidR="007B3C2E">
        <w:rPr>
          <w:rFonts w:ascii="Times New Roman" w:hAnsi="Times New Roman" w:cs="Times New Roman"/>
          <w:lang w:val="en-US"/>
        </w:rPr>
        <w:t xml:space="preserve"> </w:t>
      </w:r>
      <w:r w:rsidR="0028121F">
        <w:rPr>
          <w:rFonts w:ascii="Times New Roman" w:hAnsi="Times New Roman" w:cs="Times New Roman"/>
          <w:lang w:val="en-US"/>
        </w:rPr>
        <w:t>6</w:t>
      </w:r>
      <w:r w:rsidRPr="009F19BD">
        <w:rPr>
          <w:rFonts w:ascii="Times New Roman" w:hAnsi="Times New Roman" w:cs="Times New Roman"/>
          <w:lang w:val="en-US"/>
        </w:rPr>
        <w:t xml:space="preserve"> </w:t>
      </w:r>
      <w:r w:rsidRPr="009F19BD">
        <w:rPr>
          <w:rFonts w:ascii="Times New Roman" w:hAnsi="Times New Roman" w:cs="Times New Roman"/>
        </w:rPr>
        <w:t>shows an example cost depletion curve for conventional non-associated fossil methane gas reserves. Aggregated regional supply cost curves (</w:t>
      </w:r>
      <w:r w:rsidRPr="009F19BD">
        <w:rPr>
          <w:rFonts w:ascii="Times New Roman" w:hAnsi="Times New Roman" w:cs="Times New Roman"/>
          <w:lang w:val="en-US"/>
        </w:rPr>
        <w:t>Supplementary Figure</w:t>
      </w:r>
      <w:r w:rsidR="007B3C2E">
        <w:rPr>
          <w:rFonts w:ascii="Times New Roman" w:hAnsi="Times New Roman" w:cs="Times New Roman"/>
          <w:lang w:val="en-US"/>
        </w:rPr>
        <w:t xml:space="preserve"> </w:t>
      </w:r>
      <w:r w:rsidR="0028121F">
        <w:rPr>
          <w:rFonts w:ascii="Times New Roman" w:hAnsi="Times New Roman" w:cs="Times New Roman"/>
          <w:lang w:val="en-US"/>
        </w:rPr>
        <w:t>7</w:t>
      </w:r>
      <w:r w:rsidRPr="009F19BD">
        <w:rPr>
          <w:rFonts w:ascii="Times New Roman" w:hAnsi="Times New Roman" w:cs="Times New Roman"/>
        </w:rPr>
        <w:t>) were derived</w:t>
      </w:r>
      <w:r w:rsidRPr="009F19BD" w:rsidDel="00B35505">
        <w:rPr>
          <w:rFonts w:ascii="Times New Roman" w:hAnsi="Times New Roman" w:cs="Times New Roman"/>
        </w:rPr>
        <w:t xml:space="preserve"> </w:t>
      </w:r>
      <w:r w:rsidRPr="009F19BD">
        <w:rPr>
          <w:rFonts w:ascii="Times New Roman" w:hAnsi="Times New Roman" w:cs="Times New Roman"/>
        </w:rPr>
        <w:t xml:space="preserve">from field-/play-level cost depletion curves shown in </w:t>
      </w:r>
      <w:r w:rsidRPr="009F19BD">
        <w:rPr>
          <w:rFonts w:ascii="Times New Roman" w:hAnsi="Times New Roman" w:cs="Times New Roman"/>
          <w:lang w:val="en-US"/>
        </w:rPr>
        <w:t>Supplementary Figure</w:t>
      </w:r>
      <w:r w:rsidR="00DD5E34">
        <w:rPr>
          <w:rFonts w:ascii="Times New Roman" w:hAnsi="Times New Roman" w:cs="Times New Roman"/>
          <w:lang w:val="en-US"/>
        </w:rPr>
        <w:t xml:space="preserve"> </w:t>
      </w:r>
      <w:r w:rsidR="0028121F">
        <w:rPr>
          <w:rFonts w:ascii="Times New Roman" w:hAnsi="Times New Roman" w:cs="Times New Roman"/>
          <w:lang w:val="en-US"/>
        </w:rPr>
        <w:t>6</w:t>
      </w:r>
      <w:r w:rsidRPr="009F19BD">
        <w:rPr>
          <w:rFonts w:ascii="Times New Roman" w:hAnsi="Times New Roman" w:cs="Times New Roman"/>
          <w:lang w:val="en-US"/>
        </w:rPr>
        <w:t xml:space="preserve"> </w:t>
      </w:r>
      <w:r w:rsidRPr="009F19BD">
        <w:rPr>
          <w:rFonts w:ascii="Times New Roman" w:hAnsi="Times New Roman" w:cs="Times New Roman"/>
        </w:rPr>
        <w:t xml:space="preserve">and have been aggregated into the TIAM-UCL regions. The three-step cost curves in TIAM-UCL mean that costs for each </w:t>
      </w:r>
      <w:proofErr w:type="gramStart"/>
      <w:r w:rsidRPr="009F19BD">
        <w:rPr>
          <w:rFonts w:ascii="Times New Roman" w:hAnsi="Times New Roman" w:cs="Times New Roman"/>
        </w:rPr>
        <w:t>regions</w:t>
      </w:r>
      <w:proofErr w:type="gramEnd"/>
      <w:r w:rsidRPr="009F19BD">
        <w:rPr>
          <w:rFonts w:ascii="Times New Roman" w:hAnsi="Times New Roman" w:cs="Times New Roman"/>
        </w:rPr>
        <w:t xml:space="preserve"> are aggregated from field-level data into weighted average costs for each cost step. </w:t>
      </w:r>
    </w:p>
    <w:p w14:paraId="38CE0383" w14:textId="51A0B2B6" w:rsidR="00DD5E34" w:rsidRPr="009F19BD" w:rsidRDefault="00DD5E34" w:rsidP="00DD5E34">
      <w:pPr>
        <w:pStyle w:val="Normalsingle"/>
        <w:rPr>
          <w:rFonts w:ascii="Times New Roman" w:hAnsi="Times New Roman"/>
          <w:sz w:val="22"/>
          <w:szCs w:val="22"/>
        </w:rPr>
      </w:pPr>
      <w:r w:rsidRPr="009F19BD">
        <w:rPr>
          <w:rFonts w:ascii="Times New Roman" w:hAnsi="Times New Roman"/>
          <w:sz w:val="22"/>
          <w:szCs w:val="22"/>
        </w:rPr>
        <w:t xml:space="preserve">Additionally, </w:t>
      </w:r>
      <w:r w:rsidRPr="009F19BD">
        <w:rPr>
          <w:rFonts w:ascii="Times New Roman" w:hAnsi="Times New Roman"/>
          <w:sz w:val="22"/>
          <w:szCs w:val="22"/>
          <w:lang w:val="en-US"/>
        </w:rPr>
        <w:t>Supplementary Figure</w:t>
      </w:r>
      <w:r>
        <w:rPr>
          <w:rFonts w:ascii="Times New Roman" w:hAnsi="Times New Roman"/>
          <w:sz w:val="22"/>
          <w:szCs w:val="22"/>
          <w:lang w:val="en-US"/>
        </w:rPr>
        <w:t xml:space="preserve"> </w:t>
      </w:r>
      <w:r w:rsidR="0028121F">
        <w:rPr>
          <w:rFonts w:ascii="Times New Roman" w:hAnsi="Times New Roman"/>
          <w:sz w:val="22"/>
          <w:szCs w:val="22"/>
          <w:lang w:val="en-US"/>
        </w:rPr>
        <w:t>7</w:t>
      </w:r>
      <w:r w:rsidRPr="009F19BD">
        <w:rPr>
          <w:rFonts w:ascii="Times New Roman" w:hAnsi="Times New Roman"/>
          <w:sz w:val="22"/>
          <w:szCs w:val="22"/>
          <w:lang w:val="en-US"/>
        </w:rPr>
        <w:t xml:space="preserve"> </w:t>
      </w:r>
      <w:r w:rsidRPr="009F19BD">
        <w:rPr>
          <w:rFonts w:ascii="Times New Roman" w:hAnsi="Times New Roman"/>
          <w:sz w:val="22"/>
          <w:szCs w:val="22"/>
        </w:rPr>
        <w:t>shows a) the regional breakdown of the resource distribution, and b) the supply cost with each resource category identified. For reference, none of the figures in this section include associated fossil methane gas resources in the supply cost curves, as these are calculated separately, with resource availabilities calculated by McGlade</w:t>
      </w:r>
      <w:r w:rsidR="00533BD4">
        <w:rPr>
          <w:rStyle w:val="FootnoteReference"/>
          <w:rFonts w:ascii="Times New Roman" w:hAnsi="Times New Roman"/>
          <w:sz w:val="22"/>
          <w:szCs w:val="22"/>
        </w:rPr>
        <w:footnoteReference w:id="16"/>
      </w:r>
      <w:r w:rsidRPr="009F19BD">
        <w:rPr>
          <w:rFonts w:ascii="Times New Roman" w:hAnsi="Times New Roman"/>
          <w:sz w:val="22"/>
          <w:szCs w:val="22"/>
        </w:rPr>
        <w:fldChar w:fldCharType="begin" w:fldLock="1"/>
      </w:r>
      <w:r w:rsidRPr="009F19BD">
        <w:rPr>
          <w:rFonts w:ascii="Times New Roman" w:hAnsi="Times New Roman"/>
          <w:sz w:val="22"/>
          <w:szCs w:val="22"/>
        </w:rPr>
        <w:instrText>ADDIN CSL_CITATION {"citationItems":[{"id":"ITEM-1","itemData":{"abstract":"Oil and gas will play a central role in the global energy system for the foreseeable future. However, uncertainty surrounds both the availability of and demand for these fuels, and as a result, there are quite disparate viewpoints on the magnitude of this role. The aim of this thesis is to identify, understand, quantify and, where possible, minimise the sources of this uncertainty, and to investigate the implications that such uncertainties have on the future of oil and gas. There are two areas of original contribution to knowledge. First, while numerous studies have examined the availability of various subsets of oil and gas, often in a deterministic manner, this work provides a full description of the uncertainty in the resource potential of all individual categories of oil and gas. This includes estimating the uncertainty in resource availability at different costs of production, and also examining the resource potential of categories that have been previously overlooked. Second, the implications of this and other major sources of uncertainty have never been investigated using models that incorporate both supply and demand-side dynamics. Two models are used for this purpose. The first is an existing energy systems model, TIAM-UCL, which has been substantially modified to allow a more accurate characterisation of long-term oil and gas production and consumption. The second is an oil-sector specific model that has been developed named the 'Bottom-Up Geological and Economic Oil field production model' (BUEGO). This is capable of examining oil production potential to 2035 and is used to examine shorter-term and more sector specific uncertainties.","author":[{"dropping-particle":"","family":"McGlade","given":"C.","non-dropping-particle":"","parse-names":false,"suffix":""}],"container-title":"Doctoral thesis, UCL (University College London).","id":"ITEM-1","issued":{"date-parts":[["2013"]]},"title":"Uncertainties in the outlook for oil and gas","type":"thesis"},"uris":["http://www.mendeley.com/documents/?uuid=9488accc-627f-4007-9f81-0b72268ff191"]}],"mendeley":{"formattedCitation":"&lt;sup&gt;9&lt;/sup&gt;","plainTextFormattedCitation":"9","previouslyFormattedCitation":"&lt;sup&gt;9&lt;/sup&gt;"},"properties":{"noteIndex":0},"schema":"https://github.com/citation-style-language/schema/raw/master/csl-citation.json"}</w:instrText>
      </w:r>
      <w:r w:rsidR="00A872DB">
        <w:rPr>
          <w:rFonts w:ascii="Times New Roman" w:hAnsi="Times New Roman"/>
          <w:sz w:val="22"/>
          <w:szCs w:val="22"/>
        </w:rPr>
        <w:fldChar w:fldCharType="separate"/>
      </w:r>
      <w:r w:rsidRPr="009F19BD">
        <w:rPr>
          <w:rFonts w:ascii="Times New Roman" w:hAnsi="Times New Roman"/>
          <w:sz w:val="22"/>
          <w:szCs w:val="22"/>
        </w:rPr>
        <w:fldChar w:fldCharType="end"/>
      </w:r>
      <w:r w:rsidRPr="009F19BD">
        <w:rPr>
          <w:rFonts w:ascii="Times New Roman" w:hAnsi="Times New Roman"/>
          <w:sz w:val="22"/>
          <w:szCs w:val="22"/>
        </w:rPr>
        <w:t xml:space="preserve"> and Welsby</w:t>
      </w:r>
      <w:r w:rsidR="00533BD4">
        <w:rPr>
          <w:rStyle w:val="FootnoteReference"/>
          <w:rFonts w:ascii="Times New Roman" w:hAnsi="Times New Roman"/>
          <w:sz w:val="22"/>
          <w:szCs w:val="22"/>
        </w:rPr>
        <w:footnoteReference w:id="17"/>
      </w:r>
      <w:r w:rsidRPr="009F19BD">
        <w:rPr>
          <w:rFonts w:ascii="Times New Roman" w:hAnsi="Times New Roman"/>
          <w:sz w:val="22"/>
          <w:szCs w:val="22"/>
        </w:rPr>
        <w:t>. Additionally, improvements made by Welsby</w:t>
      </w:r>
      <w:r w:rsidR="00533BD4">
        <w:rPr>
          <w:rStyle w:val="FootnoteReference"/>
          <w:rFonts w:ascii="Times New Roman" w:hAnsi="Times New Roman"/>
          <w:sz w:val="22"/>
          <w:szCs w:val="22"/>
        </w:rPr>
        <w:footnoteReference w:id="18"/>
      </w:r>
      <w:r w:rsidRPr="009F19BD">
        <w:rPr>
          <w:rFonts w:ascii="Times New Roman" w:hAnsi="Times New Roman"/>
          <w:sz w:val="22"/>
          <w:szCs w:val="22"/>
        </w:rPr>
        <w:t xml:space="preserve"> include an endogenous decision within the model of whether to produce the gas (which requires investment in new capacity if existing capacity is insufficient) or flare/vent it. </w:t>
      </w:r>
    </w:p>
    <w:p w14:paraId="6F4803FD" w14:textId="34D8F204" w:rsidR="00DD5E34" w:rsidRDefault="00DD5E34" w:rsidP="001309B9">
      <w:pPr>
        <w:pStyle w:val="NoSpacing"/>
        <w:rPr>
          <w:rFonts w:ascii="Times New Roman" w:hAnsi="Times New Roman" w:cs="Times New Roman"/>
        </w:rPr>
      </w:pPr>
      <w:r>
        <w:rPr>
          <w:rFonts w:ascii="Times New Roman" w:hAnsi="Times New Roman" w:cs="Times New Roman"/>
        </w:rPr>
        <w:br w:type="page"/>
      </w:r>
    </w:p>
    <w:p w14:paraId="3A5175B5" w14:textId="77777777" w:rsidR="001309B9" w:rsidRPr="009F19BD" w:rsidRDefault="001309B9" w:rsidP="001309B9">
      <w:pPr>
        <w:pStyle w:val="NoSpacing"/>
        <w:rPr>
          <w:rFonts w:ascii="Times New Roman" w:hAnsi="Times New Roman" w:cs="Times New Roman"/>
          <w:sz w:val="20"/>
          <w:szCs w:val="20"/>
        </w:rPr>
      </w:pPr>
      <w:r w:rsidRPr="009F19BD">
        <w:rPr>
          <w:rFonts w:ascii="Times New Roman" w:hAnsi="Times New Roman" w:cs="Times New Roman"/>
          <w:sz w:val="20"/>
          <w:szCs w:val="20"/>
        </w:rPr>
        <w:lastRenderedPageBreak/>
        <w:t>a)</w:t>
      </w:r>
    </w:p>
    <w:p w14:paraId="621D7F3D" w14:textId="77777777" w:rsidR="001309B9" w:rsidRPr="009F19BD" w:rsidRDefault="001309B9" w:rsidP="001309B9">
      <w:pPr>
        <w:pStyle w:val="NoSpacing"/>
        <w:rPr>
          <w:rFonts w:ascii="Times New Roman" w:hAnsi="Times New Roman" w:cs="Times New Roman"/>
          <w:sz w:val="20"/>
          <w:szCs w:val="20"/>
        </w:rPr>
      </w:pPr>
      <w:r w:rsidRPr="009F19BD">
        <w:rPr>
          <w:rFonts w:ascii="Times New Roman" w:eastAsiaTheme="minorEastAsia" w:hAnsi="Times New Roman" w:cs="Times New Roman"/>
          <w:noProof/>
          <w:sz w:val="24"/>
          <w:szCs w:val="24"/>
          <w:lang w:eastAsia="en-GB"/>
        </w:rPr>
        <w:drawing>
          <wp:inline distT="0" distB="0" distL="0" distR="0" wp14:anchorId="0B11B3CE" wp14:editId="412B9A10">
            <wp:extent cx="5731510" cy="2991339"/>
            <wp:effectExtent l="0" t="0" r="2540" b="0"/>
            <wp:docPr id="77" name="Picture 7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Chart, line chart&#10;&#10;Description automatically generated"/>
                    <pic:cNvPicPr/>
                  </pic:nvPicPr>
                  <pic:blipFill rotWithShape="1">
                    <a:blip r:embed="rId23" cstate="print">
                      <a:extLst>
                        <a:ext uri="{28A0092B-C50C-407E-A947-70E740481C1C}">
                          <a14:useLocalDpi xmlns:a14="http://schemas.microsoft.com/office/drawing/2010/main" val="0"/>
                        </a:ext>
                      </a:extLst>
                    </a:blip>
                    <a:srcRect/>
                    <a:stretch/>
                  </pic:blipFill>
                  <pic:spPr bwMode="auto">
                    <a:xfrm>
                      <a:off x="0" y="0"/>
                      <a:ext cx="5731510" cy="2991339"/>
                    </a:xfrm>
                    <a:prstGeom prst="rect">
                      <a:avLst/>
                    </a:prstGeom>
                    <a:ln>
                      <a:noFill/>
                    </a:ln>
                    <a:extLst>
                      <a:ext uri="{53640926-AAD7-44D8-BBD7-CCE9431645EC}">
                        <a14:shadowObscured xmlns:a14="http://schemas.microsoft.com/office/drawing/2010/main"/>
                      </a:ext>
                    </a:extLst>
                  </pic:spPr>
                </pic:pic>
              </a:graphicData>
            </a:graphic>
          </wp:inline>
        </w:drawing>
      </w:r>
    </w:p>
    <w:p w14:paraId="20A722E0" w14:textId="77777777" w:rsidR="001309B9" w:rsidRPr="009F19BD" w:rsidRDefault="001309B9" w:rsidP="001309B9">
      <w:pPr>
        <w:pStyle w:val="NoSpacing"/>
        <w:rPr>
          <w:rFonts w:ascii="Times New Roman" w:hAnsi="Times New Roman" w:cs="Times New Roman"/>
          <w:sz w:val="20"/>
          <w:szCs w:val="20"/>
        </w:rPr>
      </w:pPr>
    </w:p>
    <w:p w14:paraId="46F1AB70" w14:textId="77777777" w:rsidR="001309B9" w:rsidRPr="009F19BD" w:rsidRDefault="001309B9" w:rsidP="001309B9">
      <w:pPr>
        <w:pStyle w:val="NoSpacing"/>
        <w:rPr>
          <w:rFonts w:ascii="Times New Roman" w:hAnsi="Times New Roman" w:cs="Times New Roman"/>
          <w:sz w:val="20"/>
          <w:szCs w:val="20"/>
        </w:rPr>
      </w:pPr>
      <w:r w:rsidRPr="009F19BD">
        <w:rPr>
          <w:rFonts w:ascii="Times New Roman" w:hAnsi="Times New Roman" w:cs="Times New Roman"/>
          <w:sz w:val="20"/>
          <w:szCs w:val="20"/>
        </w:rPr>
        <w:t>b)</w:t>
      </w:r>
    </w:p>
    <w:p w14:paraId="404ACD24" w14:textId="77777777" w:rsidR="001309B9" w:rsidRPr="009F19BD" w:rsidRDefault="001309B9" w:rsidP="001309B9">
      <w:pPr>
        <w:pStyle w:val="NoSpacing"/>
        <w:rPr>
          <w:rFonts w:ascii="Times New Roman" w:hAnsi="Times New Roman" w:cs="Times New Roman"/>
          <w:sz w:val="20"/>
          <w:szCs w:val="20"/>
        </w:rPr>
      </w:pPr>
      <w:r w:rsidRPr="009F19BD">
        <w:rPr>
          <w:rFonts w:ascii="Times New Roman" w:eastAsiaTheme="minorEastAsia" w:hAnsi="Times New Roman" w:cs="Times New Roman"/>
          <w:noProof/>
          <w:sz w:val="24"/>
          <w:szCs w:val="24"/>
          <w:lang w:eastAsia="en-GB"/>
        </w:rPr>
        <w:drawing>
          <wp:inline distT="0" distB="0" distL="0" distR="0" wp14:anchorId="40C22271" wp14:editId="72B01F97">
            <wp:extent cx="5550010" cy="2851713"/>
            <wp:effectExtent l="0" t="0" r="0" b="6350"/>
            <wp:docPr id="60" name="Picture 6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Chart, line chart&#10;&#10;Description automatically generated"/>
                    <pic:cNvPicPr/>
                  </pic:nvPicPr>
                  <pic:blipFill rotWithShape="1">
                    <a:blip r:embed="rId24" cstate="print">
                      <a:extLst>
                        <a:ext uri="{28A0092B-C50C-407E-A947-70E740481C1C}">
                          <a14:useLocalDpi xmlns:a14="http://schemas.microsoft.com/office/drawing/2010/main" val="0"/>
                        </a:ext>
                      </a:extLst>
                    </a:blip>
                    <a:srcRect/>
                    <a:stretch/>
                  </pic:blipFill>
                  <pic:spPr bwMode="auto">
                    <a:xfrm>
                      <a:off x="0" y="0"/>
                      <a:ext cx="5551757" cy="2852611"/>
                    </a:xfrm>
                    <a:prstGeom prst="rect">
                      <a:avLst/>
                    </a:prstGeom>
                    <a:ln>
                      <a:noFill/>
                    </a:ln>
                    <a:extLst>
                      <a:ext uri="{53640926-AAD7-44D8-BBD7-CCE9431645EC}">
                        <a14:shadowObscured xmlns:a14="http://schemas.microsoft.com/office/drawing/2010/main"/>
                      </a:ext>
                    </a:extLst>
                  </pic:spPr>
                </pic:pic>
              </a:graphicData>
            </a:graphic>
          </wp:inline>
        </w:drawing>
      </w:r>
    </w:p>
    <w:p w14:paraId="10ACB5AC" w14:textId="790B0A1C" w:rsidR="001309B9" w:rsidRPr="00533BD4" w:rsidRDefault="001309B9" w:rsidP="001309B9">
      <w:pPr>
        <w:pStyle w:val="00DDPPNormal"/>
        <w:keepNext/>
        <w:rPr>
          <w:rFonts w:ascii="Times New Roman" w:hAnsi="Times New Roman" w:cs="Times New Roman"/>
          <w:b/>
          <w:iCs/>
          <w:sz w:val="22"/>
        </w:rPr>
      </w:pPr>
      <w:r w:rsidRPr="00533BD4">
        <w:rPr>
          <w:rFonts w:ascii="Times New Roman" w:hAnsi="Times New Roman" w:cs="Times New Roman"/>
          <w:b/>
          <w:iCs/>
          <w:color w:val="auto"/>
          <w:sz w:val="22"/>
          <w:lang w:val="en-US"/>
        </w:rPr>
        <w:t>Supplementary Figure</w:t>
      </w:r>
      <w:r w:rsidR="007B3C2E" w:rsidRPr="00533BD4">
        <w:rPr>
          <w:rFonts w:ascii="Times New Roman" w:hAnsi="Times New Roman" w:cs="Times New Roman"/>
          <w:b/>
          <w:iCs/>
          <w:color w:val="auto"/>
          <w:sz w:val="22"/>
          <w:lang w:val="en-US"/>
        </w:rPr>
        <w:t xml:space="preserve"> </w:t>
      </w:r>
      <w:r w:rsidR="0028121F">
        <w:rPr>
          <w:rFonts w:ascii="Times New Roman" w:hAnsi="Times New Roman" w:cs="Times New Roman"/>
          <w:b/>
          <w:iCs/>
          <w:color w:val="auto"/>
          <w:sz w:val="22"/>
          <w:lang w:val="en-US"/>
        </w:rPr>
        <w:t>6</w:t>
      </w:r>
      <w:r w:rsidRPr="00533BD4">
        <w:rPr>
          <w:rFonts w:ascii="Times New Roman" w:hAnsi="Times New Roman" w:cs="Times New Roman"/>
          <w:b/>
          <w:iCs/>
          <w:color w:val="auto"/>
          <w:sz w:val="22"/>
        </w:rPr>
        <w:t>. Example cost depletion curve constructed by Welsby</w:t>
      </w:r>
      <w:r w:rsidR="00533BD4" w:rsidRPr="00533BD4">
        <w:rPr>
          <w:rStyle w:val="FootnoteReference"/>
          <w:rFonts w:ascii="Times New Roman" w:hAnsi="Times New Roman" w:cs="Times New Roman"/>
          <w:b/>
          <w:iCs/>
          <w:color w:val="auto"/>
          <w:sz w:val="22"/>
        </w:rPr>
        <w:footnoteReference w:id="19"/>
      </w:r>
      <w:r w:rsidRPr="00533BD4">
        <w:rPr>
          <w:rFonts w:ascii="Times New Roman" w:hAnsi="Times New Roman" w:cs="Times New Roman"/>
          <w:b/>
          <w:iCs/>
          <w:sz w:val="22"/>
        </w:rPr>
        <w:fldChar w:fldCharType="begin" w:fldLock="1"/>
      </w:r>
      <w:r w:rsidRPr="00533BD4">
        <w:rPr>
          <w:rFonts w:ascii="Times New Roman" w:hAnsi="Times New Roman" w:cs="Times New Roman"/>
          <w:b/>
          <w:iCs/>
          <w:sz w:val="22"/>
        </w:rPr>
        <w:instrText>ADDIN CSL_CITATION {"citationItems":[{"id":"ITEM-1","itemData":{"author":[{"dropping-particle":"","family":"Welsby","given":"D","non-dropping-particle":"","parse-names":false,"suffix":""}],"id":"ITEM-1","issued":{"date-parts":[["2021"]]},"publisher":"University College London","title":"Modelling uncertainty in global gas resources and markets (forthcoming)","type":"thesis"},"uris":["http://www.mendeley.com/documents/?uuid=9fce9ab4-12e4-4b6e-905c-c39c62d13885"]}],"mendeley":{"formattedCitation":"&lt;sup&gt;10&lt;/sup&gt;","plainTextFormattedCitation":"10","previouslyFormattedCitation":"&lt;sup&gt;10&lt;/sup&gt;"},"properties":{"noteIndex":0},"schema":"https://github.com/citation-style-language/schema/raw/master/csl-citation.json"}</w:instrText>
      </w:r>
      <w:r w:rsidR="00A872DB">
        <w:rPr>
          <w:rFonts w:ascii="Times New Roman" w:hAnsi="Times New Roman" w:cs="Times New Roman"/>
          <w:b/>
          <w:iCs/>
          <w:sz w:val="22"/>
        </w:rPr>
        <w:fldChar w:fldCharType="separate"/>
      </w:r>
      <w:r w:rsidRPr="00533BD4">
        <w:rPr>
          <w:rFonts w:ascii="Times New Roman" w:hAnsi="Times New Roman" w:cs="Times New Roman"/>
          <w:b/>
          <w:iCs/>
          <w:sz w:val="22"/>
        </w:rPr>
        <w:fldChar w:fldCharType="end"/>
      </w:r>
      <w:r w:rsidRPr="00533BD4">
        <w:rPr>
          <w:rFonts w:ascii="Times New Roman" w:hAnsi="Times New Roman" w:cs="Times New Roman"/>
          <w:b/>
          <w:iCs/>
          <w:sz w:val="22"/>
        </w:rPr>
        <w:t xml:space="preserve"> for proved onshore (a) and offshore (b) non-associated gas reserves. </w:t>
      </w:r>
    </w:p>
    <w:p w14:paraId="4CC247EC" w14:textId="77777777" w:rsidR="001309B9" w:rsidRPr="009F19BD" w:rsidRDefault="001309B9" w:rsidP="001309B9">
      <w:pPr>
        <w:pStyle w:val="00DDPPNormal"/>
        <w:rPr>
          <w:rFonts w:ascii="Times New Roman" w:hAnsi="Times New Roman" w:cs="Times New Roman"/>
          <w:b/>
          <w:color w:val="auto"/>
          <w:sz w:val="18"/>
          <w:szCs w:val="18"/>
        </w:rPr>
      </w:pPr>
    </w:p>
    <w:p w14:paraId="50FC051B" w14:textId="77777777" w:rsidR="001309B9" w:rsidRPr="009F19BD" w:rsidRDefault="001309B9" w:rsidP="001309B9">
      <w:pPr>
        <w:rPr>
          <w:rFonts w:ascii="Times New Roman" w:hAnsi="Times New Roman" w:cs="Times New Roman"/>
          <w:b/>
          <w:sz w:val="18"/>
          <w:szCs w:val="18"/>
        </w:rPr>
      </w:pPr>
      <w:r w:rsidRPr="009F19BD">
        <w:rPr>
          <w:rFonts w:ascii="Times New Roman" w:hAnsi="Times New Roman" w:cs="Times New Roman"/>
          <w:b/>
          <w:sz w:val="18"/>
          <w:szCs w:val="18"/>
        </w:rPr>
        <w:br w:type="page"/>
      </w:r>
    </w:p>
    <w:p w14:paraId="6F5CC57B" w14:textId="77777777" w:rsidR="001309B9" w:rsidRPr="009F19BD" w:rsidRDefault="001309B9" w:rsidP="001309B9">
      <w:pPr>
        <w:pStyle w:val="00DDPPNormal"/>
        <w:rPr>
          <w:rFonts w:ascii="Times New Roman" w:hAnsi="Times New Roman" w:cs="Times New Roman"/>
        </w:rPr>
      </w:pPr>
    </w:p>
    <w:tbl>
      <w:tblPr>
        <w:tblStyle w:val="TableGrid"/>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gridCol w:w="222"/>
      </w:tblGrid>
      <w:tr w:rsidR="001309B9" w:rsidRPr="009F19BD" w14:paraId="30A8C949" w14:textId="77777777" w:rsidTr="001309B9">
        <w:tc>
          <w:tcPr>
            <w:tcW w:w="9246" w:type="dxa"/>
          </w:tcPr>
          <w:p w14:paraId="5510F65E" w14:textId="77777777" w:rsidR="001309B9" w:rsidRPr="009F19BD" w:rsidRDefault="001309B9" w:rsidP="00B50CDC">
            <w:pPr>
              <w:pStyle w:val="00DDPPNormal"/>
              <w:rPr>
                <w:rFonts w:ascii="Times New Roman" w:hAnsi="Times New Roman" w:cs="Times New Roman"/>
                <w:color w:val="auto"/>
              </w:rPr>
            </w:pPr>
            <w:r w:rsidRPr="009F19BD">
              <w:rPr>
                <w:rFonts w:ascii="Times New Roman" w:hAnsi="Times New Roman" w:cs="Times New Roman"/>
                <w:color w:val="auto"/>
              </w:rPr>
              <w:t>a)</w:t>
            </w:r>
          </w:p>
          <w:p w14:paraId="06C86991" w14:textId="77777777" w:rsidR="001309B9" w:rsidRPr="009F19BD" w:rsidRDefault="001309B9" w:rsidP="00B50CDC">
            <w:pPr>
              <w:pStyle w:val="00DDPPNormal"/>
              <w:rPr>
                <w:rFonts w:ascii="Times New Roman" w:hAnsi="Times New Roman" w:cs="Times New Roman"/>
                <w:color w:val="auto"/>
              </w:rPr>
            </w:pPr>
            <w:r w:rsidRPr="009F19BD">
              <w:rPr>
                <w:rFonts w:ascii="Times New Roman" w:hAnsi="Times New Roman" w:cs="Times New Roman"/>
                <w:noProof/>
              </w:rPr>
              <w:drawing>
                <wp:inline distT="0" distB="0" distL="0" distR="0" wp14:anchorId="69B8DC30" wp14:editId="73E412D9">
                  <wp:extent cx="5731510" cy="2471420"/>
                  <wp:effectExtent l="0" t="0" r="2540" b="5080"/>
                  <wp:docPr id="22" name="Picture 2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25">
                            <a:extLst>
                              <a:ext uri="{28A0092B-C50C-407E-A947-70E740481C1C}">
                                <a14:useLocalDpi xmlns:a14="http://schemas.microsoft.com/office/drawing/2010/main" val="0"/>
                              </a:ext>
                            </a:extLst>
                          </a:blip>
                          <a:stretch>
                            <a:fillRect/>
                          </a:stretch>
                        </pic:blipFill>
                        <pic:spPr>
                          <a:xfrm>
                            <a:off x="0" y="0"/>
                            <a:ext cx="5731510" cy="2471420"/>
                          </a:xfrm>
                          <a:prstGeom prst="rect">
                            <a:avLst/>
                          </a:prstGeom>
                        </pic:spPr>
                      </pic:pic>
                    </a:graphicData>
                  </a:graphic>
                </wp:inline>
              </w:drawing>
            </w:r>
          </w:p>
        </w:tc>
        <w:tc>
          <w:tcPr>
            <w:tcW w:w="222" w:type="dxa"/>
          </w:tcPr>
          <w:p w14:paraId="518684FD" w14:textId="77777777" w:rsidR="001309B9" w:rsidRPr="009F19BD" w:rsidRDefault="001309B9" w:rsidP="00B50CDC">
            <w:pPr>
              <w:pStyle w:val="00DDPPNormal"/>
              <w:rPr>
                <w:rFonts w:ascii="Times New Roman" w:hAnsi="Times New Roman" w:cs="Times New Roman"/>
                <w:color w:val="auto"/>
              </w:rPr>
            </w:pPr>
          </w:p>
        </w:tc>
      </w:tr>
      <w:tr w:rsidR="001309B9" w:rsidRPr="009F19BD" w14:paraId="23056ECB" w14:textId="77777777" w:rsidTr="001309B9">
        <w:tc>
          <w:tcPr>
            <w:tcW w:w="9246" w:type="dxa"/>
          </w:tcPr>
          <w:p w14:paraId="563EB429" w14:textId="77777777" w:rsidR="001309B9" w:rsidRPr="009F19BD" w:rsidRDefault="001309B9" w:rsidP="00B50CDC">
            <w:pPr>
              <w:pStyle w:val="00DDPPNormal"/>
              <w:rPr>
                <w:rFonts w:ascii="Times New Roman" w:hAnsi="Times New Roman" w:cs="Times New Roman"/>
                <w:color w:val="auto"/>
              </w:rPr>
            </w:pPr>
            <w:r w:rsidRPr="009F19BD">
              <w:rPr>
                <w:rFonts w:ascii="Times New Roman" w:hAnsi="Times New Roman" w:cs="Times New Roman"/>
                <w:color w:val="auto"/>
              </w:rPr>
              <w:t>b)</w:t>
            </w:r>
          </w:p>
          <w:p w14:paraId="3E925D0A" w14:textId="77777777" w:rsidR="001309B9" w:rsidRPr="009F19BD" w:rsidRDefault="001309B9" w:rsidP="00B50CDC">
            <w:pPr>
              <w:pStyle w:val="00DDPPNormal"/>
              <w:rPr>
                <w:rFonts w:ascii="Times New Roman" w:hAnsi="Times New Roman" w:cs="Times New Roman"/>
                <w:color w:val="auto"/>
              </w:rPr>
            </w:pPr>
            <w:r w:rsidRPr="009F19BD">
              <w:rPr>
                <w:rFonts w:ascii="Times New Roman" w:hAnsi="Times New Roman" w:cs="Times New Roman"/>
                <w:noProof/>
              </w:rPr>
              <w:drawing>
                <wp:inline distT="0" distB="0" distL="0" distR="0" wp14:anchorId="0FB400E0" wp14:editId="0792568A">
                  <wp:extent cx="5731510" cy="2483485"/>
                  <wp:effectExtent l="0" t="0" r="2540" b="0"/>
                  <wp:docPr id="24" name="Picture 2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26">
                            <a:extLst>
                              <a:ext uri="{28A0092B-C50C-407E-A947-70E740481C1C}">
                                <a14:useLocalDpi xmlns:a14="http://schemas.microsoft.com/office/drawing/2010/main" val="0"/>
                              </a:ext>
                            </a:extLst>
                          </a:blip>
                          <a:stretch>
                            <a:fillRect/>
                          </a:stretch>
                        </pic:blipFill>
                        <pic:spPr>
                          <a:xfrm>
                            <a:off x="0" y="0"/>
                            <a:ext cx="5731510" cy="2483485"/>
                          </a:xfrm>
                          <a:prstGeom prst="rect">
                            <a:avLst/>
                          </a:prstGeom>
                        </pic:spPr>
                      </pic:pic>
                    </a:graphicData>
                  </a:graphic>
                </wp:inline>
              </w:drawing>
            </w:r>
          </w:p>
        </w:tc>
        <w:tc>
          <w:tcPr>
            <w:tcW w:w="222" w:type="dxa"/>
          </w:tcPr>
          <w:p w14:paraId="100821CD" w14:textId="77777777" w:rsidR="001309B9" w:rsidRPr="009F19BD" w:rsidRDefault="001309B9" w:rsidP="00B50CDC">
            <w:pPr>
              <w:pStyle w:val="00DDPPNormal"/>
              <w:rPr>
                <w:rFonts w:ascii="Times New Roman" w:hAnsi="Times New Roman" w:cs="Times New Roman"/>
                <w:color w:val="auto"/>
              </w:rPr>
            </w:pPr>
          </w:p>
        </w:tc>
      </w:tr>
    </w:tbl>
    <w:p w14:paraId="227839DD" w14:textId="14BA0915" w:rsidR="00DD5E34" w:rsidRPr="00533BD4" w:rsidRDefault="001309B9" w:rsidP="001309B9">
      <w:pPr>
        <w:pStyle w:val="00DDPPNormal"/>
        <w:keepNext/>
        <w:rPr>
          <w:rFonts w:ascii="Times New Roman" w:hAnsi="Times New Roman" w:cs="Times New Roman"/>
          <w:iCs/>
          <w:sz w:val="22"/>
        </w:rPr>
      </w:pPr>
      <w:r w:rsidRPr="00533BD4">
        <w:rPr>
          <w:rFonts w:ascii="Times New Roman" w:hAnsi="Times New Roman" w:cs="Times New Roman"/>
          <w:b/>
          <w:iCs/>
          <w:sz w:val="22"/>
          <w:lang w:val="en-US"/>
        </w:rPr>
        <w:t>Supplementary Figure</w:t>
      </w:r>
      <w:r w:rsidR="007B3C2E" w:rsidRPr="00533BD4">
        <w:rPr>
          <w:rFonts w:ascii="Times New Roman" w:hAnsi="Times New Roman" w:cs="Times New Roman"/>
          <w:b/>
          <w:iCs/>
          <w:sz w:val="22"/>
          <w:lang w:val="en-US"/>
        </w:rPr>
        <w:t xml:space="preserve"> </w:t>
      </w:r>
      <w:r w:rsidR="0028121F">
        <w:rPr>
          <w:rFonts w:ascii="Times New Roman" w:hAnsi="Times New Roman" w:cs="Times New Roman"/>
          <w:b/>
          <w:iCs/>
          <w:sz w:val="22"/>
          <w:lang w:val="en-US"/>
        </w:rPr>
        <w:t>7</w:t>
      </w:r>
      <w:r w:rsidRPr="00533BD4">
        <w:rPr>
          <w:rFonts w:ascii="Times New Roman" w:hAnsi="Times New Roman" w:cs="Times New Roman"/>
          <w:b/>
          <w:iCs/>
          <w:sz w:val="22"/>
        </w:rPr>
        <w:t xml:space="preserve">. Global gas supply cost curve from 2015 by a) region b) resource category. </w:t>
      </w:r>
      <w:r w:rsidRPr="00533BD4">
        <w:rPr>
          <w:rFonts w:ascii="Times New Roman" w:hAnsi="Times New Roman" w:cs="Times New Roman"/>
          <w:iCs/>
          <w:sz w:val="22"/>
        </w:rPr>
        <w:t>Source: Welsby, 2021</w:t>
      </w:r>
      <w:r w:rsidR="00533BD4" w:rsidRPr="00533BD4">
        <w:rPr>
          <w:rStyle w:val="FootnoteReference"/>
          <w:rFonts w:ascii="Times New Roman" w:hAnsi="Times New Roman" w:cs="Times New Roman"/>
          <w:iCs/>
          <w:sz w:val="22"/>
        </w:rPr>
        <w:footnoteReference w:id="20"/>
      </w:r>
      <w:r w:rsidRPr="00533BD4">
        <w:rPr>
          <w:rFonts w:ascii="Times New Roman" w:hAnsi="Times New Roman" w:cs="Times New Roman"/>
          <w:iCs/>
          <w:sz w:val="22"/>
        </w:rPr>
        <w:fldChar w:fldCharType="begin" w:fldLock="1"/>
      </w:r>
      <w:r w:rsidRPr="00533BD4">
        <w:rPr>
          <w:rFonts w:ascii="Times New Roman" w:hAnsi="Times New Roman" w:cs="Times New Roman"/>
          <w:iCs/>
          <w:sz w:val="22"/>
        </w:rPr>
        <w:instrText>ADDIN CSL_CITATION {"citationItems":[{"id":"ITEM-1","itemData":{"author":[{"dropping-particle":"","family":"Welsby","given":"D","non-dropping-particle":"","parse-names":false,"suffix":""}],"id":"ITEM-1","issued":{"date-parts":[["2021"]]},"publisher":"University College London","title":"Modelling uncertainty in global gas resources and markets (forthcoming)","type":"thesis"},"uris":["http://www.mendeley.com/documents/?uuid=9fce9ab4-12e4-4b6e-905c-c39c62d13885"]}],"mendeley":{"formattedCitation":"&lt;sup&gt;10&lt;/sup&gt;","plainTextFormattedCitation":"10","previouslyFormattedCitation":"&lt;sup&gt;10&lt;/sup&gt;"},"properties":{"noteIndex":0},"schema":"https://github.com/citation-style-language/schema/raw/master/csl-citation.json"}</w:instrText>
      </w:r>
      <w:r w:rsidR="00A872DB">
        <w:rPr>
          <w:rFonts w:ascii="Times New Roman" w:hAnsi="Times New Roman" w:cs="Times New Roman"/>
          <w:iCs/>
          <w:sz w:val="22"/>
        </w:rPr>
        <w:fldChar w:fldCharType="separate"/>
      </w:r>
      <w:r w:rsidRPr="00533BD4">
        <w:rPr>
          <w:rFonts w:ascii="Times New Roman" w:hAnsi="Times New Roman" w:cs="Times New Roman"/>
          <w:iCs/>
          <w:sz w:val="22"/>
        </w:rPr>
        <w:fldChar w:fldCharType="end"/>
      </w:r>
      <w:r w:rsidRPr="00533BD4">
        <w:rPr>
          <w:rFonts w:ascii="Times New Roman" w:hAnsi="Times New Roman" w:cs="Times New Roman"/>
          <w:iCs/>
          <w:sz w:val="22"/>
        </w:rPr>
        <w:t>, McGlade, 2013</w:t>
      </w:r>
      <w:r w:rsidR="00533BD4">
        <w:rPr>
          <w:rStyle w:val="FootnoteReference"/>
          <w:rFonts w:ascii="Times New Roman" w:hAnsi="Times New Roman" w:cs="Times New Roman"/>
          <w:iCs/>
          <w:sz w:val="22"/>
        </w:rPr>
        <w:footnoteReference w:id="21"/>
      </w:r>
      <w:r w:rsidR="00DD5E34" w:rsidRPr="00533BD4">
        <w:rPr>
          <w:rFonts w:ascii="Times New Roman" w:hAnsi="Times New Roman" w:cs="Times New Roman"/>
          <w:iCs/>
          <w:sz w:val="22"/>
        </w:rPr>
        <w:br w:type="page"/>
      </w:r>
    </w:p>
    <w:p w14:paraId="55094A79" w14:textId="49CBA932" w:rsidR="001309B9" w:rsidRPr="009F19BD" w:rsidRDefault="001309B9" w:rsidP="00DD5E34">
      <w:pPr>
        <w:pStyle w:val="Normalsingle"/>
        <w:rPr>
          <w:rFonts w:ascii="Times New Roman" w:hAnsi="Times New Roman"/>
          <w:sz w:val="20"/>
          <w:szCs w:val="20"/>
        </w:rPr>
      </w:pPr>
      <w:r w:rsidRPr="009F19BD">
        <w:rPr>
          <w:rFonts w:ascii="Times New Roman" w:hAnsi="Times New Roman"/>
          <w:sz w:val="22"/>
          <w:szCs w:val="22"/>
        </w:rPr>
        <w:lastRenderedPageBreak/>
        <w:fldChar w:fldCharType="begin"/>
      </w:r>
      <w:r w:rsidRPr="009F19BD">
        <w:rPr>
          <w:rFonts w:ascii="Times New Roman" w:hAnsi="Times New Roman"/>
          <w:sz w:val="22"/>
          <w:szCs w:val="22"/>
        </w:rPr>
        <w:instrText xml:space="preserve"> REF _Ref64819446 \h  \* MERGEFORMAT </w:instrText>
      </w:r>
      <w:r w:rsidRPr="009F19BD">
        <w:rPr>
          <w:rFonts w:ascii="Times New Roman" w:hAnsi="Times New Roman"/>
          <w:sz w:val="22"/>
          <w:szCs w:val="22"/>
        </w:rPr>
      </w:r>
      <w:r w:rsidRPr="009F19BD">
        <w:rPr>
          <w:rFonts w:ascii="Times New Roman" w:hAnsi="Times New Roman"/>
          <w:sz w:val="22"/>
          <w:szCs w:val="22"/>
        </w:rPr>
        <w:fldChar w:fldCharType="separate"/>
      </w:r>
      <w:r w:rsidRPr="009F19BD">
        <w:rPr>
          <w:rFonts w:ascii="Times New Roman" w:hAnsi="Times New Roman"/>
          <w:sz w:val="22"/>
          <w:szCs w:val="22"/>
        </w:rPr>
        <w:t xml:space="preserve">Supplementary Table </w:t>
      </w:r>
      <w:r w:rsidRPr="009F19BD">
        <w:rPr>
          <w:rFonts w:ascii="Times New Roman" w:hAnsi="Times New Roman"/>
          <w:sz w:val="22"/>
          <w:szCs w:val="22"/>
        </w:rPr>
        <w:fldChar w:fldCharType="end"/>
      </w:r>
      <w:r w:rsidR="00DD5E34">
        <w:rPr>
          <w:rFonts w:ascii="Times New Roman" w:hAnsi="Times New Roman"/>
          <w:sz w:val="22"/>
          <w:szCs w:val="22"/>
        </w:rPr>
        <w:t>10</w:t>
      </w:r>
      <w:r w:rsidRPr="009F19BD">
        <w:rPr>
          <w:rFonts w:ascii="Times New Roman" w:hAnsi="Times New Roman"/>
          <w:sz w:val="22"/>
          <w:szCs w:val="22"/>
        </w:rPr>
        <w:t xml:space="preserve"> shows a cost range for some key </w:t>
      </w:r>
      <w:r w:rsidRPr="009F19BD">
        <w:rPr>
          <w:rFonts w:ascii="Times New Roman" w:hAnsi="Times New Roman"/>
        </w:rPr>
        <w:t>fossil methane gas</w:t>
      </w:r>
      <w:r w:rsidRPr="009F19BD">
        <w:rPr>
          <w:rFonts w:ascii="Times New Roman" w:hAnsi="Times New Roman"/>
          <w:sz w:val="22"/>
          <w:szCs w:val="22"/>
        </w:rPr>
        <w:t xml:space="preserve"> mining technologies, generated using a field-level database and a linear regression model applied to geological parameters to generate cost depletion curves. </w:t>
      </w:r>
    </w:p>
    <w:p w14:paraId="607ADF98" w14:textId="5A2AC12A" w:rsidR="001309B9" w:rsidRPr="00DD5E34" w:rsidRDefault="001309B9" w:rsidP="001309B9">
      <w:pPr>
        <w:pStyle w:val="Caption"/>
        <w:rPr>
          <w:rFonts w:ascii="Times New Roman" w:hAnsi="Times New Roman" w:cs="Times New Roman"/>
          <w:i w:val="0"/>
          <w:iCs w:val="0"/>
          <w:sz w:val="22"/>
          <w:szCs w:val="22"/>
        </w:rPr>
      </w:pPr>
      <w:bookmarkStart w:id="12" w:name="_Ref64819446"/>
      <w:r w:rsidRPr="00DD5E34">
        <w:rPr>
          <w:rFonts w:ascii="Times New Roman" w:hAnsi="Times New Roman" w:cs="Times New Roman"/>
          <w:i w:val="0"/>
          <w:iCs w:val="0"/>
          <w:sz w:val="22"/>
          <w:szCs w:val="22"/>
        </w:rPr>
        <w:t xml:space="preserve">Supplementary Table </w:t>
      </w:r>
      <w:bookmarkEnd w:id="12"/>
      <w:r w:rsidR="00DD5E34">
        <w:rPr>
          <w:rFonts w:ascii="Times New Roman" w:hAnsi="Times New Roman" w:cs="Times New Roman"/>
          <w:i w:val="0"/>
          <w:iCs w:val="0"/>
          <w:sz w:val="22"/>
          <w:szCs w:val="22"/>
        </w:rPr>
        <w:t>10</w:t>
      </w:r>
      <w:r w:rsidRPr="00DD5E34">
        <w:rPr>
          <w:rFonts w:ascii="Times New Roman" w:hAnsi="Times New Roman" w:cs="Times New Roman"/>
          <w:i w:val="0"/>
          <w:iCs w:val="0"/>
          <w:sz w:val="22"/>
          <w:szCs w:val="22"/>
        </w:rPr>
        <w:t>. Cost range for individual fossil methane gas fields derived from the regression analysis by Welsby</w:t>
      </w:r>
      <w:r w:rsidR="00533BD4">
        <w:rPr>
          <w:rStyle w:val="FootnoteReference"/>
          <w:rFonts w:ascii="Times New Roman" w:hAnsi="Times New Roman" w:cs="Times New Roman"/>
          <w:i w:val="0"/>
          <w:iCs w:val="0"/>
          <w:sz w:val="22"/>
          <w:szCs w:val="22"/>
        </w:rPr>
        <w:footnoteReference w:id="22"/>
      </w:r>
      <w:r w:rsidRPr="00DD5E34">
        <w:rPr>
          <w:rFonts w:ascii="Times New Roman" w:hAnsi="Times New Roman" w:cs="Times New Roman"/>
          <w:i w:val="0"/>
          <w:iCs w:val="0"/>
          <w:sz w:val="22"/>
          <w:szCs w:val="22"/>
        </w:rPr>
        <w:t>, and used to construct supply cost curves which were into TIAM-UCL</w:t>
      </w:r>
    </w:p>
    <w:p w14:paraId="64E0A9AD" w14:textId="77777777" w:rsidR="001309B9" w:rsidRPr="009F19BD" w:rsidRDefault="001309B9" w:rsidP="001309B9">
      <w:pPr>
        <w:pStyle w:val="00DDPPNormal"/>
        <w:rPr>
          <w:rFonts w:ascii="Times New Roman" w:hAnsi="Times New Roman" w:cs="Times New Roman"/>
          <w:b/>
          <w:sz w:val="8"/>
          <w:szCs w:val="8"/>
        </w:rPr>
      </w:pPr>
    </w:p>
    <w:tbl>
      <w:tblPr>
        <w:tblStyle w:val="TableGrid"/>
        <w:tblW w:w="8850" w:type="dxa"/>
        <w:tblInd w:w="108" w:type="dxa"/>
        <w:tblLook w:val="04A0" w:firstRow="1" w:lastRow="0" w:firstColumn="1" w:lastColumn="0" w:noHBand="0" w:noVBand="1"/>
      </w:tblPr>
      <w:tblGrid>
        <w:gridCol w:w="3544"/>
        <w:gridCol w:w="1290"/>
        <w:gridCol w:w="1435"/>
        <w:gridCol w:w="1291"/>
        <w:gridCol w:w="1290"/>
      </w:tblGrid>
      <w:tr w:rsidR="001309B9" w:rsidRPr="009F19BD" w14:paraId="49EE894B" w14:textId="77777777" w:rsidTr="00B50CDC">
        <w:tc>
          <w:tcPr>
            <w:tcW w:w="3544" w:type="dxa"/>
            <w:shd w:val="clear" w:color="auto" w:fill="D9D9D9" w:themeFill="background1" w:themeFillShade="D9"/>
          </w:tcPr>
          <w:p w14:paraId="19DA3B6D"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Resource category</w:t>
            </w:r>
          </w:p>
        </w:tc>
        <w:tc>
          <w:tcPr>
            <w:tcW w:w="1290" w:type="dxa"/>
            <w:shd w:val="clear" w:color="auto" w:fill="D9D9D9" w:themeFill="background1" w:themeFillShade="D9"/>
          </w:tcPr>
          <w:p w14:paraId="64267573"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Minimum cost, $/</w:t>
            </w:r>
            <w:proofErr w:type="spellStart"/>
            <w:r w:rsidRPr="009F19BD">
              <w:rPr>
                <w:rFonts w:ascii="Times New Roman" w:hAnsi="Times New Roman" w:cs="Times New Roman"/>
                <w:b/>
                <w:sz w:val="18"/>
                <w:szCs w:val="18"/>
              </w:rPr>
              <w:t>boe</w:t>
            </w:r>
            <w:proofErr w:type="spellEnd"/>
          </w:p>
        </w:tc>
        <w:tc>
          <w:tcPr>
            <w:tcW w:w="1435" w:type="dxa"/>
            <w:shd w:val="clear" w:color="auto" w:fill="D9D9D9" w:themeFill="background1" w:themeFillShade="D9"/>
          </w:tcPr>
          <w:p w14:paraId="3274A71A"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Minimum cost region</w:t>
            </w:r>
          </w:p>
        </w:tc>
        <w:tc>
          <w:tcPr>
            <w:tcW w:w="1291" w:type="dxa"/>
            <w:shd w:val="clear" w:color="auto" w:fill="D9D9D9" w:themeFill="background1" w:themeFillShade="D9"/>
          </w:tcPr>
          <w:p w14:paraId="403B609E"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Maximum cost, $/</w:t>
            </w:r>
            <w:proofErr w:type="spellStart"/>
            <w:r w:rsidRPr="009F19BD">
              <w:rPr>
                <w:rFonts w:ascii="Times New Roman" w:hAnsi="Times New Roman" w:cs="Times New Roman"/>
                <w:b/>
                <w:sz w:val="18"/>
                <w:szCs w:val="18"/>
              </w:rPr>
              <w:t>boe</w:t>
            </w:r>
            <w:proofErr w:type="spellEnd"/>
            <w:r w:rsidRPr="009F19BD">
              <w:rPr>
                <w:rFonts w:ascii="Times New Roman" w:hAnsi="Times New Roman" w:cs="Times New Roman"/>
                <w:b/>
                <w:sz w:val="18"/>
                <w:szCs w:val="18"/>
              </w:rPr>
              <w:t>*</w:t>
            </w:r>
          </w:p>
        </w:tc>
        <w:tc>
          <w:tcPr>
            <w:tcW w:w="1290" w:type="dxa"/>
            <w:shd w:val="clear" w:color="auto" w:fill="D9D9D9" w:themeFill="background1" w:themeFillShade="D9"/>
          </w:tcPr>
          <w:p w14:paraId="40F674E0"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Maximum cost region</w:t>
            </w:r>
          </w:p>
        </w:tc>
      </w:tr>
      <w:tr w:rsidR="001309B9" w:rsidRPr="009F19BD" w14:paraId="78A76869" w14:textId="77777777" w:rsidTr="00B50CDC">
        <w:tc>
          <w:tcPr>
            <w:tcW w:w="3544" w:type="dxa"/>
          </w:tcPr>
          <w:p w14:paraId="5F15ECDE"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Proved non-associated onshore conventional reserves (includes sour)</w:t>
            </w:r>
          </w:p>
        </w:tc>
        <w:tc>
          <w:tcPr>
            <w:tcW w:w="1290" w:type="dxa"/>
          </w:tcPr>
          <w:p w14:paraId="672CECB1"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4</w:t>
            </w:r>
          </w:p>
        </w:tc>
        <w:tc>
          <w:tcPr>
            <w:tcW w:w="1435" w:type="dxa"/>
          </w:tcPr>
          <w:p w14:paraId="41813FA8"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FSU</w:t>
            </w:r>
          </w:p>
        </w:tc>
        <w:tc>
          <w:tcPr>
            <w:tcW w:w="1291" w:type="dxa"/>
          </w:tcPr>
          <w:p w14:paraId="1673E574"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38</w:t>
            </w:r>
          </w:p>
        </w:tc>
        <w:tc>
          <w:tcPr>
            <w:tcW w:w="1290" w:type="dxa"/>
          </w:tcPr>
          <w:p w14:paraId="7736495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FSU</w:t>
            </w:r>
          </w:p>
        </w:tc>
      </w:tr>
      <w:tr w:rsidR="001309B9" w:rsidRPr="009F19BD" w14:paraId="23D068C8" w14:textId="77777777" w:rsidTr="00B50CDC">
        <w:tc>
          <w:tcPr>
            <w:tcW w:w="3544" w:type="dxa"/>
          </w:tcPr>
          <w:p w14:paraId="495D8924"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Proved non-associated offshore shallow conventional reserves</w:t>
            </w:r>
          </w:p>
        </w:tc>
        <w:tc>
          <w:tcPr>
            <w:tcW w:w="1290" w:type="dxa"/>
          </w:tcPr>
          <w:p w14:paraId="246313CE"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7</w:t>
            </w:r>
          </w:p>
        </w:tc>
        <w:tc>
          <w:tcPr>
            <w:tcW w:w="1435" w:type="dxa"/>
          </w:tcPr>
          <w:p w14:paraId="07FB84A1"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Middle East</w:t>
            </w:r>
          </w:p>
        </w:tc>
        <w:tc>
          <w:tcPr>
            <w:tcW w:w="1291" w:type="dxa"/>
          </w:tcPr>
          <w:p w14:paraId="571BD034"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37</w:t>
            </w:r>
          </w:p>
        </w:tc>
        <w:tc>
          <w:tcPr>
            <w:tcW w:w="1290" w:type="dxa"/>
          </w:tcPr>
          <w:p w14:paraId="610F522D"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Europe</w:t>
            </w:r>
          </w:p>
        </w:tc>
      </w:tr>
      <w:tr w:rsidR="001309B9" w:rsidRPr="009F19BD" w14:paraId="0D05AC87" w14:textId="77777777" w:rsidTr="00B50CDC">
        <w:tc>
          <w:tcPr>
            <w:tcW w:w="3544" w:type="dxa"/>
          </w:tcPr>
          <w:p w14:paraId="0D5091BB"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Proved non-associated offshore deep conventional reserves</w:t>
            </w:r>
          </w:p>
        </w:tc>
        <w:tc>
          <w:tcPr>
            <w:tcW w:w="1290" w:type="dxa"/>
          </w:tcPr>
          <w:p w14:paraId="66F37AF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16</w:t>
            </w:r>
          </w:p>
        </w:tc>
        <w:tc>
          <w:tcPr>
            <w:tcW w:w="1435" w:type="dxa"/>
          </w:tcPr>
          <w:p w14:paraId="25C03862"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Central and South America</w:t>
            </w:r>
          </w:p>
        </w:tc>
        <w:tc>
          <w:tcPr>
            <w:tcW w:w="1291" w:type="dxa"/>
          </w:tcPr>
          <w:p w14:paraId="5A3FD05B"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38</w:t>
            </w:r>
          </w:p>
        </w:tc>
        <w:tc>
          <w:tcPr>
            <w:tcW w:w="1290" w:type="dxa"/>
          </w:tcPr>
          <w:p w14:paraId="5D291B35"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USA</w:t>
            </w:r>
          </w:p>
        </w:tc>
      </w:tr>
      <w:tr w:rsidR="001309B9" w:rsidRPr="009F19BD" w14:paraId="72FB3A95" w14:textId="77777777" w:rsidTr="00B50CDC">
        <w:tc>
          <w:tcPr>
            <w:tcW w:w="3544" w:type="dxa"/>
          </w:tcPr>
          <w:p w14:paraId="2DB87C94"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Conventional non-associated reserve additions</w:t>
            </w:r>
          </w:p>
        </w:tc>
        <w:tc>
          <w:tcPr>
            <w:tcW w:w="1290" w:type="dxa"/>
          </w:tcPr>
          <w:p w14:paraId="199002D3"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10</w:t>
            </w:r>
          </w:p>
        </w:tc>
        <w:tc>
          <w:tcPr>
            <w:tcW w:w="1435" w:type="dxa"/>
          </w:tcPr>
          <w:p w14:paraId="44C90FF3"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FSU</w:t>
            </w:r>
          </w:p>
        </w:tc>
        <w:tc>
          <w:tcPr>
            <w:tcW w:w="1291" w:type="dxa"/>
          </w:tcPr>
          <w:p w14:paraId="7075B91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45</w:t>
            </w:r>
          </w:p>
        </w:tc>
        <w:tc>
          <w:tcPr>
            <w:tcW w:w="1290" w:type="dxa"/>
          </w:tcPr>
          <w:p w14:paraId="6F498835"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Middle East</w:t>
            </w:r>
          </w:p>
        </w:tc>
      </w:tr>
      <w:tr w:rsidR="001309B9" w:rsidRPr="009F19BD" w14:paraId="0E78AF50" w14:textId="77777777" w:rsidTr="00B50CDC">
        <w:tc>
          <w:tcPr>
            <w:tcW w:w="3544" w:type="dxa"/>
          </w:tcPr>
          <w:p w14:paraId="2B036489"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Undiscovered non-associated conventional</w:t>
            </w:r>
          </w:p>
        </w:tc>
        <w:tc>
          <w:tcPr>
            <w:tcW w:w="1290" w:type="dxa"/>
          </w:tcPr>
          <w:p w14:paraId="3C349FBB"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24</w:t>
            </w:r>
          </w:p>
        </w:tc>
        <w:tc>
          <w:tcPr>
            <w:tcW w:w="1435" w:type="dxa"/>
          </w:tcPr>
          <w:p w14:paraId="49E0991B"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Middle East</w:t>
            </w:r>
          </w:p>
        </w:tc>
        <w:tc>
          <w:tcPr>
            <w:tcW w:w="1291" w:type="dxa"/>
          </w:tcPr>
          <w:p w14:paraId="485E8849"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58</w:t>
            </w:r>
          </w:p>
        </w:tc>
        <w:tc>
          <w:tcPr>
            <w:tcW w:w="1290" w:type="dxa"/>
          </w:tcPr>
          <w:p w14:paraId="6D9F2C7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Central and South America</w:t>
            </w:r>
          </w:p>
        </w:tc>
      </w:tr>
      <w:tr w:rsidR="001309B9" w:rsidRPr="009F19BD" w14:paraId="011998F0" w14:textId="77777777" w:rsidTr="00B50CDC">
        <w:tc>
          <w:tcPr>
            <w:tcW w:w="3544" w:type="dxa"/>
          </w:tcPr>
          <w:p w14:paraId="46EA55D2"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Sour fossil methane gas undeveloped</w:t>
            </w:r>
          </w:p>
        </w:tc>
        <w:tc>
          <w:tcPr>
            <w:tcW w:w="1290" w:type="dxa"/>
          </w:tcPr>
          <w:p w14:paraId="26EB374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29</w:t>
            </w:r>
          </w:p>
        </w:tc>
        <w:tc>
          <w:tcPr>
            <w:tcW w:w="1435" w:type="dxa"/>
          </w:tcPr>
          <w:p w14:paraId="28B3638D"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FSU</w:t>
            </w:r>
          </w:p>
        </w:tc>
        <w:tc>
          <w:tcPr>
            <w:tcW w:w="1291" w:type="dxa"/>
          </w:tcPr>
          <w:p w14:paraId="04FECEC6"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45</w:t>
            </w:r>
          </w:p>
        </w:tc>
        <w:tc>
          <w:tcPr>
            <w:tcW w:w="1290" w:type="dxa"/>
          </w:tcPr>
          <w:p w14:paraId="3E4F3E66"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MEA_P</w:t>
            </w:r>
          </w:p>
        </w:tc>
      </w:tr>
      <w:tr w:rsidR="001309B9" w:rsidRPr="009F19BD" w14:paraId="6BDFA4BB" w14:textId="77777777" w:rsidTr="00B50CDC">
        <w:tc>
          <w:tcPr>
            <w:tcW w:w="3544" w:type="dxa"/>
          </w:tcPr>
          <w:p w14:paraId="4E0CE669"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Arctic (undeveloped)</w:t>
            </w:r>
          </w:p>
        </w:tc>
        <w:tc>
          <w:tcPr>
            <w:tcW w:w="1290" w:type="dxa"/>
          </w:tcPr>
          <w:p w14:paraId="5FF01EF7"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36</w:t>
            </w:r>
          </w:p>
        </w:tc>
        <w:tc>
          <w:tcPr>
            <w:tcW w:w="1435" w:type="dxa"/>
          </w:tcPr>
          <w:p w14:paraId="19E0C05A"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w:t>
            </w:r>
          </w:p>
        </w:tc>
        <w:tc>
          <w:tcPr>
            <w:tcW w:w="1291" w:type="dxa"/>
          </w:tcPr>
          <w:p w14:paraId="5E3FEF45"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63</w:t>
            </w:r>
          </w:p>
        </w:tc>
        <w:tc>
          <w:tcPr>
            <w:tcW w:w="1290" w:type="dxa"/>
          </w:tcPr>
          <w:p w14:paraId="55CB1B35"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w:t>
            </w:r>
          </w:p>
        </w:tc>
      </w:tr>
      <w:tr w:rsidR="001309B9" w:rsidRPr="009F19BD" w14:paraId="59237AB9" w14:textId="77777777" w:rsidTr="00B50CDC">
        <w:tc>
          <w:tcPr>
            <w:tcW w:w="3544" w:type="dxa"/>
          </w:tcPr>
          <w:p w14:paraId="7DBF8A06"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Shale gas</w:t>
            </w:r>
          </w:p>
        </w:tc>
        <w:tc>
          <w:tcPr>
            <w:tcW w:w="1290" w:type="dxa"/>
          </w:tcPr>
          <w:p w14:paraId="381EFE31"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14</w:t>
            </w:r>
          </w:p>
        </w:tc>
        <w:tc>
          <w:tcPr>
            <w:tcW w:w="1435" w:type="dxa"/>
          </w:tcPr>
          <w:p w14:paraId="180A7AF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USA</w:t>
            </w:r>
          </w:p>
        </w:tc>
        <w:tc>
          <w:tcPr>
            <w:tcW w:w="1291" w:type="dxa"/>
          </w:tcPr>
          <w:p w14:paraId="651B1A8F"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147</w:t>
            </w:r>
          </w:p>
        </w:tc>
        <w:tc>
          <w:tcPr>
            <w:tcW w:w="1290" w:type="dxa"/>
          </w:tcPr>
          <w:p w14:paraId="5BD6C3D4"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MEA_P</w:t>
            </w:r>
          </w:p>
        </w:tc>
      </w:tr>
      <w:tr w:rsidR="001309B9" w:rsidRPr="009F19BD" w14:paraId="2F1744AC" w14:textId="77777777" w:rsidTr="00B50CDC">
        <w:tc>
          <w:tcPr>
            <w:tcW w:w="3544" w:type="dxa"/>
          </w:tcPr>
          <w:p w14:paraId="4127FBD3"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Tight fossil methane gas</w:t>
            </w:r>
          </w:p>
        </w:tc>
        <w:tc>
          <w:tcPr>
            <w:tcW w:w="1290" w:type="dxa"/>
          </w:tcPr>
          <w:p w14:paraId="35F4A7B8"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18</w:t>
            </w:r>
          </w:p>
        </w:tc>
        <w:tc>
          <w:tcPr>
            <w:tcW w:w="1435" w:type="dxa"/>
          </w:tcPr>
          <w:p w14:paraId="05D2FE1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USA/CAN</w:t>
            </w:r>
          </w:p>
        </w:tc>
        <w:tc>
          <w:tcPr>
            <w:tcW w:w="1291" w:type="dxa"/>
          </w:tcPr>
          <w:p w14:paraId="0A69527B"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66</w:t>
            </w:r>
          </w:p>
        </w:tc>
        <w:tc>
          <w:tcPr>
            <w:tcW w:w="1290" w:type="dxa"/>
          </w:tcPr>
          <w:p w14:paraId="058DE1AC"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Europe</w:t>
            </w:r>
          </w:p>
        </w:tc>
      </w:tr>
      <w:tr w:rsidR="001309B9" w:rsidRPr="009F19BD" w14:paraId="3362A289" w14:textId="77777777" w:rsidTr="00B50CDC">
        <w:tc>
          <w:tcPr>
            <w:tcW w:w="3544" w:type="dxa"/>
          </w:tcPr>
          <w:p w14:paraId="2AB2556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CBM</w:t>
            </w:r>
          </w:p>
        </w:tc>
        <w:tc>
          <w:tcPr>
            <w:tcW w:w="1290" w:type="dxa"/>
          </w:tcPr>
          <w:p w14:paraId="16820404"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17</w:t>
            </w:r>
          </w:p>
        </w:tc>
        <w:tc>
          <w:tcPr>
            <w:tcW w:w="1435" w:type="dxa"/>
          </w:tcPr>
          <w:p w14:paraId="14E0D384"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USA</w:t>
            </w:r>
          </w:p>
        </w:tc>
        <w:tc>
          <w:tcPr>
            <w:tcW w:w="1291" w:type="dxa"/>
          </w:tcPr>
          <w:p w14:paraId="101F1C10"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60</w:t>
            </w:r>
          </w:p>
        </w:tc>
        <w:tc>
          <w:tcPr>
            <w:tcW w:w="1290" w:type="dxa"/>
          </w:tcPr>
          <w:p w14:paraId="148452A1" w14:textId="77777777" w:rsidR="001309B9" w:rsidRPr="009F19BD" w:rsidRDefault="001309B9" w:rsidP="00B50CDC">
            <w:pPr>
              <w:pStyle w:val="00DDPPNormal"/>
              <w:jc w:val="left"/>
              <w:rPr>
                <w:rFonts w:ascii="Times New Roman" w:hAnsi="Times New Roman" w:cs="Times New Roman"/>
                <w:sz w:val="18"/>
                <w:szCs w:val="18"/>
              </w:rPr>
            </w:pPr>
            <w:r w:rsidRPr="009F19BD">
              <w:rPr>
                <w:rFonts w:ascii="Times New Roman" w:hAnsi="Times New Roman" w:cs="Times New Roman"/>
                <w:sz w:val="18"/>
                <w:szCs w:val="18"/>
              </w:rPr>
              <w:t>China, FSU</w:t>
            </w:r>
          </w:p>
        </w:tc>
      </w:tr>
    </w:tbl>
    <w:p w14:paraId="71F22A23" w14:textId="77777777" w:rsidR="001309B9" w:rsidRPr="009F19BD" w:rsidRDefault="001309B9" w:rsidP="001309B9">
      <w:pPr>
        <w:pStyle w:val="NoSpacing"/>
        <w:rPr>
          <w:rFonts w:ascii="Times New Roman" w:hAnsi="Times New Roman" w:cs="Times New Roman"/>
          <w:sz w:val="20"/>
          <w:szCs w:val="20"/>
        </w:rPr>
      </w:pPr>
    </w:p>
    <w:p w14:paraId="724765CA" w14:textId="77777777" w:rsidR="001309B9" w:rsidRPr="009F19BD" w:rsidRDefault="001309B9" w:rsidP="001309B9">
      <w:pPr>
        <w:rPr>
          <w:rFonts w:ascii="Times New Roman" w:hAnsi="Times New Roman" w:cs="Times New Roman"/>
          <w:sz w:val="20"/>
          <w:szCs w:val="20"/>
        </w:rPr>
      </w:pPr>
    </w:p>
    <w:p w14:paraId="3818F7EF" w14:textId="77777777" w:rsidR="001309B9" w:rsidRPr="009F19BD" w:rsidRDefault="001309B9" w:rsidP="001309B9">
      <w:pPr>
        <w:pStyle w:val="Normalsingle"/>
        <w:rPr>
          <w:rFonts w:ascii="Times New Roman" w:hAnsi="Times New Roman"/>
          <w:sz w:val="22"/>
          <w:szCs w:val="22"/>
          <w:u w:val="single"/>
        </w:rPr>
      </w:pPr>
      <w:r w:rsidRPr="009F19BD">
        <w:rPr>
          <w:rFonts w:ascii="Times New Roman" w:hAnsi="Times New Roman"/>
          <w:sz w:val="22"/>
          <w:szCs w:val="22"/>
          <w:u w:val="single"/>
        </w:rPr>
        <w:t>Oil</w:t>
      </w:r>
    </w:p>
    <w:p w14:paraId="30EC67EA" w14:textId="3F651BCE" w:rsidR="001309B9" w:rsidRPr="009F19BD" w:rsidRDefault="001309B9" w:rsidP="001309B9">
      <w:pPr>
        <w:rPr>
          <w:rFonts w:ascii="Times New Roman" w:hAnsi="Times New Roman" w:cs="Times New Roman"/>
        </w:rPr>
      </w:pPr>
      <w:r w:rsidRPr="009F19BD">
        <w:rPr>
          <w:rFonts w:ascii="Times New Roman" w:hAnsi="Times New Roman" w:cs="Times New Roman"/>
        </w:rPr>
        <w:t>The representation of oil in TIAM-UCL is predominantly based on the work by McGlade</w:t>
      </w:r>
      <w:r w:rsidR="00533BD4">
        <w:rPr>
          <w:rStyle w:val="FootnoteReference"/>
          <w:rFonts w:ascii="Times New Roman" w:hAnsi="Times New Roman" w:cs="Times New Roman"/>
        </w:rPr>
        <w:footnoteReference w:id="23"/>
      </w:r>
      <w:r w:rsidRPr="009F19BD">
        <w:rPr>
          <w:rFonts w:ascii="Times New Roman" w:hAnsi="Times New Roman" w:cs="Times New Roman"/>
        </w:rPr>
        <w:t>, which focused on quantifying uncertainties in the outlook for oil and fossil methane gas, and in particular their availability and costs.  As with fossil methane gas, oil is split into different geological categories, each with specific availabilities and supply cost dynamics:</w:t>
      </w:r>
    </w:p>
    <w:p w14:paraId="785B388C"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Conventional oil proved reserves</w:t>
      </w:r>
    </w:p>
    <w:p w14:paraId="5E954A12"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Conventional oil reserve additions</w:t>
      </w:r>
    </w:p>
    <w:p w14:paraId="20476E15"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Conventional oil new discoveries</w:t>
      </w:r>
    </w:p>
    <w:p w14:paraId="6F56D16D"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Arctic oil</w:t>
      </w:r>
    </w:p>
    <w:p w14:paraId="70AD2C78"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Mined shale oil</w:t>
      </w:r>
    </w:p>
    <w:p w14:paraId="3E8FEAC2"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In-situ shale oil</w:t>
      </w:r>
    </w:p>
    <w:p w14:paraId="322DF55C"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Light tight oil</w:t>
      </w:r>
    </w:p>
    <w:p w14:paraId="282A9EF1"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 xml:space="preserve">Mined oil sands </w:t>
      </w:r>
    </w:p>
    <w:p w14:paraId="06205933" w14:textId="77777777" w:rsidR="001309B9" w:rsidRPr="009F19BD" w:rsidRDefault="001309B9" w:rsidP="0A113E58">
      <w:pPr>
        <w:pStyle w:val="ListParagraph"/>
        <w:numPr>
          <w:ilvl w:val="0"/>
          <w:numId w:val="12"/>
        </w:numPr>
        <w:spacing w:after="0" w:line="240" w:lineRule="auto"/>
        <w:rPr>
          <w:rFonts w:ascii="Times New Roman" w:hAnsi="Times New Roman" w:cs="Times New Roman"/>
        </w:rPr>
      </w:pPr>
      <w:r w:rsidRPr="009F19BD">
        <w:rPr>
          <w:rFonts w:ascii="Times New Roman" w:hAnsi="Times New Roman" w:cs="Times New Roman"/>
        </w:rPr>
        <w:t>In-situ oil sands (ultra-heavy oil)</w:t>
      </w:r>
    </w:p>
    <w:p w14:paraId="220A9E3F" w14:textId="77777777" w:rsidR="001309B9" w:rsidRPr="009F19BD" w:rsidRDefault="001309B9" w:rsidP="001309B9">
      <w:pPr>
        <w:pStyle w:val="00DDPPNormal"/>
        <w:jc w:val="left"/>
        <w:rPr>
          <w:rFonts w:ascii="Times New Roman" w:hAnsi="Times New Roman" w:cs="Times New Roman"/>
          <w:sz w:val="22"/>
        </w:rPr>
      </w:pPr>
    </w:p>
    <w:p w14:paraId="2E7FA333" w14:textId="06EB8015" w:rsidR="001309B9" w:rsidRPr="00DD5E34" w:rsidRDefault="001309B9" w:rsidP="00DD5E34">
      <w:pPr>
        <w:rPr>
          <w:rFonts w:ascii="Times New Roman" w:hAnsi="Times New Roman" w:cs="Times New Roman"/>
          <w:sz w:val="20"/>
          <w:szCs w:val="20"/>
        </w:rPr>
      </w:pPr>
      <w:r w:rsidRPr="009F19BD">
        <w:rPr>
          <w:rFonts w:ascii="Times New Roman" w:hAnsi="Times New Roman" w:cs="Times New Roman"/>
        </w:rPr>
        <w:t>The representation of uncertainty in TIAM-UCL for oil availability and costs differs between conventional and unconventional oil. For conventional oil, adapted country-level estimates of reserve and/or resource availability were taken from the literature and input into probability distributions, with corresponding assumptions on correlation between the estimates. For unconventional oil (</w:t>
      </w:r>
      <w:proofErr w:type="gramStart"/>
      <w:r w:rsidRPr="009F19BD">
        <w:rPr>
          <w:rFonts w:ascii="Times New Roman" w:hAnsi="Times New Roman" w:cs="Times New Roman"/>
        </w:rPr>
        <w:t>e.g.</w:t>
      </w:r>
      <w:proofErr w:type="gramEnd"/>
      <w:r w:rsidRPr="009F19BD">
        <w:rPr>
          <w:rFonts w:ascii="Times New Roman" w:hAnsi="Times New Roman" w:cs="Times New Roman"/>
        </w:rPr>
        <w:t xml:space="preserve"> </w:t>
      </w:r>
      <w:r w:rsidRPr="009F19BD">
        <w:rPr>
          <w:rFonts w:ascii="Times New Roman" w:hAnsi="Times New Roman" w:cs="Times New Roman"/>
        </w:rPr>
        <w:lastRenderedPageBreak/>
        <w:t xml:space="preserve">mined bitumen), two parameters were assigned probability distributions: a range of estimates for original oil in-place (OOIP) and a range of estimates of a recovery factor (i.e. between 0 and 1, which determines the proportion of the in-place resource base which is technically recoverable). These two distributions were then combined using random repeated sampling (Monte Carlo simulations) to form regional estimates. The combination is the product of the OOIP and the recovery factor, repeated </w:t>
      </w:r>
      <w:proofErr w:type="gramStart"/>
      <w:r w:rsidRPr="009F19BD">
        <w:rPr>
          <w:rFonts w:ascii="Times New Roman" w:hAnsi="Times New Roman" w:cs="Times New Roman"/>
        </w:rPr>
        <w:t>a large number of</w:t>
      </w:r>
      <w:proofErr w:type="gramEnd"/>
      <w:r w:rsidRPr="009F19BD">
        <w:rPr>
          <w:rFonts w:ascii="Times New Roman" w:hAnsi="Times New Roman" w:cs="Times New Roman"/>
        </w:rPr>
        <w:t xml:space="preserve"> times to generate an aggregated distribution. These estimates of the resource base for each category of oil were then combined with cost depletion curves, mostly formed from IEA data on cost ranges, and used to generate supply cost curves. For reference, a detailed discussion around the construction of cost depletion and supply cost curves taking into account the inherent uncertainty in volumetric and cost estimates across different regions and oil resource categories can be found in McGlade</w:t>
      </w:r>
      <w:r w:rsidR="00533BD4">
        <w:rPr>
          <w:rStyle w:val="FootnoteReference"/>
          <w:rFonts w:ascii="Times New Roman" w:hAnsi="Times New Roman" w:cs="Times New Roman"/>
        </w:rPr>
        <w:footnoteReference w:id="24"/>
      </w:r>
      <w:r w:rsidRPr="009F19BD">
        <w:rPr>
          <w:rFonts w:ascii="Times New Roman" w:hAnsi="Times New Roman" w:cs="Times New Roman"/>
        </w:rPr>
        <w:fldChar w:fldCharType="begin" w:fldLock="1"/>
      </w:r>
      <w:r w:rsidRPr="009F19BD">
        <w:rPr>
          <w:rFonts w:ascii="Times New Roman" w:hAnsi="Times New Roman" w:cs="Times New Roman"/>
        </w:rPr>
        <w:instrText>ADDIN CSL_CITATION {"citationItems":[{"id":"ITEM-1","itemData":{"abstract":"Oil and gas will play a central role in the global energy system for the foreseeable future. However, uncertainty surrounds both the availability of and demand for these fuels, and as a result, there are quite disparate viewpoints on the magnitude of this role. The aim of this thesis is to identify, understand, quantify and, where possible, minimise the sources of this uncertainty, and to investigate the implications that such uncertainties have on the future of oil and gas. There are two areas of original contribution to knowledge. First, while numerous studies have examined the availability of various subsets of oil and gas, often in a deterministic manner, this work provides a full description of the uncertainty in the resource potential of all individual categories of oil and gas. This includes estimating the uncertainty in resource availability at different costs of production, and also examining the resource potential of categories that have been previously overlooked. Second, the implications of this and other major sources of uncertainty have never been investigated using models that incorporate both supply and demand-side dynamics. Two models are used for this purpose. The first is an existing energy systems model, TIAM-UCL, which has been substantially modified to allow a more accurate characterisation of long-term oil and gas production and consumption. The second is an oil-sector specific model that has been developed named the 'Bottom-Up Geological and Economic Oil field production model' (BUEGO). This is capable of examining oil production potential to 2035 and is used to examine shorter-term and more sector specific uncertainties.","author":[{"dropping-particle":"","family":"McGlade","given":"C.","non-dropping-particle":"","parse-names":false,"suffix":""}],"container-title":"Doctoral thesis, UCL (University College London).","id":"ITEM-1","issued":{"date-parts":[["2013"]]},"title":"Uncertainties in the outlook for oil and gas","type":"thesis"},"uris":["http://www.mendeley.com/documents/?uuid=9488accc-627f-4007-9f81-0b72268ff191"]}],"mendeley":{"formattedCitation":"&lt;sup&gt;9&lt;/sup&gt;","plainTextFormattedCitation":"9","previouslyFormattedCitation":"&lt;sup&gt;9&lt;/sup&gt;"},"properties":{"noteIndex":0},"schema":"https://github.com/citation-style-language/schema/raw/master/csl-citation.json"}</w:instrText>
      </w:r>
      <w:r w:rsidR="00A872DB">
        <w:rPr>
          <w:rFonts w:ascii="Times New Roman" w:hAnsi="Times New Roman" w:cs="Times New Roman"/>
        </w:rPr>
        <w:fldChar w:fldCharType="separate"/>
      </w:r>
      <w:r w:rsidRPr="009F19BD">
        <w:rPr>
          <w:rFonts w:ascii="Times New Roman" w:hAnsi="Times New Roman" w:cs="Times New Roman"/>
        </w:rPr>
        <w:fldChar w:fldCharType="end"/>
      </w:r>
      <w:r w:rsidRPr="009F19BD">
        <w:rPr>
          <w:rFonts w:ascii="Times New Roman" w:hAnsi="Times New Roman" w:cs="Times New Roman"/>
        </w:rPr>
        <w:t xml:space="preserve">. In general, the depletion analysis for unconventional oil exhibits significantly more rapid cost escalation (compared to conventional oil) as the resource base is depleted. </w:t>
      </w:r>
    </w:p>
    <w:p w14:paraId="71A4ACAC" w14:textId="2FAAB818" w:rsidR="001309B9" w:rsidRPr="009F19BD" w:rsidRDefault="001309B9" w:rsidP="001309B9">
      <w:pPr>
        <w:pStyle w:val="Normalsingle"/>
        <w:rPr>
          <w:rFonts w:ascii="Times New Roman" w:hAnsi="Times New Roman"/>
          <w:sz w:val="22"/>
          <w:szCs w:val="22"/>
        </w:rPr>
      </w:pPr>
      <w:r w:rsidRPr="009F19BD">
        <w:rPr>
          <w:rFonts w:ascii="Times New Roman" w:hAnsi="Times New Roman"/>
          <w:sz w:val="22"/>
          <w:szCs w:val="22"/>
        </w:rPr>
        <w:t>The mining processes for oil and fossil methane gas match the geological categories listed previously. Unconventional oil (tar sands and oil shale) has several more steps in the model to reflect the upgrading required to generate a barrel of crude oil (</w:t>
      </w:r>
      <w:proofErr w:type="gramStart"/>
      <w:r w:rsidRPr="009F19BD">
        <w:rPr>
          <w:rFonts w:ascii="Times New Roman" w:hAnsi="Times New Roman"/>
          <w:sz w:val="22"/>
          <w:szCs w:val="22"/>
        </w:rPr>
        <w:t>i.e.</w:t>
      </w:r>
      <w:proofErr w:type="gramEnd"/>
      <w:r w:rsidRPr="009F19BD">
        <w:rPr>
          <w:rFonts w:ascii="Times New Roman" w:hAnsi="Times New Roman"/>
          <w:sz w:val="22"/>
          <w:szCs w:val="22"/>
        </w:rPr>
        <w:t xml:space="preserve"> to get from bitumen/kerogen, to a barrel of synthetic crude oil). </w:t>
      </w:r>
      <w:r w:rsidRPr="009F19BD">
        <w:rPr>
          <w:rFonts w:ascii="Times New Roman" w:hAnsi="Times New Roman"/>
          <w:sz w:val="22"/>
          <w:szCs w:val="22"/>
          <w:lang w:val="en-US"/>
        </w:rPr>
        <w:fldChar w:fldCharType="begin"/>
      </w:r>
      <w:r w:rsidRPr="009F19BD">
        <w:rPr>
          <w:rFonts w:ascii="Times New Roman" w:hAnsi="Times New Roman"/>
          <w:sz w:val="22"/>
          <w:szCs w:val="22"/>
        </w:rPr>
        <w:instrText xml:space="preserve"> REF _Ref64819775 \h </w:instrText>
      </w:r>
      <w:r w:rsidRPr="009F19BD">
        <w:rPr>
          <w:rFonts w:ascii="Times New Roman" w:hAnsi="Times New Roman"/>
          <w:sz w:val="22"/>
          <w:szCs w:val="22"/>
          <w:lang w:val="en-US"/>
        </w:rPr>
        <w:instrText xml:space="preserve"> \* MERGEFORMAT </w:instrText>
      </w:r>
      <w:r w:rsidRPr="009F19BD">
        <w:rPr>
          <w:rFonts w:ascii="Times New Roman" w:hAnsi="Times New Roman"/>
          <w:sz w:val="22"/>
          <w:szCs w:val="22"/>
          <w:lang w:val="en-US"/>
        </w:rPr>
      </w:r>
      <w:r w:rsidRPr="009F19BD">
        <w:rPr>
          <w:rFonts w:ascii="Times New Roman" w:hAnsi="Times New Roman"/>
          <w:sz w:val="22"/>
          <w:szCs w:val="22"/>
          <w:lang w:val="en-US"/>
        </w:rPr>
        <w:fldChar w:fldCharType="separate"/>
      </w:r>
      <w:r w:rsidRPr="009F19BD">
        <w:rPr>
          <w:rFonts w:ascii="Times New Roman" w:hAnsi="Times New Roman"/>
          <w:sz w:val="22"/>
          <w:szCs w:val="22"/>
        </w:rPr>
        <w:t>Supplementary Table</w:t>
      </w:r>
      <w:r w:rsidR="00DD5E34">
        <w:rPr>
          <w:rFonts w:ascii="Times New Roman" w:hAnsi="Times New Roman"/>
          <w:sz w:val="22"/>
          <w:szCs w:val="22"/>
        </w:rPr>
        <w:t xml:space="preserve"> 11</w:t>
      </w:r>
      <w:r w:rsidRPr="009F19BD">
        <w:rPr>
          <w:rFonts w:ascii="Times New Roman" w:hAnsi="Times New Roman"/>
          <w:sz w:val="22"/>
          <w:szCs w:val="22"/>
          <w:lang w:val="en-US"/>
        </w:rPr>
        <w:fldChar w:fldCharType="end"/>
      </w:r>
      <w:r w:rsidRPr="009F19BD">
        <w:rPr>
          <w:rFonts w:ascii="Times New Roman" w:hAnsi="Times New Roman"/>
          <w:sz w:val="22"/>
          <w:szCs w:val="22"/>
          <w:lang w:val="en-US"/>
        </w:rPr>
        <w:t xml:space="preserve"> </w:t>
      </w:r>
      <w:r w:rsidRPr="009F19BD">
        <w:rPr>
          <w:rFonts w:ascii="Times New Roman" w:hAnsi="Times New Roman"/>
          <w:sz w:val="22"/>
          <w:szCs w:val="22"/>
        </w:rPr>
        <w:t>shows the range of costs in TIAM-UCL for the mining technologies in the upstream sector. Also included is the region in TIAM-UCL containing the minimum and maximum cost for each category. As with fossil methane gas represented in Supplementary Figure</w:t>
      </w:r>
      <w:r w:rsidR="00DD5E34">
        <w:rPr>
          <w:rFonts w:ascii="Times New Roman" w:hAnsi="Times New Roman"/>
          <w:sz w:val="22"/>
          <w:szCs w:val="22"/>
        </w:rPr>
        <w:t xml:space="preserve"> </w:t>
      </w:r>
      <w:r w:rsidR="0028121F">
        <w:rPr>
          <w:rFonts w:ascii="Times New Roman" w:hAnsi="Times New Roman"/>
          <w:sz w:val="22"/>
          <w:szCs w:val="22"/>
        </w:rPr>
        <w:t>6</w:t>
      </w:r>
      <w:r w:rsidRPr="009F19BD">
        <w:rPr>
          <w:rFonts w:ascii="Times New Roman" w:hAnsi="Times New Roman"/>
          <w:sz w:val="22"/>
          <w:szCs w:val="22"/>
        </w:rPr>
        <w:t xml:space="preserve">, the supply cost curves for each category of oil are split into three sections: the first 50% of the resource base considered the lowest cost, then the next 30%, and finally the most expensive oil representing the last 20% of the resource base. </w:t>
      </w:r>
    </w:p>
    <w:p w14:paraId="558137D2" w14:textId="075D4B6C" w:rsidR="001309B9" w:rsidRPr="00DD5E34" w:rsidRDefault="001309B9" w:rsidP="001309B9">
      <w:pPr>
        <w:pStyle w:val="00DDPPNormal"/>
        <w:rPr>
          <w:rFonts w:ascii="Times New Roman" w:hAnsi="Times New Roman" w:cs="Times New Roman"/>
          <w:b/>
          <w:iCs/>
          <w:sz w:val="22"/>
        </w:rPr>
      </w:pPr>
      <w:bookmarkStart w:id="13" w:name="_Ref64819775"/>
      <w:r w:rsidRPr="00DD5E34">
        <w:rPr>
          <w:rFonts w:ascii="Times New Roman" w:hAnsi="Times New Roman" w:cs="Times New Roman"/>
          <w:b/>
          <w:iCs/>
          <w:sz w:val="22"/>
        </w:rPr>
        <w:t>Supplementary Table</w:t>
      </w:r>
      <w:r w:rsidR="00DD5E34" w:rsidRPr="00DD5E34">
        <w:rPr>
          <w:rFonts w:ascii="Times New Roman" w:hAnsi="Times New Roman" w:cs="Times New Roman"/>
          <w:b/>
          <w:iCs/>
          <w:sz w:val="22"/>
        </w:rPr>
        <w:t xml:space="preserve"> 11</w:t>
      </w:r>
      <w:bookmarkEnd w:id="13"/>
      <w:r w:rsidRPr="00DD5E34">
        <w:rPr>
          <w:rFonts w:ascii="Times New Roman" w:hAnsi="Times New Roman" w:cs="Times New Roman"/>
          <w:b/>
          <w:iCs/>
          <w:sz w:val="22"/>
        </w:rPr>
        <w:t>. Cost ranges for oil resources in TIAM-UCL</w:t>
      </w:r>
    </w:p>
    <w:p w14:paraId="59475E83" w14:textId="77777777" w:rsidR="001309B9" w:rsidRPr="009F19BD" w:rsidRDefault="001309B9" w:rsidP="001309B9">
      <w:pPr>
        <w:pStyle w:val="00DDPPNormal"/>
        <w:jc w:val="left"/>
        <w:rPr>
          <w:rFonts w:ascii="Times New Roman" w:hAnsi="Times New Roman" w:cs="Times New Roman"/>
          <w:sz w:val="8"/>
          <w:szCs w:val="8"/>
        </w:rPr>
      </w:pPr>
    </w:p>
    <w:tbl>
      <w:tblPr>
        <w:tblStyle w:val="TableGrid"/>
        <w:tblW w:w="8901" w:type="dxa"/>
        <w:tblInd w:w="108" w:type="dxa"/>
        <w:tblLook w:val="04A0" w:firstRow="1" w:lastRow="0" w:firstColumn="1" w:lastColumn="0" w:noHBand="0" w:noVBand="1"/>
      </w:tblPr>
      <w:tblGrid>
        <w:gridCol w:w="2268"/>
        <w:gridCol w:w="1593"/>
        <w:gridCol w:w="1680"/>
        <w:gridCol w:w="1680"/>
        <w:gridCol w:w="1680"/>
      </w:tblGrid>
      <w:tr w:rsidR="001309B9" w:rsidRPr="009F19BD" w14:paraId="3B67844E" w14:textId="77777777" w:rsidTr="00B50CDC">
        <w:trPr>
          <w:trHeight w:val="303"/>
        </w:trPr>
        <w:tc>
          <w:tcPr>
            <w:tcW w:w="2268" w:type="dxa"/>
            <w:shd w:val="clear" w:color="auto" w:fill="D9D9D9" w:themeFill="background1" w:themeFillShade="D9"/>
          </w:tcPr>
          <w:p w14:paraId="22019EA9"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Resource category</w:t>
            </w:r>
          </w:p>
        </w:tc>
        <w:tc>
          <w:tcPr>
            <w:tcW w:w="1593" w:type="dxa"/>
            <w:shd w:val="clear" w:color="auto" w:fill="D9D9D9" w:themeFill="background1" w:themeFillShade="D9"/>
          </w:tcPr>
          <w:p w14:paraId="33306F6B"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Minimum cost, $/</w:t>
            </w:r>
            <w:proofErr w:type="spellStart"/>
            <w:r w:rsidRPr="009F19BD">
              <w:rPr>
                <w:rFonts w:ascii="Times New Roman" w:hAnsi="Times New Roman" w:cs="Times New Roman"/>
                <w:b/>
                <w:sz w:val="18"/>
                <w:szCs w:val="18"/>
              </w:rPr>
              <w:t>boe</w:t>
            </w:r>
            <w:proofErr w:type="spellEnd"/>
          </w:p>
        </w:tc>
        <w:tc>
          <w:tcPr>
            <w:tcW w:w="1680" w:type="dxa"/>
            <w:shd w:val="clear" w:color="auto" w:fill="D9D9D9" w:themeFill="background1" w:themeFillShade="D9"/>
          </w:tcPr>
          <w:p w14:paraId="642F3449"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Minimum cost region</w:t>
            </w:r>
          </w:p>
        </w:tc>
        <w:tc>
          <w:tcPr>
            <w:tcW w:w="1680" w:type="dxa"/>
            <w:shd w:val="clear" w:color="auto" w:fill="D9D9D9" w:themeFill="background1" w:themeFillShade="D9"/>
          </w:tcPr>
          <w:p w14:paraId="01F5BB40"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Maximum cost, $/</w:t>
            </w:r>
            <w:proofErr w:type="spellStart"/>
            <w:r w:rsidRPr="009F19BD">
              <w:rPr>
                <w:rFonts w:ascii="Times New Roman" w:hAnsi="Times New Roman" w:cs="Times New Roman"/>
                <w:b/>
                <w:sz w:val="18"/>
                <w:szCs w:val="18"/>
              </w:rPr>
              <w:t>boe</w:t>
            </w:r>
            <w:proofErr w:type="spellEnd"/>
          </w:p>
        </w:tc>
        <w:tc>
          <w:tcPr>
            <w:tcW w:w="1680" w:type="dxa"/>
            <w:shd w:val="clear" w:color="auto" w:fill="D9D9D9" w:themeFill="background1" w:themeFillShade="D9"/>
          </w:tcPr>
          <w:p w14:paraId="4B1D3AD9" w14:textId="77777777" w:rsidR="001309B9" w:rsidRPr="009F19BD" w:rsidRDefault="001309B9" w:rsidP="00B50CDC">
            <w:pPr>
              <w:pStyle w:val="00DDPPNormal"/>
              <w:jc w:val="left"/>
              <w:rPr>
                <w:rFonts w:ascii="Times New Roman" w:hAnsi="Times New Roman" w:cs="Times New Roman"/>
                <w:b/>
                <w:sz w:val="18"/>
                <w:szCs w:val="18"/>
              </w:rPr>
            </w:pPr>
            <w:r w:rsidRPr="009F19BD">
              <w:rPr>
                <w:rFonts w:ascii="Times New Roman" w:hAnsi="Times New Roman" w:cs="Times New Roman"/>
                <w:b/>
                <w:sz w:val="18"/>
                <w:szCs w:val="18"/>
              </w:rPr>
              <w:t>Maximum cost region</w:t>
            </w:r>
          </w:p>
        </w:tc>
      </w:tr>
      <w:tr w:rsidR="001309B9" w:rsidRPr="009F19BD" w14:paraId="67B3ADC9" w14:textId="77777777" w:rsidTr="00B50CDC">
        <w:trPr>
          <w:trHeight w:val="303"/>
        </w:trPr>
        <w:tc>
          <w:tcPr>
            <w:tcW w:w="2268" w:type="dxa"/>
          </w:tcPr>
          <w:p w14:paraId="0D4B7D47"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Proved reserves</w:t>
            </w:r>
          </w:p>
        </w:tc>
        <w:tc>
          <w:tcPr>
            <w:tcW w:w="1593" w:type="dxa"/>
          </w:tcPr>
          <w:p w14:paraId="2411D793"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11</w:t>
            </w:r>
          </w:p>
        </w:tc>
        <w:tc>
          <w:tcPr>
            <w:tcW w:w="1680" w:type="dxa"/>
          </w:tcPr>
          <w:p w14:paraId="5B87E084"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MEA_OPEC</w:t>
            </w:r>
          </w:p>
        </w:tc>
        <w:tc>
          <w:tcPr>
            <w:tcW w:w="1680" w:type="dxa"/>
          </w:tcPr>
          <w:p w14:paraId="06BD180D"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47</w:t>
            </w:r>
          </w:p>
        </w:tc>
        <w:tc>
          <w:tcPr>
            <w:tcW w:w="1680" w:type="dxa"/>
          </w:tcPr>
          <w:p w14:paraId="1F505403"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CSA_N</w:t>
            </w:r>
          </w:p>
        </w:tc>
      </w:tr>
      <w:tr w:rsidR="001309B9" w:rsidRPr="009F19BD" w14:paraId="1CC5C70D" w14:textId="77777777" w:rsidTr="00B50CDC">
        <w:trPr>
          <w:trHeight w:val="303"/>
        </w:trPr>
        <w:tc>
          <w:tcPr>
            <w:tcW w:w="2268" w:type="dxa"/>
          </w:tcPr>
          <w:p w14:paraId="731EE8C9"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Reserve addition</w:t>
            </w:r>
          </w:p>
        </w:tc>
        <w:tc>
          <w:tcPr>
            <w:tcW w:w="1593" w:type="dxa"/>
          </w:tcPr>
          <w:p w14:paraId="03D54F06"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21</w:t>
            </w:r>
          </w:p>
        </w:tc>
        <w:tc>
          <w:tcPr>
            <w:tcW w:w="1680" w:type="dxa"/>
          </w:tcPr>
          <w:p w14:paraId="29455127"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MEA_OPEC</w:t>
            </w:r>
          </w:p>
        </w:tc>
        <w:tc>
          <w:tcPr>
            <w:tcW w:w="1680" w:type="dxa"/>
          </w:tcPr>
          <w:p w14:paraId="634712F1"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68</w:t>
            </w:r>
          </w:p>
        </w:tc>
        <w:tc>
          <w:tcPr>
            <w:tcW w:w="1680" w:type="dxa"/>
          </w:tcPr>
          <w:p w14:paraId="38AE9638"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CSA_N</w:t>
            </w:r>
          </w:p>
        </w:tc>
      </w:tr>
      <w:tr w:rsidR="001309B9" w:rsidRPr="009F19BD" w14:paraId="13346F4F" w14:textId="77777777" w:rsidTr="00B50CDC">
        <w:trPr>
          <w:trHeight w:val="303"/>
        </w:trPr>
        <w:tc>
          <w:tcPr>
            <w:tcW w:w="2268" w:type="dxa"/>
          </w:tcPr>
          <w:p w14:paraId="6A71F5FE"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New discoveries</w:t>
            </w:r>
          </w:p>
        </w:tc>
        <w:tc>
          <w:tcPr>
            <w:tcW w:w="1593" w:type="dxa"/>
          </w:tcPr>
          <w:p w14:paraId="30F6FAEC"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16</w:t>
            </w:r>
          </w:p>
        </w:tc>
        <w:tc>
          <w:tcPr>
            <w:tcW w:w="1680" w:type="dxa"/>
          </w:tcPr>
          <w:p w14:paraId="0E050DEC"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MEA_OPEC</w:t>
            </w:r>
          </w:p>
        </w:tc>
        <w:tc>
          <w:tcPr>
            <w:tcW w:w="1680" w:type="dxa"/>
          </w:tcPr>
          <w:p w14:paraId="72F3D692"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94</w:t>
            </w:r>
          </w:p>
        </w:tc>
        <w:tc>
          <w:tcPr>
            <w:tcW w:w="1680" w:type="dxa"/>
          </w:tcPr>
          <w:p w14:paraId="0F7B95F4"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IND</w:t>
            </w:r>
          </w:p>
        </w:tc>
      </w:tr>
      <w:tr w:rsidR="001309B9" w:rsidRPr="009F19BD" w14:paraId="71B55D54" w14:textId="77777777" w:rsidTr="00B50CDC">
        <w:trPr>
          <w:trHeight w:val="303"/>
        </w:trPr>
        <w:tc>
          <w:tcPr>
            <w:tcW w:w="2268" w:type="dxa"/>
          </w:tcPr>
          <w:p w14:paraId="5D9EEFFB"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Light tight oil</w:t>
            </w:r>
          </w:p>
        </w:tc>
        <w:tc>
          <w:tcPr>
            <w:tcW w:w="1593" w:type="dxa"/>
          </w:tcPr>
          <w:p w14:paraId="3569588F"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30</w:t>
            </w:r>
          </w:p>
        </w:tc>
        <w:tc>
          <w:tcPr>
            <w:tcW w:w="1680" w:type="dxa"/>
          </w:tcPr>
          <w:p w14:paraId="257740C4"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USA</w:t>
            </w:r>
          </w:p>
        </w:tc>
        <w:tc>
          <w:tcPr>
            <w:tcW w:w="1680" w:type="dxa"/>
          </w:tcPr>
          <w:p w14:paraId="6AFC585F"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68</w:t>
            </w:r>
          </w:p>
        </w:tc>
        <w:tc>
          <w:tcPr>
            <w:tcW w:w="1680" w:type="dxa"/>
          </w:tcPr>
          <w:p w14:paraId="6DD7250D"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Outside North America</w:t>
            </w:r>
          </w:p>
        </w:tc>
      </w:tr>
      <w:tr w:rsidR="001309B9" w:rsidRPr="009F19BD" w14:paraId="6DC06712" w14:textId="77777777" w:rsidTr="00B50CDC">
        <w:trPr>
          <w:trHeight w:val="303"/>
        </w:trPr>
        <w:tc>
          <w:tcPr>
            <w:tcW w:w="2268" w:type="dxa"/>
          </w:tcPr>
          <w:p w14:paraId="55CA5839"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Arctic</w:t>
            </w:r>
          </w:p>
        </w:tc>
        <w:tc>
          <w:tcPr>
            <w:tcW w:w="1593" w:type="dxa"/>
          </w:tcPr>
          <w:p w14:paraId="4EA77486"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46</w:t>
            </w:r>
          </w:p>
        </w:tc>
        <w:tc>
          <w:tcPr>
            <w:tcW w:w="1680" w:type="dxa"/>
          </w:tcPr>
          <w:p w14:paraId="092E0F27"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w:t>
            </w:r>
          </w:p>
        </w:tc>
        <w:tc>
          <w:tcPr>
            <w:tcW w:w="1680" w:type="dxa"/>
          </w:tcPr>
          <w:p w14:paraId="4707EFCF"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97</w:t>
            </w:r>
          </w:p>
        </w:tc>
        <w:tc>
          <w:tcPr>
            <w:tcW w:w="1680" w:type="dxa"/>
          </w:tcPr>
          <w:p w14:paraId="1687AB39"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w:t>
            </w:r>
          </w:p>
        </w:tc>
      </w:tr>
      <w:tr w:rsidR="001309B9" w:rsidRPr="009F19BD" w14:paraId="10B4F4D6" w14:textId="77777777" w:rsidTr="00B50CDC">
        <w:trPr>
          <w:trHeight w:val="303"/>
        </w:trPr>
        <w:tc>
          <w:tcPr>
            <w:tcW w:w="2268" w:type="dxa"/>
          </w:tcPr>
          <w:p w14:paraId="093F14AE"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Bitumen (mining)</w:t>
            </w:r>
          </w:p>
        </w:tc>
        <w:tc>
          <w:tcPr>
            <w:tcW w:w="1593" w:type="dxa"/>
          </w:tcPr>
          <w:p w14:paraId="5409037E"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51</w:t>
            </w:r>
          </w:p>
        </w:tc>
        <w:tc>
          <w:tcPr>
            <w:tcW w:w="1680" w:type="dxa"/>
          </w:tcPr>
          <w:p w14:paraId="78D7E005"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Canada</w:t>
            </w:r>
          </w:p>
        </w:tc>
        <w:tc>
          <w:tcPr>
            <w:tcW w:w="1680" w:type="dxa"/>
          </w:tcPr>
          <w:p w14:paraId="0CBA2B90"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89</w:t>
            </w:r>
          </w:p>
        </w:tc>
        <w:tc>
          <w:tcPr>
            <w:tcW w:w="1680" w:type="dxa"/>
          </w:tcPr>
          <w:p w14:paraId="5D25DDA5"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Central and South America</w:t>
            </w:r>
          </w:p>
        </w:tc>
      </w:tr>
      <w:tr w:rsidR="001309B9" w:rsidRPr="009F19BD" w14:paraId="29CC095C" w14:textId="77777777" w:rsidTr="00B50CDC">
        <w:trPr>
          <w:trHeight w:val="319"/>
        </w:trPr>
        <w:tc>
          <w:tcPr>
            <w:tcW w:w="2268" w:type="dxa"/>
          </w:tcPr>
          <w:p w14:paraId="09216CD1"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Bitumen (in-situ)</w:t>
            </w:r>
          </w:p>
        </w:tc>
        <w:tc>
          <w:tcPr>
            <w:tcW w:w="1593" w:type="dxa"/>
          </w:tcPr>
          <w:p w14:paraId="625854CE"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43</w:t>
            </w:r>
          </w:p>
        </w:tc>
        <w:tc>
          <w:tcPr>
            <w:tcW w:w="1680" w:type="dxa"/>
          </w:tcPr>
          <w:p w14:paraId="71BA5C97"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Canada</w:t>
            </w:r>
          </w:p>
        </w:tc>
        <w:tc>
          <w:tcPr>
            <w:tcW w:w="1680" w:type="dxa"/>
          </w:tcPr>
          <w:p w14:paraId="157F136E"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88</w:t>
            </w:r>
          </w:p>
        </w:tc>
        <w:tc>
          <w:tcPr>
            <w:tcW w:w="1680" w:type="dxa"/>
          </w:tcPr>
          <w:p w14:paraId="47191F21"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Central and South America</w:t>
            </w:r>
          </w:p>
        </w:tc>
      </w:tr>
      <w:tr w:rsidR="001309B9" w:rsidRPr="009F19BD" w14:paraId="1805EFAD" w14:textId="77777777" w:rsidTr="00B50CDC">
        <w:trPr>
          <w:trHeight w:val="319"/>
        </w:trPr>
        <w:tc>
          <w:tcPr>
            <w:tcW w:w="2268" w:type="dxa"/>
          </w:tcPr>
          <w:p w14:paraId="138FD622"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Ultra-heavy oil</w:t>
            </w:r>
          </w:p>
        </w:tc>
        <w:tc>
          <w:tcPr>
            <w:tcW w:w="1593" w:type="dxa"/>
          </w:tcPr>
          <w:p w14:paraId="10168350"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43</w:t>
            </w:r>
          </w:p>
        </w:tc>
        <w:tc>
          <w:tcPr>
            <w:tcW w:w="1680" w:type="dxa"/>
          </w:tcPr>
          <w:p w14:paraId="4AB846F0"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Central and South America</w:t>
            </w:r>
          </w:p>
        </w:tc>
        <w:tc>
          <w:tcPr>
            <w:tcW w:w="1680" w:type="dxa"/>
          </w:tcPr>
          <w:p w14:paraId="1A864BD8"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75</w:t>
            </w:r>
          </w:p>
        </w:tc>
        <w:tc>
          <w:tcPr>
            <w:tcW w:w="1680" w:type="dxa"/>
          </w:tcPr>
          <w:p w14:paraId="2D184B1A"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Central and South America</w:t>
            </w:r>
          </w:p>
        </w:tc>
      </w:tr>
      <w:tr w:rsidR="001309B9" w:rsidRPr="009F19BD" w14:paraId="6A22CF41" w14:textId="77777777" w:rsidTr="00B50CDC">
        <w:trPr>
          <w:trHeight w:val="319"/>
        </w:trPr>
        <w:tc>
          <w:tcPr>
            <w:tcW w:w="2268" w:type="dxa"/>
          </w:tcPr>
          <w:p w14:paraId="36C88169"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 xml:space="preserve">Oil shale </w:t>
            </w:r>
          </w:p>
        </w:tc>
        <w:tc>
          <w:tcPr>
            <w:tcW w:w="1593" w:type="dxa"/>
          </w:tcPr>
          <w:p w14:paraId="45197083"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54</w:t>
            </w:r>
          </w:p>
        </w:tc>
        <w:tc>
          <w:tcPr>
            <w:tcW w:w="1680" w:type="dxa"/>
          </w:tcPr>
          <w:p w14:paraId="7BFE237C"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Europe</w:t>
            </w:r>
          </w:p>
        </w:tc>
        <w:tc>
          <w:tcPr>
            <w:tcW w:w="1680" w:type="dxa"/>
          </w:tcPr>
          <w:p w14:paraId="5FA43A57"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124</w:t>
            </w:r>
          </w:p>
        </w:tc>
        <w:tc>
          <w:tcPr>
            <w:tcW w:w="1680" w:type="dxa"/>
          </w:tcPr>
          <w:p w14:paraId="3A5F03D5" w14:textId="77777777" w:rsidR="001309B9" w:rsidRPr="009F19BD" w:rsidRDefault="001309B9" w:rsidP="00B50CDC">
            <w:pPr>
              <w:pStyle w:val="00DDPPNormal"/>
              <w:rPr>
                <w:rFonts w:ascii="Times New Roman" w:hAnsi="Times New Roman" w:cs="Times New Roman"/>
                <w:sz w:val="18"/>
                <w:szCs w:val="18"/>
              </w:rPr>
            </w:pPr>
            <w:r w:rsidRPr="009F19BD">
              <w:rPr>
                <w:rFonts w:ascii="Times New Roman" w:hAnsi="Times New Roman" w:cs="Times New Roman"/>
                <w:sz w:val="18"/>
                <w:szCs w:val="18"/>
              </w:rPr>
              <w:t>Middle East</w:t>
            </w:r>
          </w:p>
        </w:tc>
      </w:tr>
    </w:tbl>
    <w:p w14:paraId="5475D863" w14:textId="667C9580" w:rsidR="001309B9" w:rsidRPr="009F19BD" w:rsidRDefault="001309B9" w:rsidP="001309B9">
      <w:pPr>
        <w:pStyle w:val="00DDPPNormal"/>
        <w:rPr>
          <w:rFonts w:ascii="Times New Roman" w:hAnsi="Times New Roman" w:cs="Times New Roman"/>
          <w:sz w:val="16"/>
          <w:szCs w:val="16"/>
        </w:rPr>
      </w:pPr>
      <w:r w:rsidRPr="009F19BD">
        <w:rPr>
          <w:rFonts w:ascii="Times New Roman" w:hAnsi="Times New Roman" w:cs="Times New Roman"/>
          <w:sz w:val="16"/>
          <w:szCs w:val="16"/>
        </w:rPr>
        <w:t>* Sourced from McGlade, 2013</w:t>
      </w:r>
      <w:r w:rsidR="00533BD4">
        <w:rPr>
          <w:rStyle w:val="FootnoteReference"/>
          <w:rFonts w:ascii="Times New Roman" w:hAnsi="Times New Roman" w:cs="Times New Roman"/>
          <w:sz w:val="16"/>
          <w:szCs w:val="16"/>
        </w:rPr>
        <w:footnoteReference w:id="25"/>
      </w:r>
      <w:r w:rsidRPr="009F19BD">
        <w:rPr>
          <w:rFonts w:ascii="Times New Roman" w:hAnsi="Times New Roman" w:cs="Times New Roman"/>
          <w:sz w:val="16"/>
          <w:szCs w:val="16"/>
        </w:rPr>
        <w:fldChar w:fldCharType="begin" w:fldLock="1"/>
      </w:r>
      <w:r w:rsidRPr="009F19BD">
        <w:rPr>
          <w:rFonts w:ascii="Times New Roman" w:hAnsi="Times New Roman" w:cs="Times New Roman"/>
          <w:sz w:val="16"/>
          <w:szCs w:val="16"/>
        </w:rPr>
        <w:instrText>ADDIN CSL_CITATION {"citationItems":[{"id":"ITEM-1","itemData":{"abstract":"Oil and gas will play a central role in the global energy system for the foreseeable future. However, uncertainty surrounds both the availability of and demand for these fuels, and as a result, there are quite disparate viewpoints on the magnitude of this role. The aim of this thesis is to identify, understand, quantify and, where possible, minimise the sources of this uncertainty, and to investigate the implications that such uncertainties have on the future of oil and gas. There are two areas of original contribution to knowledge. First, while numerous studies have examined the availability of various subsets of oil and gas, often in a deterministic manner, this work provides a full description of the uncertainty in the resource potential of all individual categories of oil and gas. This includes estimating the uncertainty in resource availability at different costs of production, and also examining the resource potential of categories that have been previously overlooked. Second, the implications of this and other major sources of uncertainty have never been investigated using models that incorporate both supply and demand-side dynamics. Two models are used for this purpose. The first is an existing energy systems model, TIAM-UCL, which has been substantially modified to allow a more accurate characterisation of long-term oil and gas production and consumption. The second is an oil-sector specific model that has been developed named the 'Bottom-Up Geological and Economic Oil field production model' (BUEGO). This is capable of examining oil production potential to 2035 and is used to examine shorter-term and more sector specific uncertainties.","author":[{"dropping-particle":"","family":"McGlade","given":"C.","non-dropping-particle":"","parse-names":false,"suffix":""}],"container-title":"Doctoral thesis, UCL (University College London).","id":"ITEM-1","issued":{"date-parts":[["2013"]]},"title":"Uncertainties in the outlook for oil and gas","type":"thesis"},"uris":["http://www.mendeley.com/documents/?uuid=9488accc-627f-4007-9f81-0b72268ff191"]}],"mendeley":{"formattedCitation":"&lt;sup&gt;9&lt;/sup&gt;","plainTextFormattedCitation":"9","previouslyFormattedCitation":"&lt;sup&gt;9&lt;/sup&gt;"},"properties":{"noteIndex":0},"schema":"https://github.com/citation-style-language/schema/raw/master/csl-citation.json"}</w:instrText>
      </w:r>
      <w:r w:rsidR="00A872DB">
        <w:rPr>
          <w:rFonts w:ascii="Times New Roman" w:hAnsi="Times New Roman" w:cs="Times New Roman"/>
          <w:sz w:val="16"/>
          <w:szCs w:val="16"/>
        </w:rPr>
        <w:fldChar w:fldCharType="separate"/>
      </w:r>
      <w:r w:rsidRPr="009F19BD">
        <w:rPr>
          <w:rFonts w:ascii="Times New Roman" w:hAnsi="Times New Roman" w:cs="Times New Roman"/>
          <w:sz w:val="16"/>
          <w:szCs w:val="16"/>
        </w:rPr>
        <w:fldChar w:fldCharType="end"/>
      </w:r>
      <w:r w:rsidRPr="009F19BD">
        <w:rPr>
          <w:rFonts w:ascii="Times New Roman" w:hAnsi="Times New Roman" w:cs="Times New Roman"/>
          <w:sz w:val="16"/>
          <w:szCs w:val="16"/>
        </w:rPr>
        <w:t xml:space="preserve"> with light tight oil updated by Welsby, 2021</w:t>
      </w:r>
      <w:r w:rsidR="00533BD4">
        <w:rPr>
          <w:rStyle w:val="FootnoteReference"/>
          <w:rFonts w:ascii="Times New Roman" w:hAnsi="Times New Roman" w:cs="Times New Roman"/>
          <w:sz w:val="16"/>
          <w:szCs w:val="16"/>
        </w:rPr>
        <w:footnoteReference w:id="26"/>
      </w:r>
    </w:p>
    <w:p w14:paraId="47FB3DC2" w14:textId="77777777" w:rsidR="001309B9" w:rsidRPr="009F19BD" w:rsidRDefault="001309B9" w:rsidP="001309B9">
      <w:pPr>
        <w:pStyle w:val="00DDPPNormal"/>
        <w:rPr>
          <w:rFonts w:ascii="Times New Roman" w:hAnsi="Times New Roman" w:cs="Times New Roman"/>
        </w:rPr>
      </w:pPr>
    </w:p>
    <w:p w14:paraId="3CD63594" w14:textId="77777777" w:rsidR="00DD5E34" w:rsidRDefault="00DD5E34" w:rsidP="001309B9">
      <w:pPr>
        <w:pStyle w:val="Normalsingle"/>
        <w:rPr>
          <w:rFonts w:ascii="Times New Roman" w:hAnsi="Times New Roman"/>
          <w:sz w:val="22"/>
          <w:szCs w:val="22"/>
        </w:rPr>
      </w:pPr>
      <w:r>
        <w:rPr>
          <w:rFonts w:ascii="Times New Roman" w:hAnsi="Times New Roman"/>
          <w:sz w:val="22"/>
          <w:szCs w:val="22"/>
        </w:rPr>
        <w:br w:type="page"/>
      </w:r>
    </w:p>
    <w:p w14:paraId="0C7D159E" w14:textId="1DAE1B5C" w:rsidR="001309B9" w:rsidRPr="009F19BD" w:rsidRDefault="001309B9" w:rsidP="001309B9">
      <w:pPr>
        <w:pStyle w:val="Normalsingle"/>
        <w:rPr>
          <w:rFonts w:ascii="Times New Roman" w:hAnsi="Times New Roman"/>
          <w:sz w:val="22"/>
          <w:szCs w:val="22"/>
        </w:rPr>
      </w:pPr>
      <w:r w:rsidRPr="009F19BD">
        <w:rPr>
          <w:rFonts w:ascii="Times New Roman" w:hAnsi="Times New Roman"/>
          <w:sz w:val="22"/>
          <w:szCs w:val="22"/>
        </w:rPr>
        <w:lastRenderedPageBreak/>
        <w:t>Due to limited development outside of certain countries (</w:t>
      </w:r>
      <w:proofErr w:type="gramStart"/>
      <w:r w:rsidRPr="009F19BD">
        <w:rPr>
          <w:rFonts w:ascii="Times New Roman" w:hAnsi="Times New Roman"/>
          <w:sz w:val="22"/>
          <w:szCs w:val="22"/>
        </w:rPr>
        <w:t>e.g.</w:t>
      </w:r>
      <w:proofErr w:type="gramEnd"/>
      <w:r w:rsidRPr="009F19BD">
        <w:rPr>
          <w:rFonts w:ascii="Times New Roman" w:hAnsi="Times New Roman"/>
          <w:sz w:val="22"/>
          <w:szCs w:val="22"/>
        </w:rPr>
        <w:t xml:space="preserve"> Canada for bitumen production), costs have largely been applied homogenously across the relevant TIAM regions. </w:t>
      </w:r>
      <w:r w:rsidRPr="009F19BD">
        <w:rPr>
          <w:rFonts w:ascii="Times New Roman" w:hAnsi="Times New Roman"/>
          <w:sz w:val="22"/>
          <w:szCs w:val="22"/>
        </w:rPr>
        <w:fldChar w:fldCharType="begin"/>
      </w:r>
      <w:r w:rsidRPr="009F19BD">
        <w:rPr>
          <w:rFonts w:ascii="Times New Roman" w:hAnsi="Times New Roman"/>
          <w:sz w:val="22"/>
          <w:szCs w:val="22"/>
        </w:rPr>
        <w:instrText xml:space="preserve"> REF _Ref64819904 \h  \* MERGEFORMAT </w:instrText>
      </w:r>
      <w:r w:rsidRPr="009F19BD">
        <w:rPr>
          <w:rFonts w:ascii="Times New Roman" w:hAnsi="Times New Roman"/>
          <w:sz w:val="22"/>
          <w:szCs w:val="22"/>
        </w:rPr>
      </w:r>
      <w:r w:rsidRPr="009F19BD">
        <w:rPr>
          <w:rFonts w:ascii="Times New Roman" w:hAnsi="Times New Roman"/>
          <w:sz w:val="22"/>
          <w:szCs w:val="22"/>
        </w:rPr>
        <w:fldChar w:fldCharType="separate"/>
      </w:r>
      <w:r w:rsidRPr="009F19BD">
        <w:rPr>
          <w:rFonts w:ascii="Times New Roman" w:hAnsi="Times New Roman"/>
          <w:sz w:val="22"/>
          <w:szCs w:val="22"/>
        </w:rPr>
        <w:t>Supplementary Figure</w:t>
      </w:r>
      <w:r w:rsidR="00DD5E34">
        <w:rPr>
          <w:rFonts w:ascii="Times New Roman" w:hAnsi="Times New Roman"/>
          <w:sz w:val="22"/>
          <w:szCs w:val="22"/>
        </w:rPr>
        <w:t xml:space="preserve"> </w:t>
      </w:r>
      <w:r w:rsidR="0028121F">
        <w:rPr>
          <w:rFonts w:ascii="Times New Roman" w:hAnsi="Times New Roman"/>
          <w:sz w:val="22"/>
          <w:szCs w:val="22"/>
        </w:rPr>
        <w:t>8</w:t>
      </w:r>
      <w:r w:rsidRPr="009F19BD">
        <w:rPr>
          <w:rFonts w:ascii="Times New Roman" w:hAnsi="Times New Roman"/>
          <w:sz w:val="22"/>
          <w:szCs w:val="22"/>
        </w:rPr>
        <w:fldChar w:fldCharType="end"/>
      </w:r>
      <w:r w:rsidRPr="009F19BD">
        <w:rPr>
          <w:rFonts w:ascii="Times New Roman" w:hAnsi="Times New Roman"/>
          <w:sz w:val="22"/>
          <w:szCs w:val="22"/>
        </w:rPr>
        <w:t xml:space="preserve"> shows the global supply cost curve for oil in TIAM-UCL split by region (a) and resource category (b). It should also be noted that unconventional oil is split into three separate cost categories: variable O&amp;M, fixed O&amp;M, and an investment cost (</w:t>
      </w:r>
      <w:proofErr w:type="gramStart"/>
      <w:r w:rsidRPr="009F19BD">
        <w:rPr>
          <w:rFonts w:ascii="Times New Roman" w:hAnsi="Times New Roman"/>
          <w:sz w:val="22"/>
          <w:szCs w:val="22"/>
        </w:rPr>
        <w:t>i.e.</w:t>
      </w:r>
      <w:proofErr w:type="gramEnd"/>
      <w:r w:rsidRPr="009F19BD">
        <w:rPr>
          <w:rFonts w:ascii="Times New Roman" w:hAnsi="Times New Roman"/>
          <w:sz w:val="22"/>
          <w:szCs w:val="22"/>
        </w:rPr>
        <w:t xml:space="preserve"> capital cost). </w:t>
      </w:r>
      <w:proofErr w:type="gramStart"/>
      <w:r w:rsidRPr="009F19BD">
        <w:rPr>
          <w:rFonts w:ascii="Times New Roman" w:hAnsi="Times New Roman"/>
          <w:sz w:val="22"/>
          <w:szCs w:val="22"/>
        </w:rPr>
        <w:t>In order to</w:t>
      </w:r>
      <w:proofErr w:type="gramEnd"/>
      <w:r w:rsidRPr="009F19BD">
        <w:rPr>
          <w:rFonts w:ascii="Times New Roman" w:hAnsi="Times New Roman"/>
          <w:sz w:val="22"/>
          <w:szCs w:val="22"/>
        </w:rPr>
        <w:t xml:space="preserve"> incorporate these into a supply cost curve with conventional oil, a singular supply cost figure was required, therefore the O&amp;M costs were summed, and then a per-unit investment cost was assigned to each category of unconventional oil (derived by dividing cumulative investment and cumulative production from each mining technology) which then yielded a supply cost figure. </w:t>
      </w:r>
    </w:p>
    <w:tbl>
      <w:tblPr>
        <w:tblStyle w:val="TableGrid"/>
        <w:tblW w:w="93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
        <w:gridCol w:w="9246"/>
      </w:tblGrid>
      <w:tr w:rsidR="001309B9" w:rsidRPr="009F19BD" w14:paraId="2B29AA4E" w14:textId="77777777" w:rsidTr="00B50CDC">
        <w:tc>
          <w:tcPr>
            <w:tcW w:w="534" w:type="dxa"/>
          </w:tcPr>
          <w:p w14:paraId="35B31595" w14:textId="77777777" w:rsidR="001309B9" w:rsidRPr="009F19BD" w:rsidRDefault="001309B9" w:rsidP="00B50CDC">
            <w:pPr>
              <w:rPr>
                <w:rFonts w:ascii="Times New Roman" w:hAnsi="Times New Roman" w:cs="Times New Roman"/>
                <w:sz w:val="20"/>
                <w:szCs w:val="20"/>
              </w:rPr>
            </w:pPr>
            <w:r w:rsidRPr="009F19BD">
              <w:rPr>
                <w:rFonts w:ascii="Times New Roman" w:hAnsi="Times New Roman" w:cs="Times New Roman"/>
                <w:sz w:val="20"/>
                <w:szCs w:val="20"/>
              </w:rPr>
              <w:t>a)</w:t>
            </w:r>
          </w:p>
        </w:tc>
        <w:tc>
          <w:tcPr>
            <w:tcW w:w="8851" w:type="dxa"/>
          </w:tcPr>
          <w:p w14:paraId="324FBE09" w14:textId="77777777" w:rsidR="001309B9" w:rsidRPr="009F19BD" w:rsidRDefault="001309B9" w:rsidP="00B50CDC">
            <w:pPr>
              <w:rPr>
                <w:rFonts w:ascii="Times New Roman" w:hAnsi="Times New Roman" w:cs="Times New Roman"/>
                <w:sz w:val="20"/>
                <w:szCs w:val="20"/>
              </w:rPr>
            </w:pPr>
          </w:p>
          <w:p w14:paraId="383A2EFE" w14:textId="77777777" w:rsidR="001309B9" w:rsidRPr="009F19BD" w:rsidRDefault="001309B9" w:rsidP="00B50CDC">
            <w:pPr>
              <w:rPr>
                <w:rFonts w:ascii="Times New Roman" w:hAnsi="Times New Roman" w:cs="Times New Roman"/>
                <w:sz w:val="20"/>
                <w:szCs w:val="20"/>
              </w:rPr>
            </w:pPr>
            <w:r w:rsidRPr="009F19BD">
              <w:rPr>
                <w:rFonts w:ascii="Times New Roman" w:hAnsi="Times New Roman" w:cs="Times New Roman"/>
                <w:noProof/>
              </w:rPr>
              <w:drawing>
                <wp:inline distT="0" distB="0" distL="0" distR="0" wp14:anchorId="2EC778BF" wp14:editId="357005FD">
                  <wp:extent cx="5731510" cy="2507615"/>
                  <wp:effectExtent l="0" t="0" r="2540" b="6985"/>
                  <wp:docPr id="25" name="Picture 2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2507615"/>
                          </a:xfrm>
                          <a:prstGeom prst="rect">
                            <a:avLst/>
                          </a:prstGeom>
                        </pic:spPr>
                      </pic:pic>
                    </a:graphicData>
                  </a:graphic>
                </wp:inline>
              </w:drawing>
            </w:r>
          </w:p>
        </w:tc>
      </w:tr>
      <w:tr w:rsidR="001309B9" w:rsidRPr="009F19BD" w14:paraId="6C50FB6D" w14:textId="77777777" w:rsidTr="00B50CDC">
        <w:tc>
          <w:tcPr>
            <w:tcW w:w="534" w:type="dxa"/>
          </w:tcPr>
          <w:p w14:paraId="7877389E" w14:textId="77777777" w:rsidR="001309B9" w:rsidRPr="009F19BD" w:rsidRDefault="001309B9" w:rsidP="00B50CDC">
            <w:pPr>
              <w:rPr>
                <w:rFonts w:ascii="Times New Roman" w:hAnsi="Times New Roman" w:cs="Times New Roman"/>
                <w:sz w:val="20"/>
                <w:szCs w:val="20"/>
              </w:rPr>
            </w:pPr>
            <w:r w:rsidRPr="009F19BD">
              <w:rPr>
                <w:rFonts w:ascii="Times New Roman" w:hAnsi="Times New Roman" w:cs="Times New Roman"/>
                <w:sz w:val="20"/>
                <w:szCs w:val="20"/>
              </w:rPr>
              <w:t>b)</w:t>
            </w:r>
          </w:p>
        </w:tc>
        <w:tc>
          <w:tcPr>
            <w:tcW w:w="8851" w:type="dxa"/>
          </w:tcPr>
          <w:p w14:paraId="10C3EDC7" w14:textId="77777777" w:rsidR="001309B9" w:rsidRPr="009F19BD" w:rsidRDefault="001309B9" w:rsidP="00B50CDC">
            <w:pPr>
              <w:rPr>
                <w:rFonts w:ascii="Times New Roman" w:hAnsi="Times New Roman" w:cs="Times New Roman"/>
                <w:sz w:val="20"/>
                <w:szCs w:val="20"/>
              </w:rPr>
            </w:pPr>
          </w:p>
          <w:p w14:paraId="47859FD1" w14:textId="77777777" w:rsidR="001309B9" w:rsidRPr="009F19BD" w:rsidRDefault="001309B9" w:rsidP="00B50CDC">
            <w:pPr>
              <w:rPr>
                <w:rFonts w:ascii="Times New Roman" w:hAnsi="Times New Roman" w:cs="Times New Roman"/>
                <w:sz w:val="20"/>
                <w:szCs w:val="20"/>
              </w:rPr>
            </w:pPr>
            <w:r w:rsidRPr="009F19BD">
              <w:rPr>
                <w:rFonts w:ascii="Times New Roman" w:hAnsi="Times New Roman" w:cs="Times New Roman"/>
                <w:noProof/>
              </w:rPr>
              <w:drawing>
                <wp:inline distT="0" distB="0" distL="0" distR="0" wp14:anchorId="25A28325" wp14:editId="668DD9D0">
                  <wp:extent cx="5731510" cy="3092450"/>
                  <wp:effectExtent l="0" t="0" r="2540" b="0"/>
                  <wp:docPr id="26" name="Picture 2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28">
                            <a:extLst>
                              <a:ext uri="{28A0092B-C50C-407E-A947-70E740481C1C}">
                                <a14:useLocalDpi xmlns:a14="http://schemas.microsoft.com/office/drawing/2010/main" val="0"/>
                              </a:ext>
                            </a:extLst>
                          </a:blip>
                          <a:stretch>
                            <a:fillRect/>
                          </a:stretch>
                        </pic:blipFill>
                        <pic:spPr>
                          <a:xfrm>
                            <a:off x="0" y="0"/>
                            <a:ext cx="5731510" cy="3092450"/>
                          </a:xfrm>
                          <a:prstGeom prst="rect">
                            <a:avLst/>
                          </a:prstGeom>
                        </pic:spPr>
                      </pic:pic>
                    </a:graphicData>
                  </a:graphic>
                </wp:inline>
              </w:drawing>
            </w:r>
          </w:p>
        </w:tc>
      </w:tr>
    </w:tbl>
    <w:p w14:paraId="79CA7104" w14:textId="60F2100A" w:rsidR="001309B9" w:rsidRPr="00DD5E34" w:rsidRDefault="001309B9" w:rsidP="001309B9">
      <w:pPr>
        <w:pStyle w:val="Caption"/>
        <w:rPr>
          <w:rFonts w:ascii="Times New Roman" w:hAnsi="Times New Roman" w:cs="Times New Roman"/>
          <w:i w:val="0"/>
          <w:iCs w:val="0"/>
          <w:sz w:val="22"/>
          <w:szCs w:val="22"/>
        </w:rPr>
      </w:pPr>
      <w:bookmarkStart w:id="14" w:name="_Ref64819904"/>
      <w:r w:rsidRPr="00DD5E34">
        <w:rPr>
          <w:rFonts w:ascii="Times New Roman" w:hAnsi="Times New Roman" w:cs="Times New Roman"/>
          <w:i w:val="0"/>
          <w:iCs w:val="0"/>
          <w:sz w:val="22"/>
          <w:szCs w:val="22"/>
        </w:rPr>
        <w:t>Supplementary Figure</w:t>
      </w:r>
      <w:bookmarkEnd w:id="14"/>
      <w:r w:rsidRPr="00DD5E34">
        <w:rPr>
          <w:rFonts w:ascii="Times New Roman" w:hAnsi="Times New Roman" w:cs="Times New Roman"/>
          <w:i w:val="0"/>
          <w:iCs w:val="0"/>
          <w:sz w:val="22"/>
          <w:szCs w:val="22"/>
        </w:rPr>
        <w:t xml:space="preserve"> </w:t>
      </w:r>
      <w:r w:rsidR="0028121F">
        <w:rPr>
          <w:rFonts w:ascii="Times New Roman" w:hAnsi="Times New Roman" w:cs="Times New Roman"/>
          <w:i w:val="0"/>
          <w:iCs w:val="0"/>
          <w:sz w:val="22"/>
          <w:szCs w:val="22"/>
        </w:rPr>
        <w:t>8</w:t>
      </w:r>
      <w:r w:rsidRPr="00DD5E34">
        <w:rPr>
          <w:rFonts w:ascii="Times New Roman" w:hAnsi="Times New Roman" w:cs="Times New Roman"/>
          <w:i w:val="0"/>
          <w:iCs w:val="0"/>
          <w:sz w:val="22"/>
          <w:szCs w:val="22"/>
        </w:rPr>
        <w:t xml:space="preserve">. Global supply cost curve for oil from 2015 by a) TIAM-UCL region and b) oil resource category. </w:t>
      </w:r>
      <w:r w:rsidRPr="00DD5E34">
        <w:rPr>
          <w:rFonts w:ascii="Times New Roman" w:hAnsi="Times New Roman" w:cs="Times New Roman"/>
          <w:b w:val="0"/>
          <w:i w:val="0"/>
          <w:iCs w:val="0"/>
          <w:sz w:val="22"/>
          <w:szCs w:val="22"/>
        </w:rPr>
        <w:t>Source data are provided as a Source Data file.</w:t>
      </w:r>
    </w:p>
    <w:p w14:paraId="665EA05C" w14:textId="77777777" w:rsidR="001309B9" w:rsidRPr="009F19BD" w:rsidRDefault="001309B9" w:rsidP="001309B9">
      <w:pPr>
        <w:rPr>
          <w:rFonts w:ascii="Times New Roman" w:hAnsi="Times New Roman" w:cs="Times New Roman"/>
          <w:sz w:val="20"/>
          <w:szCs w:val="20"/>
        </w:rPr>
      </w:pPr>
    </w:p>
    <w:p w14:paraId="52B323A8" w14:textId="77777777" w:rsidR="00DD5E34" w:rsidRDefault="00DD5E34" w:rsidP="00DD5E34">
      <w:pPr>
        <w:pStyle w:val="Heading4"/>
      </w:pPr>
      <w:r>
        <w:br w:type="page"/>
      </w:r>
    </w:p>
    <w:p w14:paraId="7ABD96AC" w14:textId="21A85AE1" w:rsidR="001309B9" w:rsidRPr="009F19BD" w:rsidRDefault="001309B9" w:rsidP="00DD5E34">
      <w:pPr>
        <w:pStyle w:val="Heading4"/>
      </w:pPr>
      <w:r w:rsidRPr="009F19BD">
        <w:lastRenderedPageBreak/>
        <w:t>Key upstream constraints on fossil fuel production</w:t>
      </w:r>
    </w:p>
    <w:p w14:paraId="0448C562" w14:textId="77777777" w:rsidR="001309B9" w:rsidRPr="009F19BD" w:rsidRDefault="001309B9" w:rsidP="001309B9">
      <w:pPr>
        <w:pStyle w:val="Normalsingle"/>
        <w:rPr>
          <w:rFonts w:ascii="Times New Roman" w:hAnsi="Times New Roman"/>
          <w:sz w:val="22"/>
          <w:szCs w:val="22"/>
          <w:u w:val="single"/>
        </w:rPr>
      </w:pPr>
      <w:r w:rsidRPr="009F19BD">
        <w:rPr>
          <w:rFonts w:ascii="Times New Roman" w:hAnsi="Times New Roman"/>
          <w:sz w:val="22"/>
          <w:szCs w:val="22"/>
          <w:u w:val="single"/>
        </w:rPr>
        <w:t>Coal</w:t>
      </w:r>
    </w:p>
    <w:p w14:paraId="76C8E96F" w14:textId="2D3EC462" w:rsidR="001309B9" w:rsidRPr="009F19BD" w:rsidRDefault="001309B9" w:rsidP="001309B9">
      <w:pPr>
        <w:rPr>
          <w:rFonts w:ascii="Times New Roman" w:hAnsi="Times New Roman" w:cs="Times New Roman"/>
        </w:rPr>
      </w:pPr>
      <w:r w:rsidRPr="009F19BD">
        <w:rPr>
          <w:rFonts w:ascii="Times New Roman" w:hAnsi="Times New Roman" w:cs="Times New Roman"/>
        </w:rPr>
        <w:t xml:space="preserve">Upstream constraints for coal extraction are not as widely applied for two main reasons. Firstly, the extraction of coal does not follow the same geological production profile of oil and gas </w:t>
      </w:r>
      <w:proofErr w:type="gramStart"/>
      <w:r w:rsidRPr="009F19BD">
        <w:rPr>
          <w:rFonts w:ascii="Times New Roman" w:hAnsi="Times New Roman" w:cs="Times New Roman"/>
        </w:rPr>
        <w:t>extraction;</w:t>
      </w:r>
      <w:proofErr w:type="gramEnd"/>
      <w:r w:rsidRPr="009F19BD">
        <w:rPr>
          <w:rFonts w:ascii="Times New Roman" w:hAnsi="Times New Roman" w:cs="Times New Roman"/>
        </w:rPr>
        <w:t xml:space="preserve"> i.e. the growth and decline of production profiles through time and different geological structures. Secondly, for decarbonisation scenarios meeting 2</w:t>
      </w:r>
      <w:r w:rsidRPr="009F19BD">
        <w:rPr>
          <w:rFonts w:ascii="Times New Roman" w:hAnsi="Times New Roman" w:cs="Times New Roman"/>
          <w:vertAlign w:val="superscript"/>
        </w:rPr>
        <w:t>o</w:t>
      </w:r>
      <w:r w:rsidRPr="009F19BD">
        <w:rPr>
          <w:rFonts w:ascii="Times New Roman" w:hAnsi="Times New Roman" w:cs="Times New Roman"/>
        </w:rPr>
        <w:t>C and below, coal is rapidly phased out of the energy mix. Traditionally, this decline has not been constrained in previous iterations of TIAM-UCL, however in this paper we have constrained the rate at which coal can be phased out of the energy system.</w:t>
      </w:r>
    </w:p>
    <w:p w14:paraId="14B0474E" w14:textId="77777777" w:rsidR="001309B9" w:rsidRPr="009F19BD" w:rsidRDefault="001309B9" w:rsidP="001309B9">
      <w:pPr>
        <w:pStyle w:val="Normalsingle"/>
        <w:rPr>
          <w:rFonts w:ascii="Times New Roman" w:hAnsi="Times New Roman"/>
          <w:sz w:val="20"/>
          <w:szCs w:val="20"/>
          <w:u w:val="single"/>
        </w:rPr>
      </w:pPr>
      <w:r w:rsidRPr="009F19BD">
        <w:rPr>
          <w:rFonts w:ascii="Times New Roman" w:hAnsi="Times New Roman"/>
          <w:sz w:val="20"/>
          <w:szCs w:val="20"/>
          <w:u w:val="single"/>
        </w:rPr>
        <w:t>Oil and fossil methane gas</w:t>
      </w:r>
    </w:p>
    <w:p w14:paraId="49AC381A" w14:textId="2968822D" w:rsidR="001309B9" w:rsidRPr="009F19BD" w:rsidRDefault="001309B9" w:rsidP="001309B9">
      <w:pPr>
        <w:rPr>
          <w:rFonts w:ascii="Times New Roman" w:hAnsi="Times New Roman" w:cs="Times New Roman"/>
        </w:rPr>
      </w:pPr>
      <w:r w:rsidRPr="009F19BD">
        <w:rPr>
          <w:rFonts w:ascii="Times New Roman" w:hAnsi="Times New Roman" w:cs="Times New Roman"/>
        </w:rPr>
        <w:t xml:space="preserve">There are a range of upstream user constraints which control the rate at which production of different categories of oil and gas can grow/decline. In short, these user constraints model the natural growth and decline of oil and fossil methane gas. The predominant form of constraint is an exponential (constant) rate of growth/decline across a time-slice, using seed values if there is no residual (historical) productive capacity. Equation </w:t>
      </w:r>
      <w:r w:rsidR="0072132F" w:rsidRPr="009F19BD">
        <w:rPr>
          <w:rFonts w:ascii="Times New Roman" w:hAnsi="Times New Roman" w:cs="Times New Roman"/>
        </w:rPr>
        <w:t>1</w:t>
      </w:r>
      <w:r w:rsidRPr="009F19BD">
        <w:rPr>
          <w:rFonts w:ascii="Times New Roman" w:hAnsi="Times New Roman" w:cs="Times New Roman"/>
        </w:rPr>
        <w:t xml:space="preserve"> shows the functional form of these growth (a) and decline (b) constraints, for extractive technologies with historical production, while (c) and (d) shows the same equations for technologies which have no historical production and therefore require a seed value. </w:t>
      </w:r>
    </w:p>
    <w:p w14:paraId="6EF12332" w14:textId="00210BC4"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noProof/>
        </w:rPr>
        <w:drawing>
          <wp:inline distT="0" distB="0" distL="0" distR="0" wp14:anchorId="3F7ED79B" wp14:editId="0022379E">
            <wp:extent cx="4048125" cy="209550"/>
            <wp:effectExtent l="0" t="0" r="9525" b="0"/>
            <wp:docPr id="28" name="Picture 28" descr="https://latex.codecogs.com/gif.latex?Production_%7Bi%2Ct%7D%5Cleq%20%28Production_%7Bi%2Ct-1%7D*Growth%5E%7Bts%7D%29%20&amp;plus;%20Seed_%7Bi%2Ct%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29">
                      <a:extLst>
                        <a:ext uri="{28A0092B-C50C-407E-A947-70E740481C1C}">
                          <a14:useLocalDpi xmlns:a14="http://schemas.microsoft.com/office/drawing/2010/main" val="0"/>
                        </a:ext>
                      </a:extLst>
                    </a:blip>
                    <a:stretch>
                      <a:fillRect/>
                    </a:stretch>
                  </pic:blipFill>
                  <pic:spPr>
                    <a:xfrm>
                      <a:off x="0" y="0"/>
                      <a:ext cx="4048125" cy="209550"/>
                    </a:xfrm>
                    <a:prstGeom prst="rect">
                      <a:avLst/>
                    </a:prstGeom>
                  </pic:spPr>
                </pic:pic>
              </a:graphicData>
            </a:graphic>
          </wp:inline>
        </w:drawing>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t>(</w:t>
      </w:r>
      <w:r w:rsidR="0072132F" w:rsidRPr="009F19BD">
        <w:rPr>
          <w:rFonts w:ascii="Times New Roman" w:hAnsi="Times New Roman" w:cs="Times New Roman"/>
        </w:rPr>
        <w:t>1</w:t>
      </w:r>
      <w:r w:rsidRPr="009F19BD">
        <w:rPr>
          <w:rFonts w:ascii="Times New Roman" w:hAnsi="Times New Roman" w:cs="Times New Roman"/>
        </w:rPr>
        <w:t xml:space="preserve"> (a))</w:t>
      </w:r>
    </w:p>
    <w:p w14:paraId="33E028A1" w14:textId="77777777" w:rsidR="001309B9" w:rsidRPr="009F19BD" w:rsidRDefault="001309B9" w:rsidP="001309B9">
      <w:pPr>
        <w:pStyle w:val="00DDPPNormal"/>
        <w:rPr>
          <w:rFonts w:ascii="Times New Roman" w:hAnsi="Times New Roman" w:cs="Times New Roman"/>
        </w:rPr>
      </w:pPr>
    </w:p>
    <w:p w14:paraId="39837EE2" w14:textId="68FE967B"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noProof/>
        </w:rPr>
        <w:drawing>
          <wp:inline distT="0" distB="0" distL="0" distR="0" wp14:anchorId="3BBC67DD" wp14:editId="45E95D5B">
            <wp:extent cx="4048125" cy="209550"/>
            <wp:effectExtent l="0" t="0" r="9525" b="0"/>
            <wp:docPr id="27" name="Picture 27" descr="https://latex.codecogs.com/gif.latex?Production_%7Bi%2Ct%7D%5Cgeq%20%28Production_%7Bi%2Ct-1%7D*Decline%5E%7Bts%7D%29%20&amp;plus;%20Seed_%7Bi%2Ct%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30">
                      <a:extLst>
                        <a:ext uri="{28A0092B-C50C-407E-A947-70E740481C1C}">
                          <a14:useLocalDpi xmlns:a14="http://schemas.microsoft.com/office/drawing/2010/main" val="0"/>
                        </a:ext>
                      </a:extLst>
                    </a:blip>
                    <a:stretch>
                      <a:fillRect/>
                    </a:stretch>
                  </pic:blipFill>
                  <pic:spPr>
                    <a:xfrm>
                      <a:off x="0" y="0"/>
                      <a:ext cx="4048125" cy="209550"/>
                    </a:xfrm>
                    <a:prstGeom prst="rect">
                      <a:avLst/>
                    </a:prstGeom>
                  </pic:spPr>
                </pic:pic>
              </a:graphicData>
            </a:graphic>
          </wp:inline>
        </w:drawing>
      </w:r>
      <w:r w:rsidRPr="009F19BD">
        <w:rPr>
          <w:rFonts w:ascii="Times New Roman" w:hAnsi="Times New Roman" w:cs="Times New Roman"/>
        </w:rPr>
        <w:t xml:space="preserve"> </w:t>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t>(</w:t>
      </w:r>
      <w:r w:rsidR="0072132F" w:rsidRPr="009F19BD">
        <w:rPr>
          <w:rFonts w:ascii="Times New Roman" w:hAnsi="Times New Roman" w:cs="Times New Roman"/>
        </w:rPr>
        <w:t>1</w:t>
      </w:r>
      <w:r w:rsidRPr="009F19BD">
        <w:rPr>
          <w:rFonts w:ascii="Times New Roman" w:hAnsi="Times New Roman" w:cs="Times New Roman"/>
        </w:rPr>
        <w:t xml:space="preserve"> (b))</w:t>
      </w:r>
    </w:p>
    <w:p w14:paraId="04A76824" w14:textId="77777777" w:rsidR="001309B9" w:rsidRPr="009F19BD" w:rsidRDefault="001309B9" w:rsidP="001309B9">
      <w:pPr>
        <w:pStyle w:val="00DDPPNormal"/>
        <w:rPr>
          <w:rFonts w:ascii="Times New Roman" w:hAnsi="Times New Roman" w:cs="Times New Roman"/>
        </w:rPr>
      </w:pPr>
    </w:p>
    <w:p w14:paraId="2552DDDC" w14:textId="6D3309D5"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noProof/>
        </w:rPr>
        <w:drawing>
          <wp:inline distT="0" distB="0" distL="0" distR="0" wp14:anchorId="24AF4CA5" wp14:editId="741C0E96">
            <wp:extent cx="2552700" cy="209550"/>
            <wp:effectExtent l="0" t="0" r="0" b="0"/>
            <wp:docPr id="29" name="Picture 29" descr="https://latex.codecogs.com/gif.latex?Production_%7Bi%2Ct%7D%5Cleq%20Seed_%7Bi%2Ct%7D*Growth%5E%7Bts%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31">
                      <a:extLst>
                        <a:ext uri="{28A0092B-C50C-407E-A947-70E740481C1C}">
                          <a14:useLocalDpi xmlns:a14="http://schemas.microsoft.com/office/drawing/2010/main" val="0"/>
                        </a:ext>
                      </a:extLst>
                    </a:blip>
                    <a:stretch>
                      <a:fillRect/>
                    </a:stretch>
                  </pic:blipFill>
                  <pic:spPr>
                    <a:xfrm>
                      <a:off x="0" y="0"/>
                      <a:ext cx="2552700" cy="209550"/>
                    </a:xfrm>
                    <a:prstGeom prst="rect">
                      <a:avLst/>
                    </a:prstGeom>
                  </pic:spPr>
                </pic:pic>
              </a:graphicData>
            </a:graphic>
          </wp:inline>
        </w:drawing>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t>(</w:t>
      </w:r>
      <w:r w:rsidR="0072132F" w:rsidRPr="009F19BD">
        <w:rPr>
          <w:rFonts w:ascii="Times New Roman" w:hAnsi="Times New Roman" w:cs="Times New Roman"/>
        </w:rPr>
        <w:t>1</w:t>
      </w:r>
      <w:r w:rsidRPr="009F19BD">
        <w:rPr>
          <w:rFonts w:ascii="Times New Roman" w:hAnsi="Times New Roman" w:cs="Times New Roman"/>
        </w:rPr>
        <w:t xml:space="preserve"> (c))</w:t>
      </w:r>
    </w:p>
    <w:p w14:paraId="7715FDE9" w14:textId="77777777" w:rsidR="001309B9" w:rsidRPr="009F19BD" w:rsidRDefault="001309B9" w:rsidP="001309B9">
      <w:pPr>
        <w:pStyle w:val="00DDPPNormal"/>
        <w:rPr>
          <w:rFonts w:ascii="Times New Roman" w:hAnsi="Times New Roman" w:cs="Times New Roman"/>
        </w:rPr>
      </w:pPr>
    </w:p>
    <w:p w14:paraId="21BACE4E" w14:textId="4763D1FF"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noProof/>
        </w:rPr>
        <w:drawing>
          <wp:inline distT="0" distB="0" distL="0" distR="0" wp14:anchorId="7368769E" wp14:editId="099B7B6B">
            <wp:extent cx="2571750" cy="209550"/>
            <wp:effectExtent l="0" t="0" r="0" b="0"/>
            <wp:docPr id="43" name="Picture 43" descr="https://latex.codecogs.com/gif.latex?Production_%7Bi%2Ct%7D%5Cgeq%20Seed_%7Bi%2Ct%7D*Decline%5E%7Bts%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32">
                      <a:extLst>
                        <a:ext uri="{28A0092B-C50C-407E-A947-70E740481C1C}">
                          <a14:useLocalDpi xmlns:a14="http://schemas.microsoft.com/office/drawing/2010/main" val="0"/>
                        </a:ext>
                      </a:extLst>
                    </a:blip>
                    <a:stretch>
                      <a:fillRect/>
                    </a:stretch>
                  </pic:blipFill>
                  <pic:spPr>
                    <a:xfrm>
                      <a:off x="0" y="0"/>
                      <a:ext cx="2571750" cy="209550"/>
                    </a:xfrm>
                    <a:prstGeom prst="rect">
                      <a:avLst/>
                    </a:prstGeom>
                  </pic:spPr>
                </pic:pic>
              </a:graphicData>
            </a:graphic>
          </wp:inline>
        </w:drawing>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r>
      <w:r w:rsidRPr="009F19BD">
        <w:rPr>
          <w:rFonts w:ascii="Times New Roman" w:hAnsi="Times New Roman" w:cs="Times New Roman"/>
        </w:rPr>
        <w:tab/>
        <w:t>(</w:t>
      </w:r>
      <w:r w:rsidR="0072132F" w:rsidRPr="009F19BD">
        <w:rPr>
          <w:rFonts w:ascii="Times New Roman" w:hAnsi="Times New Roman" w:cs="Times New Roman"/>
        </w:rPr>
        <w:t>1</w:t>
      </w:r>
      <w:r w:rsidRPr="009F19BD">
        <w:rPr>
          <w:rFonts w:ascii="Times New Roman" w:hAnsi="Times New Roman" w:cs="Times New Roman"/>
        </w:rPr>
        <w:t xml:space="preserve"> (d))</w:t>
      </w:r>
    </w:p>
    <w:p w14:paraId="16894727" w14:textId="77777777" w:rsidR="001309B9" w:rsidRPr="009F19BD" w:rsidRDefault="001309B9" w:rsidP="001309B9">
      <w:pPr>
        <w:pStyle w:val="00DDPPNormal"/>
        <w:rPr>
          <w:rFonts w:ascii="Times New Roman" w:hAnsi="Times New Roman" w:cs="Times New Roman"/>
        </w:rPr>
      </w:pPr>
    </w:p>
    <w:p w14:paraId="2B7B5B37" w14:textId="77777777"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rPr>
        <w:tab/>
      </w:r>
      <w:proofErr w:type="gramStart"/>
      <w:r w:rsidRPr="009F19BD">
        <w:rPr>
          <w:rFonts w:ascii="Times New Roman" w:hAnsi="Times New Roman" w:cs="Times New Roman"/>
        </w:rPr>
        <w:t>Where</w:t>
      </w:r>
      <w:proofErr w:type="gramEnd"/>
      <w:r w:rsidRPr="009F19BD">
        <w:rPr>
          <w:rFonts w:ascii="Times New Roman" w:hAnsi="Times New Roman" w:cs="Times New Roman"/>
        </w:rPr>
        <w:t xml:space="preserve">, </w:t>
      </w:r>
    </w:p>
    <w:p w14:paraId="366721BA" w14:textId="77777777" w:rsidR="001309B9" w:rsidRPr="009F19BD" w:rsidRDefault="001309B9" w:rsidP="001309B9">
      <w:pPr>
        <w:pStyle w:val="00DDPPNormal"/>
        <w:rPr>
          <w:rFonts w:ascii="Times New Roman" w:hAnsi="Times New Roman" w:cs="Times New Roman"/>
          <w:i/>
        </w:rPr>
      </w:pPr>
      <w:r w:rsidRPr="009F19BD">
        <w:rPr>
          <w:rFonts w:ascii="Times New Roman" w:hAnsi="Times New Roman" w:cs="Times New Roman"/>
        </w:rPr>
        <w:tab/>
      </w:r>
      <w:proofErr w:type="spellStart"/>
      <w:r w:rsidRPr="009F19BD">
        <w:rPr>
          <w:rFonts w:ascii="Times New Roman" w:hAnsi="Times New Roman" w:cs="Times New Roman"/>
          <w:i/>
        </w:rPr>
        <w:t>Production</w:t>
      </w:r>
      <w:r w:rsidRPr="009F19BD">
        <w:rPr>
          <w:rFonts w:ascii="Times New Roman" w:hAnsi="Times New Roman" w:cs="Times New Roman"/>
          <w:i/>
          <w:vertAlign w:val="subscript"/>
        </w:rPr>
        <w:t>i</w:t>
      </w:r>
      <w:proofErr w:type="spellEnd"/>
      <w:r w:rsidRPr="009F19BD">
        <w:rPr>
          <w:rFonts w:ascii="Times New Roman" w:hAnsi="Times New Roman" w:cs="Times New Roman"/>
        </w:rPr>
        <w:t xml:space="preserve"> = production of oil/gas for mining process </w:t>
      </w:r>
      <w:r w:rsidRPr="009F19BD">
        <w:rPr>
          <w:rFonts w:ascii="Times New Roman" w:hAnsi="Times New Roman" w:cs="Times New Roman"/>
          <w:i/>
        </w:rPr>
        <w:t>i</w:t>
      </w:r>
    </w:p>
    <w:p w14:paraId="2D85A0C2" w14:textId="77777777" w:rsidR="001309B9" w:rsidRPr="009F19BD" w:rsidRDefault="001309B9" w:rsidP="001309B9">
      <w:pPr>
        <w:pStyle w:val="00DDPPNormal"/>
        <w:ind w:left="720"/>
        <w:rPr>
          <w:rFonts w:ascii="Times New Roman" w:hAnsi="Times New Roman" w:cs="Times New Roman"/>
        </w:rPr>
      </w:pPr>
      <w:proofErr w:type="spellStart"/>
      <w:r w:rsidRPr="009F19BD">
        <w:rPr>
          <w:rFonts w:ascii="Times New Roman" w:hAnsi="Times New Roman" w:cs="Times New Roman"/>
          <w:i/>
        </w:rPr>
        <w:t>Seed</w:t>
      </w:r>
      <w:r w:rsidRPr="009F19BD">
        <w:rPr>
          <w:rFonts w:ascii="Times New Roman" w:hAnsi="Times New Roman" w:cs="Times New Roman"/>
          <w:i/>
          <w:vertAlign w:val="subscript"/>
        </w:rPr>
        <w:t>i</w:t>
      </w:r>
      <w:proofErr w:type="spellEnd"/>
      <w:r w:rsidRPr="009F19BD">
        <w:rPr>
          <w:rFonts w:ascii="Times New Roman" w:hAnsi="Times New Roman" w:cs="Times New Roman"/>
          <w:i/>
          <w:vertAlign w:val="subscript"/>
        </w:rPr>
        <w:t xml:space="preserve"> </w:t>
      </w:r>
      <w:r w:rsidRPr="009F19BD">
        <w:rPr>
          <w:rFonts w:ascii="Times New Roman" w:hAnsi="Times New Roman" w:cs="Times New Roman"/>
          <w:i/>
        </w:rPr>
        <w:t xml:space="preserve">= </w:t>
      </w:r>
      <w:r w:rsidRPr="009F19BD">
        <w:rPr>
          <w:rFonts w:ascii="Times New Roman" w:hAnsi="Times New Roman" w:cs="Times New Roman"/>
        </w:rPr>
        <w:t>seed value from which growth/decline coefficients are assigned to if no historical (</w:t>
      </w:r>
      <w:proofErr w:type="gramStart"/>
      <w:r w:rsidRPr="009F19BD">
        <w:rPr>
          <w:rFonts w:ascii="Times New Roman" w:hAnsi="Times New Roman" w:cs="Times New Roman"/>
        </w:rPr>
        <w:t>i.e.</w:t>
      </w:r>
      <w:proofErr w:type="gramEnd"/>
      <w:r w:rsidRPr="009F19BD">
        <w:rPr>
          <w:rFonts w:ascii="Times New Roman" w:hAnsi="Times New Roman" w:cs="Times New Roman"/>
        </w:rPr>
        <w:t xml:space="preserve"> </w:t>
      </w:r>
      <w:r w:rsidRPr="009F19BD">
        <w:rPr>
          <w:rFonts w:ascii="Times New Roman" w:hAnsi="Times New Roman" w:cs="Times New Roman"/>
          <w:i/>
        </w:rPr>
        <w:t>t-1</w:t>
      </w:r>
      <w:r w:rsidRPr="009F19BD">
        <w:rPr>
          <w:rFonts w:ascii="Times New Roman" w:hAnsi="Times New Roman" w:cs="Times New Roman"/>
        </w:rPr>
        <w:t>) volumes, and which is added to overall growth/decline constraint across each time-slice</w:t>
      </w:r>
    </w:p>
    <w:p w14:paraId="7A74F130" w14:textId="77777777"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rPr>
        <w:tab/>
      </w:r>
      <w:r w:rsidRPr="009F19BD">
        <w:rPr>
          <w:rFonts w:ascii="Times New Roman" w:hAnsi="Times New Roman" w:cs="Times New Roman"/>
          <w:i/>
        </w:rPr>
        <w:t xml:space="preserve">t </w:t>
      </w:r>
      <w:r w:rsidRPr="009F19BD">
        <w:rPr>
          <w:rFonts w:ascii="Times New Roman" w:hAnsi="Times New Roman" w:cs="Times New Roman"/>
          <w:i/>
          <w:vertAlign w:val="subscript"/>
        </w:rPr>
        <w:t xml:space="preserve">= </w:t>
      </w:r>
      <w:proofErr w:type="gramStart"/>
      <w:r w:rsidRPr="009F19BD">
        <w:rPr>
          <w:rFonts w:ascii="Times New Roman" w:hAnsi="Times New Roman" w:cs="Times New Roman"/>
        </w:rPr>
        <w:t>time period</w:t>
      </w:r>
      <w:proofErr w:type="gramEnd"/>
      <w:r w:rsidRPr="009F19BD">
        <w:rPr>
          <w:rFonts w:ascii="Times New Roman" w:hAnsi="Times New Roman" w:cs="Times New Roman"/>
        </w:rPr>
        <w:t xml:space="preserve"> in the model (therefore </w:t>
      </w:r>
      <w:r w:rsidRPr="009F19BD">
        <w:rPr>
          <w:rFonts w:ascii="Times New Roman" w:hAnsi="Times New Roman" w:cs="Times New Roman"/>
          <w:i/>
        </w:rPr>
        <w:t xml:space="preserve">t-1 </w:t>
      </w:r>
      <w:r w:rsidRPr="009F19BD">
        <w:rPr>
          <w:rFonts w:ascii="Times New Roman" w:hAnsi="Times New Roman" w:cs="Times New Roman"/>
        </w:rPr>
        <w:t>is the previous time-slice)</w:t>
      </w:r>
    </w:p>
    <w:p w14:paraId="7355BFE9" w14:textId="77777777"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rPr>
        <w:tab/>
      </w:r>
      <w:r w:rsidRPr="009F19BD">
        <w:rPr>
          <w:rFonts w:ascii="Times New Roman" w:hAnsi="Times New Roman" w:cs="Times New Roman"/>
          <w:i/>
        </w:rPr>
        <w:t xml:space="preserve">Growth </w:t>
      </w:r>
      <w:r w:rsidRPr="009F19BD">
        <w:rPr>
          <w:rFonts w:ascii="Times New Roman" w:hAnsi="Times New Roman" w:cs="Times New Roman"/>
        </w:rPr>
        <w:t xml:space="preserve">= growth coefficient, where </w:t>
      </w:r>
      <w:r w:rsidRPr="009F19BD">
        <w:rPr>
          <w:rFonts w:ascii="Times New Roman" w:hAnsi="Times New Roman" w:cs="Times New Roman"/>
          <w:i/>
        </w:rPr>
        <w:t xml:space="preserve">Growth </w:t>
      </w:r>
      <w:r w:rsidRPr="009F19BD">
        <w:rPr>
          <w:rFonts w:ascii="Times New Roman" w:hAnsi="Times New Roman" w:cs="Times New Roman"/>
        </w:rPr>
        <w:t>≥ 1</w:t>
      </w:r>
    </w:p>
    <w:p w14:paraId="3BB0490D" w14:textId="77777777"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rPr>
        <w:tab/>
      </w:r>
      <w:r w:rsidRPr="009F19BD">
        <w:rPr>
          <w:rFonts w:ascii="Times New Roman" w:hAnsi="Times New Roman" w:cs="Times New Roman"/>
          <w:i/>
        </w:rPr>
        <w:t xml:space="preserve">Decline </w:t>
      </w:r>
      <w:r w:rsidRPr="009F19BD">
        <w:rPr>
          <w:rFonts w:ascii="Times New Roman" w:hAnsi="Times New Roman" w:cs="Times New Roman"/>
        </w:rPr>
        <w:t xml:space="preserve">= decline coefficient, where </w:t>
      </w:r>
      <w:r w:rsidRPr="009F19BD">
        <w:rPr>
          <w:rFonts w:ascii="Times New Roman" w:hAnsi="Times New Roman" w:cs="Times New Roman"/>
          <w:i/>
        </w:rPr>
        <w:t xml:space="preserve">Decline </w:t>
      </w:r>
      <w:r w:rsidRPr="009F19BD">
        <w:rPr>
          <w:rFonts w:ascii="Times New Roman" w:hAnsi="Times New Roman" w:cs="Times New Roman"/>
        </w:rPr>
        <w:t>≤ 1</w:t>
      </w:r>
    </w:p>
    <w:p w14:paraId="74EF57DA" w14:textId="77777777" w:rsidR="001309B9" w:rsidRPr="009F19BD" w:rsidRDefault="001309B9" w:rsidP="001309B9">
      <w:pPr>
        <w:pStyle w:val="00DDPPNormal"/>
        <w:rPr>
          <w:rFonts w:ascii="Times New Roman" w:hAnsi="Times New Roman" w:cs="Times New Roman"/>
        </w:rPr>
      </w:pPr>
      <w:r w:rsidRPr="009F19BD">
        <w:rPr>
          <w:rFonts w:ascii="Times New Roman" w:hAnsi="Times New Roman" w:cs="Times New Roman"/>
        </w:rPr>
        <w:tab/>
      </w:r>
      <w:proofErr w:type="spellStart"/>
      <w:r w:rsidRPr="009F19BD">
        <w:rPr>
          <w:rFonts w:ascii="Times New Roman" w:hAnsi="Times New Roman" w:cs="Times New Roman"/>
          <w:i/>
        </w:rPr>
        <w:t>ts</w:t>
      </w:r>
      <w:proofErr w:type="spellEnd"/>
      <w:r w:rsidRPr="009F19BD">
        <w:rPr>
          <w:rFonts w:ascii="Times New Roman" w:hAnsi="Times New Roman" w:cs="Times New Roman"/>
          <w:i/>
        </w:rPr>
        <w:t xml:space="preserve"> </w:t>
      </w:r>
      <w:r w:rsidRPr="009F19BD">
        <w:rPr>
          <w:rFonts w:ascii="Times New Roman" w:hAnsi="Times New Roman" w:cs="Times New Roman"/>
        </w:rPr>
        <w:t>= time-slice length (</w:t>
      </w:r>
      <w:proofErr w:type="gramStart"/>
      <w:r w:rsidRPr="009F19BD">
        <w:rPr>
          <w:rFonts w:ascii="Times New Roman" w:hAnsi="Times New Roman" w:cs="Times New Roman"/>
        </w:rPr>
        <w:t>i.e.</w:t>
      </w:r>
      <w:proofErr w:type="gramEnd"/>
      <w:r w:rsidRPr="009F19BD">
        <w:rPr>
          <w:rFonts w:ascii="Times New Roman" w:hAnsi="Times New Roman" w:cs="Times New Roman"/>
        </w:rPr>
        <w:t xml:space="preserve"> </w:t>
      </w:r>
      <w:r w:rsidRPr="009F19BD">
        <w:rPr>
          <w:rFonts w:ascii="Times New Roman" w:hAnsi="Times New Roman" w:cs="Times New Roman"/>
          <w:i/>
        </w:rPr>
        <w:t>t – (t-1)</w:t>
      </w:r>
      <w:r w:rsidRPr="009F19BD">
        <w:rPr>
          <w:rFonts w:ascii="Times New Roman" w:hAnsi="Times New Roman" w:cs="Times New Roman"/>
        </w:rPr>
        <w:t>)</w:t>
      </w:r>
    </w:p>
    <w:p w14:paraId="1D0A4820" w14:textId="77777777" w:rsidR="001309B9" w:rsidRPr="009F19BD" w:rsidRDefault="001309B9" w:rsidP="001309B9">
      <w:pPr>
        <w:pStyle w:val="00DDPPNormal"/>
        <w:rPr>
          <w:rFonts w:ascii="Times New Roman" w:hAnsi="Times New Roman" w:cs="Times New Roman"/>
        </w:rPr>
      </w:pPr>
    </w:p>
    <w:p w14:paraId="2E7DA5E7" w14:textId="2677B71D" w:rsidR="001309B9" w:rsidRPr="009F19BD" w:rsidRDefault="001309B9" w:rsidP="001309B9">
      <w:pPr>
        <w:rPr>
          <w:rFonts w:ascii="Times New Roman" w:hAnsi="Times New Roman" w:cs="Times New Roman"/>
        </w:rPr>
      </w:pPr>
      <w:r w:rsidRPr="009F19BD">
        <w:rPr>
          <w:rFonts w:ascii="Times New Roman" w:hAnsi="Times New Roman" w:cs="Times New Roman"/>
        </w:rPr>
        <w:t xml:space="preserve">Therefore, for growth constraints, the production of an oil and/or gas mining technology in time slice </w:t>
      </w:r>
      <w:r w:rsidRPr="009F19BD">
        <w:rPr>
          <w:rFonts w:ascii="Times New Roman" w:hAnsi="Times New Roman" w:cs="Times New Roman"/>
          <w:i/>
        </w:rPr>
        <w:t xml:space="preserve">t </w:t>
      </w:r>
      <w:r w:rsidRPr="009F19BD">
        <w:rPr>
          <w:rFonts w:ascii="Times New Roman" w:hAnsi="Times New Roman" w:cs="Times New Roman"/>
        </w:rPr>
        <w:t xml:space="preserve">will be bounded (upper) by a maximum of production in time slice </w:t>
      </w:r>
      <w:r w:rsidRPr="009F19BD">
        <w:rPr>
          <w:rFonts w:ascii="Times New Roman" w:hAnsi="Times New Roman" w:cs="Times New Roman"/>
          <w:i/>
        </w:rPr>
        <w:t xml:space="preserve">t-1 </w:t>
      </w:r>
      <w:r w:rsidRPr="009F19BD">
        <w:rPr>
          <w:rFonts w:ascii="Times New Roman" w:hAnsi="Times New Roman" w:cs="Times New Roman"/>
        </w:rPr>
        <w:t xml:space="preserve">multiplied by the growth coefficient to the power of the length of the time-slice. For decline constraints, the inverse applies: production in </w:t>
      </w:r>
      <w:r w:rsidRPr="009F19BD">
        <w:rPr>
          <w:rFonts w:ascii="Times New Roman" w:hAnsi="Times New Roman" w:cs="Times New Roman"/>
          <w:i/>
        </w:rPr>
        <w:t xml:space="preserve">t </w:t>
      </w:r>
      <w:r w:rsidRPr="009F19BD">
        <w:rPr>
          <w:rFonts w:ascii="Times New Roman" w:hAnsi="Times New Roman" w:cs="Times New Roman"/>
        </w:rPr>
        <w:t xml:space="preserve">will be bounded (lower) by a minimum of production in </w:t>
      </w:r>
      <w:r w:rsidRPr="009F19BD">
        <w:rPr>
          <w:rFonts w:ascii="Times New Roman" w:hAnsi="Times New Roman" w:cs="Times New Roman"/>
          <w:i/>
        </w:rPr>
        <w:t xml:space="preserve">t-1 </w:t>
      </w:r>
      <w:r w:rsidRPr="009F19BD">
        <w:rPr>
          <w:rFonts w:ascii="Times New Roman" w:hAnsi="Times New Roman" w:cs="Times New Roman"/>
        </w:rPr>
        <w:t xml:space="preserve">multiplied by the decline coefficient to the power of the time-slice length. </w:t>
      </w:r>
      <w:r w:rsidRPr="009F19BD">
        <w:rPr>
          <w:rFonts w:ascii="Times New Roman" w:hAnsi="Times New Roman" w:cs="Times New Roman"/>
        </w:rPr>
        <w:fldChar w:fldCharType="begin"/>
      </w:r>
      <w:r w:rsidRPr="009F19BD">
        <w:rPr>
          <w:rFonts w:ascii="Times New Roman" w:hAnsi="Times New Roman" w:cs="Times New Roman"/>
        </w:rPr>
        <w:instrText xml:space="preserve"> REF _Ref64821139 \h  \* MERGEFORMAT </w:instrText>
      </w:r>
      <w:r w:rsidRPr="009F19BD">
        <w:rPr>
          <w:rFonts w:ascii="Times New Roman" w:hAnsi="Times New Roman" w:cs="Times New Roman"/>
        </w:rPr>
      </w:r>
      <w:r w:rsidRPr="009F19BD">
        <w:rPr>
          <w:rFonts w:ascii="Times New Roman" w:hAnsi="Times New Roman" w:cs="Times New Roman"/>
        </w:rPr>
        <w:fldChar w:fldCharType="separate"/>
      </w:r>
      <w:r w:rsidRPr="009F19BD">
        <w:rPr>
          <w:rFonts w:ascii="Times New Roman" w:hAnsi="Times New Roman" w:cs="Times New Roman"/>
        </w:rPr>
        <w:t>Supplementary Table</w:t>
      </w:r>
      <w:r w:rsidRPr="009F19BD">
        <w:rPr>
          <w:rFonts w:ascii="Times New Roman" w:hAnsi="Times New Roman" w:cs="Times New Roman"/>
        </w:rPr>
        <w:fldChar w:fldCharType="end"/>
      </w:r>
      <w:r w:rsidRPr="009F19BD">
        <w:rPr>
          <w:rFonts w:ascii="Times New Roman" w:hAnsi="Times New Roman" w:cs="Times New Roman"/>
        </w:rPr>
        <w:t xml:space="preserve"> </w:t>
      </w:r>
      <w:r w:rsidR="00DD5E34">
        <w:rPr>
          <w:rFonts w:ascii="Times New Roman" w:hAnsi="Times New Roman" w:cs="Times New Roman"/>
        </w:rPr>
        <w:t>12</w:t>
      </w:r>
      <w:r w:rsidRPr="009F19BD">
        <w:rPr>
          <w:rFonts w:ascii="Times New Roman" w:hAnsi="Times New Roman" w:cs="Times New Roman"/>
        </w:rPr>
        <w:t xml:space="preserve"> shows examples of the growth/decline coefficient parameters and seed values used in TIAM-UCL, for a range of oil (a) and gas (b) mining technologies.</w:t>
      </w:r>
    </w:p>
    <w:p w14:paraId="25526430" w14:textId="2C9A1C1C" w:rsidR="001309B9" w:rsidRPr="009F19BD" w:rsidRDefault="001309B9" w:rsidP="001309B9">
      <w:pPr>
        <w:rPr>
          <w:rFonts w:ascii="Times New Roman" w:eastAsia="Calibri" w:hAnsi="Times New Roman" w:cs="Times New Roman"/>
          <w:b/>
          <w:bCs/>
        </w:rPr>
      </w:pPr>
      <w:r w:rsidRPr="009F19BD">
        <w:rPr>
          <w:rFonts w:ascii="Times New Roman" w:hAnsi="Times New Roman" w:cs="Times New Roman"/>
        </w:rPr>
        <w:t xml:space="preserve">Additional constraints have been input as a proxy for controlling the expansion of associated fossil methane gas. Whilst the production itself is a function of oil extraction (and oil economics), the </w:t>
      </w:r>
      <w:r w:rsidRPr="009F19BD">
        <w:rPr>
          <w:rFonts w:ascii="Times New Roman" w:hAnsi="Times New Roman" w:cs="Times New Roman"/>
        </w:rPr>
        <w:lastRenderedPageBreak/>
        <w:t>infrastructural issues surrounding associated gas utilisation require some degree of user constraint. Therefore, an upstream constraint is placed on the speed at which associated gas processing and separation capacity can be added.</w:t>
      </w:r>
    </w:p>
    <w:p w14:paraId="64DA5409" w14:textId="7E25F3AE" w:rsidR="001309B9" w:rsidRPr="00DD5E34" w:rsidRDefault="001309B9" w:rsidP="001309B9">
      <w:pPr>
        <w:pStyle w:val="00DDPPNormal"/>
        <w:rPr>
          <w:rFonts w:ascii="Times New Roman" w:hAnsi="Times New Roman" w:cs="Times New Roman"/>
          <w:b/>
          <w:iCs/>
          <w:sz w:val="22"/>
        </w:rPr>
      </w:pPr>
      <w:bookmarkStart w:id="15" w:name="_Ref64821139"/>
      <w:r w:rsidRPr="00DD5E34">
        <w:rPr>
          <w:rFonts w:ascii="Times New Roman" w:hAnsi="Times New Roman" w:cs="Times New Roman"/>
          <w:b/>
          <w:iCs/>
          <w:sz w:val="22"/>
        </w:rPr>
        <w:t>Supplementary Table</w:t>
      </w:r>
      <w:bookmarkEnd w:id="15"/>
      <w:r w:rsidRPr="00DD5E34">
        <w:rPr>
          <w:rFonts w:ascii="Times New Roman" w:hAnsi="Times New Roman" w:cs="Times New Roman"/>
          <w:b/>
          <w:iCs/>
          <w:sz w:val="22"/>
        </w:rPr>
        <w:t xml:space="preserve"> </w:t>
      </w:r>
      <w:r w:rsidR="00DD5E34" w:rsidRPr="00DD5E34">
        <w:rPr>
          <w:rFonts w:ascii="Times New Roman" w:hAnsi="Times New Roman" w:cs="Times New Roman"/>
          <w:b/>
          <w:iCs/>
          <w:sz w:val="22"/>
        </w:rPr>
        <w:t>12</w:t>
      </w:r>
      <w:r w:rsidRPr="00DD5E34">
        <w:rPr>
          <w:rFonts w:ascii="Times New Roman" w:hAnsi="Times New Roman" w:cs="Times New Roman"/>
          <w:b/>
          <w:iCs/>
          <w:sz w:val="22"/>
        </w:rPr>
        <w:t>. a) User constraints for a range of oil mining technologies extraction processes and b) gas extraction processes in TIAM-UCL</w:t>
      </w:r>
    </w:p>
    <w:p w14:paraId="26D6CBDE" w14:textId="77777777" w:rsidR="001309B9" w:rsidRPr="009F19BD" w:rsidRDefault="001309B9" w:rsidP="001309B9">
      <w:pPr>
        <w:pStyle w:val="00DDPPNormal"/>
        <w:rPr>
          <w:rFonts w:ascii="Times New Roman" w:hAnsi="Times New Roman" w:cs="Times New Roman"/>
          <w:b/>
          <w:sz w:val="8"/>
          <w:szCs w:val="8"/>
        </w:rPr>
      </w:pPr>
    </w:p>
    <w:p w14:paraId="1957BB06" w14:textId="77777777" w:rsidR="001309B9" w:rsidRPr="009F19BD" w:rsidRDefault="001309B9" w:rsidP="001309B9">
      <w:pPr>
        <w:pStyle w:val="00DDPPNormal"/>
        <w:rPr>
          <w:rFonts w:ascii="Times New Roman" w:hAnsi="Times New Roman" w:cs="Times New Roman"/>
          <w:b/>
          <w:szCs w:val="20"/>
        </w:rPr>
      </w:pPr>
      <w:r w:rsidRPr="009F19BD">
        <w:rPr>
          <w:rFonts w:ascii="Times New Roman" w:hAnsi="Times New Roman" w:cs="Times New Roman"/>
          <w:b/>
          <w:szCs w:val="20"/>
        </w:rPr>
        <w:t>a)</w:t>
      </w:r>
    </w:p>
    <w:tbl>
      <w:tblPr>
        <w:tblStyle w:val="TableGrid"/>
        <w:tblW w:w="0" w:type="auto"/>
        <w:tblInd w:w="108" w:type="dxa"/>
        <w:tblLook w:val="04A0" w:firstRow="1" w:lastRow="0" w:firstColumn="1" w:lastColumn="0" w:noHBand="0" w:noVBand="1"/>
      </w:tblPr>
      <w:tblGrid>
        <w:gridCol w:w="3686"/>
        <w:gridCol w:w="2914"/>
        <w:gridCol w:w="2247"/>
      </w:tblGrid>
      <w:tr w:rsidR="001309B9" w:rsidRPr="009F19BD" w14:paraId="684A6F02" w14:textId="77777777" w:rsidTr="00B50CDC">
        <w:trPr>
          <w:trHeight w:val="245"/>
        </w:trPr>
        <w:tc>
          <w:tcPr>
            <w:tcW w:w="3686" w:type="dxa"/>
            <w:shd w:val="clear" w:color="auto" w:fill="D9D9D9" w:themeFill="background1" w:themeFillShade="D9"/>
          </w:tcPr>
          <w:p w14:paraId="55AE9192" w14:textId="77777777" w:rsidR="001309B9" w:rsidRPr="009F19BD" w:rsidRDefault="001309B9" w:rsidP="00B50CDC">
            <w:pPr>
              <w:pStyle w:val="00DDPPNormal"/>
              <w:rPr>
                <w:rFonts w:ascii="Times New Roman" w:hAnsi="Times New Roman" w:cs="Times New Roman"/>
                <w:b/>
                <w:szCs w:val="20"/>
              </w:rPr>
            </w:pPr>
            <w:r w:rsidRPr="009F19BD">
              <w:rPr>
                <w:rFonts w:ascii="Times New Roman" w:hAnsi="Times New Roman" w:cs="Times New Roman"/>
                <w:b/>
                <w:szCs w:val="20"/>
              </w:rPr>
              <w:t>Mining technology</w:t>
            </w:r>
          </w:p>
        </w:tc>
        <w:tc>
          <w:tcPr>
            <w:tcW w:w="2914" w:type="dxa"/>
            <w:shd w:val="clear" w:color="auto" w:fill="D9D9D9" w:themeFill="background1" w:themeFillShade="D9"/>
          </w:tcPr>
          <w:p w14:paraId="25137751" w14:textId="77777777" w:rsidR="001309B9" w:rsidRPr="009F19BD" w:rsidRDefault="001309B9" w:rsidP="00B50CDC">
            <w:pPr>
              <w:pStyle w:val="00DDPPNormal"/>
              <w:rPr>
                <w:rFonts w:ascii="Times New Roman" w:hAnsi="Times New Roman" w:cs="Times New Roman"/>
                <w:b/>
                <w:szCs w:val="20"/>
              </w:rPr>
            </w:pPr>
            <w:r w:rsidRPr="009F19BD">
              <w:rPr>
                <w:rFonts w:ascii="Times New Roman" w:hAnsi="Times New Roman" w:cs="Times New Roman"/>
                <w:b/>
                <w:szCs w:val="20"/>
              </w:rPr>
              <w:t>Growth coefficient</w:t>
            </w:r>
          </w:p>
        </w:tc>
        <w:tc>
          <w:tcPr>
            <w:tcW w:w="2247" w:type="dxa"/>
            <w:shd w:val="clear" w:color="auto" w:fill="D9D9D9" w:themeFill="background1" w:themeFillShade="D9"/>
          </w:tcPr>
          <w:p w14:paraId="76D519C4" w14:textId="77777777" w:rsidR="001309B9" w:rsidRPr="009F19BD" w:rsidRDefault="001309B9" w:rsidP="00B50CDC">
            <w:pPr>
              <w:pStyle w:val="00DDPPNormal"/>
              <w:rPr>
                <w:rFonts w:ascii="Times New Roman" w:hAnsi="Times New Roman" w:cs="Times New Roman"/>
                <w:b/>
                <w:szCs w:val="20"/>
              </w:rPr>
            </w:pPr>
            <w:r w:rsidRPr="009F19BD">
              <w:rPr>
                <w:rFonts w:ascii="Times New Roman" w:hAnsi="Times New Roman" w:cs="Times New Roman"/>
                <w:b/>
                <w:szCs w:val="20"/>
              </w:rPr>
              <w:t>Decline coefficient</w:t>
            </w:r>
          </w:p>
        </w:tc>
      </w:tr>
      <w:tr w:rsidR="001309B9" w:rsidRPr="009F19BD" w14:paraId="6102ED3D" w14:textId="77777777" w:rsidTr="00B50CDC">
        <w:trPr>
          <w:trHeight w:val="339"/>
        </w:trPr>
        <w:tc>
          <w:tcPr>
            <w:tcW w:w="3686" w:type="dxa"/>
          </w:tcPr>
          <w:p w14:paraId="0A9194D8"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Conventional proved reserves</w:t>
            </w:r>
          </w:p>
        </w:tc>
        <w:tc>
          <w:tcPr>
            <w:tcW w:w="2914" w:type="dxa"/>
          </w:tcPr>
          <w:p w14:paraId="0E07D247"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rPr>
              <w:t>1.41 (</w:t>
            </w:r>
            <w:r w:rsidRPr="009F19BD">
              <w:rPr>
                <w:rFonts w:ascii="Times New Roman" w:hAnsi="Times New Roman" w:cs="Times New Roman"/>
                <w:noProof/>
              </w:rPr>
              <w:drawing>
                <wp:inline distT="0" distB="0" distL="0" distR="0" wp14:anchorId="2CDA80A1" wp14:editId="55856246">
                  <wp:extent cx="133350" cy="95250"/>
                  <wp:effectExtent l="0" t="0" r="0" b="0"/>
                  <wp:docPr id="30" name="Picture 30" descr="https://latex.codecogs.com/gif.latex?%5Ctiny%20%5Csqrt%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33">
                            <a:extLst>
                              <a:ext uri="{28A0092B-C50C-407E-A947-70E740481C1C}">
                                <a14:useLocalDpi xmlns:a14="http://schemas.microsoft.com/office/drawing/2010/main" val="0"/>
                              </a:ext>
                            </a:extLst>
                          </a:blip>
                          <a:stretch>
                            <a:fillRect/>
                          </a:stretch>
                        </pic:blipFill>
                        <pic:spPr>
                          <a:xfrm>
                            <a:off x="0" y="0"/>
                            <a:ext cx="133350" cy="95250"/>
                          </a:xfrm>
                          <a:prstGeom prst="rect">
                            <a:avLst/>
                          </a:prstGeom>
                        </pic:spPr>
                      </pic:pic>
                    </a:graphicData>
                  </a:graphic>
                </wp:inline>
              </w:drawing>
            </w:r>
            <w:r w:rsidRPr="009F19BD">
              <w:rPr>
                <w:rFonts w:ascii="Times New Roman" w:hAnsi="Times New Roman" w:cs="Times New Roman"/>
              </w:rPr>
              <w:t>)</w:t>
            </w:r>
          </w:p>
        </w:tc>
        <w:tc>
          <w:tcPr>
            <w:tcW w:w="2247" w:type="dxa"/>
          </w:tcPr>
          <w:p w14:paraId="5D1A9CEC"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0.93</w:t>
            </w:r>
          </w:p>
        </w:tc>
      </w:tr>
      <w:tr w:rsidR="001309B9" w:rsidRPr="009F19BD" w14:paraId="582CC54F" w14:textId="77777777" w:rsidTr="00B50CDC">
        <w:trPr>
          <w:trHeight w:val="327"/>
        </w:trPr>
        <w:tc>
          <w:tcPr>
            <w:tcW w:w="3686" w:type="dxa"/>
          </w:tcPr>
          <w:p w14:paraId="48541F64"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Conventional reserve additions</w:t>
            </w:r>
          </w:p>
        </w:tc>
        <w:tc>
          <w:tcPr>
            <w:tcW w:w="2914" w:type="dxa"/>
          </w:tcPr>
          <w:p w14:paraId="5E451E30"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rPr>
              <w:t>1.41 (</w:t>
            </w:r>
            <w:r w:rsidRPr="009F19BD">
              <w:rPr>
                <w:rFonts w:ascii="Times New Roman" w:hAnsi="Times New Roman" w:cs="Times New Roman"/>
                <w:noProof/>
              </w:rPr>
              <w:drawing>
                <wp:inline distT="0" distB="0" distL="0" distR="0" wp14:anchorId="791803B3" wp14:editId="2952D5ED">
                  <wp:extent cx="133350" cy="95250"/>
                  <wp:effectExtent l="0" t="0" r="0" b="0"/>
                  <wp:docPr id="44" name="Picture 44" descr="https://latex.codecogs.com/gif.latex?%5Ctiny%20%5Csqrt%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pic:nvPicPr>
                        <pic:blipFill>
                          <a:blip r:embed="rId33">
                            <a:extLst>
                              <a:ext uri="{28A0092B-C50C-407E-A947-70E740481C1C}">
                                <a14:useLocalDpi xmlns:a14="http://schemas.microsoft.com/office/drawing/2010/main" val="0"/>
                              </a:ext>
                            </a:extLst>
                          </a:blip>
                          <a:stretch>
                            <a:fillRect/>
                          </a:stretch>
                        </pic:blipFill>
                        <pic:spPr>
                          <a:xfrm>
                            <a:off x="0" y="0"/>
                            <a:ext cx="133350" cy="95250"/>
                          </a:xfrm>
                          <a:prstGeom prst="rect">
                            <a:avLst/>
                          </a:prstGeom>
                        </pic:spPr>
                      </pic:pic>
                    </a:graphicData>
                  </a:graphic>
                </wp:inline>
              </w:drawing>
            </w:r>
            <w:r w:rsidRPr="009F19BD">
              <w:rPr>
                <w:rFonts w:ascii="Times New Roman" w:hAnsi="Times New Roman" w:cs="Times New Roman"/>
              </w:rPr>
              <w:t>)</w:t>
            </w:r>
          </w:p>
        </w:tc>
        <w:tc>
          <w:tcPr>
            <w:tcW w:w="2247" w:type="dxa"/>
          </w:tcPr>
          <w:p w14:paraId="1CA3EFA1"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0.93</w:t>
            </w:r>
          </w:p>
        </w:tc>
      </w:tr>
      <w:tr w:rsidR="001309B9" w:rsidRPr="009F19BD" w14:paraId="12CAB7CC" w14:textId="77777777" w:rsidTr="00B50CDC">
        <w:trPr>
          <w:trHeight w:val="316"/>
        </w:trPr>
        <w:tc>
          <w:tcPr>
            <w:tcW w:w="3686" w:type="dxa"/>
          </w:tcPr>
          <w:p w14:paraId="489A4F06"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Conventional undiscovered</w:t>
            </w:r>
          </w:p>
        </w:tc>
        <w:tc>
          <w:tcPr>
            <w:tcW w:w="2914" w:type="dxa"/>
          </w:tcPr>
          <w:p w14:paraId="62D68586"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rPr>
              <w:t>1.41 (</w:t>
            </w:r>
            <w:r w:rsidRPr="009F19BD">
              <w:rPr>
                <w:rFonts w:ascii="Times New Roman" w:hAnsi="Times New Roman" w:cs="Times New Roman"/>
                <w:noProof/>
              </w:rPr>
              <w:drawing>
                <wp:inline distT="0" distB="0" distL="0" distR="0" wp14:anchorId="69E5AE27" wp14:editId="2B56EBD4">
                  <wp:extent cx="133350" cy="95250"/>
                  <wp:effectExtent l="0" t="0" r="0" b="0"/>
                  <wp:docPr id="47" name="Picture 47" descr="https://latex.codecogs.com/gif.latex?%5Ctiny%20%5Csqrt%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33">
                            <a:extLst>
                              <a:ext uri="{28A0092B-C50C-407E-A947-70E740481C1C}">
                                <a14:useLocalDpi xmlns:a14="http://schemas.microsoft.com/office/drawing/2010/main" val="0"/>
                              </a:ext>
                            </a:extLst>
                          </a:blip>
                          <a:stretch>
                            <a:fillRect/>
                          </a:stretch>
                        </pic:blipFill>
                        <pic:spPr>
                          <a:xfrm>
                            <a:off x="0" y="0"/>
                            <a:ext cx="133350" cy="95250"/>
                          </a:xfrm>
                          <a:prstGeom prst="rect">
                            <a:avLst/>
                          </a:prstGeom>
                        </pic:spPr>
                      </pic:pic>
                    </a:graphicData>
                  </a:graphic>
                </wp:inline>
              </w:drawing>
            </w:r>
            <w:r w:rsidRPr="009F19BD">
              <w:rPr>
                <w:rFonts w:ascii="Times New Roman" w:hAnsi="Times New Roman" w:cs="Times New Roman"/>
              </w:rPr>
              <w:t>)</w:t>
            </w:r>
          </w:p>
        </w:tc>
        <w:tc>
          <w:tcPr>
            <w:tcW w:w="2247" w:type="dxa"/>
          </w:tcPr>
          <w:p w14:paraId="5ACD588B"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0.93</w:t>
            </w:r>
          </w:p>
        </w:tc>
      </w:tr>
      <w:tr w:rsidR="001309B9" w:rsidRPr="009F19BD" w14:paraId="0ED6B9E3" w14:textId="77777777" w:rsidTr="00B50CDC">
        <w:trPr>
          <w:trHeight w:val="237"/>
        </w:trPr>
        <w:tc>
          <w:tcPr>
            <w:tcW w:w="3686" w:type="dxa"/>
          </w:tcPr>
          <w:p w14:paraId="05F9C4C9"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Shale oil</w:t>
            </w:r>
          </w:p>
        </w:tc>
        <w:tc>
          <w:tcPr>
            <w:tcW w:w="2914" w:type="dxa"/>
          </w:tcPr>
          <w:p w14:paraId="59FF04EC"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1.07</w:t>
            </w:r>
          </w:p>
        </w:tc>
        <w:tc>
          <w:tcPr>
            <w:tcW w:w="2247" w:type="dxa"/>
          </w:tcPr>
          <w:p w14:paraId="276CAA87"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0.8</w:t>
            </w:r>
          </w:p>
        </w:tc>
      </w:tr>
      <w:tr w:rsidR="001309B9" w:rsidRPr="009F19BD" w14:paraId="26491768" w14:textId="77777777" w:rsidTr="00B50CDC">
        <w:trPr>
          <w:trHeight w:val="339"/>
        </w:trPr>
        <w:tc>
          <w:tcPr>
            <w:tcW w:w="3686" w:type="dxa"/>
          </w:tcPr>
          <w:p w14:paraId="5EA5FFD2"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Mined bitumen</w:t>
            </w:r>
          </w:p>
        </w:tc>
        <w:tc>
          <w:tcPr>
            <w:tcW w:w="2914" w:type="dxa"/>
          </w:tcPr>
          <w:p w14:paraId="21540AA2"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1.07</w:t>
            </w:r>
          </w:p>
        </w:tc>
        <w:tc>
          <w:tcPr>
            <w:tcW w:w="2247" w:type="dxa"/>
          </w:tcPr>
          <w:p w14:paraId="3028BF8B"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0.8</w:t>
            </w:r>
          </w:p>
        </w:tc>
      </w:tr>
      <w:tr w:rsidR="001309B9" w:rsidRPr="009F19BD" w14:paraId="469934CC" w14:textId="77777777" w:rsidTr="00B50CDC">
        <w:trPr>
          <w:trHeight w:val="274"/>
        </w:trPr>
        <w:tc>
          <w:tcPr>
            <w:tcW w:w="3686" w:type="dxa"/>
          </w:tcPr>
          <w:p w14:paraId="5D13B770"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In-situ bitumen</w:t>
            </w:r>
          </w:p>
        </w:tc>
        <w:tc>
          <w:tcPr>
            <w:tcW w:w="2914" w:type="dxa"/>
          </w:tcPr>
          <w:p w14:paraId="5871288A"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1.1</w:t>
            </w:r>
          </w:p>
        </w:tc>
        <w:tc>
          <w:tcPr>
            <w:tcW w:w="2247" w:type="dxa"/>
          </w:tcPr>
          <w:p w14:paraId="082D22B5"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0.85</w:t>
            </w:r>
          </w:p>
        </w:tc>
      </w:tr>
    </w:tbl>
    <w:p w14:paraId="7E8B550A" w14:textId="77777777" w:rsidR="001309B9" w:rsidRPr="009F19BD" w:rsidRDefault="001309B9" w:rsidP="001309B9">
      <w:pPr>
        <w:pStyle w:val="00DDPPNormal"/>
        <w:rPr>
          <w:rFonts w:ascii="Times New Roman" w:hAnsi="Times New Roman" w:cs="Times New Roman"/>
          <w:szCs w:val="20"/>
        </w:rPr>
      </w:pPr>
    </w:p>
    <w:p w14:paraId="424A6628" w14:textId="77777777" w:rsidR="001309B9" w:rsidRPr="009F19BD" w:rsidRDefault="001309B9" w:rsidP="001309B9">
      <w:pPr>
        <w:pStyle w:val="00DDPPNormal"/>
        <w:rPr>
          <w:rFonts w:ascii="Times New Roman" w:hAnsi="Times New Roman" w:cs="Times New Roman"/>
          <w:b/>
          <w:szCs w:val="20"/>
        </w:rPr>
      </w:pPr>
      <w:r w:rsidRPr="009F19BD">
        <w:rPr>
          <w:rFonts w:ascii="Times New Roman" w:hAnsi="Times New Roman" w:cs="Times New Roman"/>
          <w:b/>
          <w:szCs w:val="20"/>
        </w:rPr>
        <w:t>b)</w:t>
      </w:r>
    </w:p>
    <w:tbl>
      <w:tblPr>
        <w:tblStyle w:val="TableGrid"/>
        <w:tblW w:w="0" w:type="auto"/>
        <w:tblInd w:w="-5" w:type="dxa"/>
        <w:tblLook w:val="04A0" w:firstRow="1" w:lastRow="0" w:firstColumn="1" w:lastColumn="0" w:noHBand="0" w:noVBand="1"/>
      </w:tblPr>
      <w:tblGrid>
        <w:gridCol w:w="3799"/>
        <w:gridCol w:w="2850"/>
        <w:gridCol w:w="21"/>
        <w:gridCol w:w="2247"/>
      </w:tblGrid>
      <w:tr w:rsidR="001309B9" w:rsidRPr="009F19BD" w14:paraId="1EF7D304" w14:textId="77777777" w:rsidTr="00B50CDC">
        <w:trPr>
          <w:trHeight w:val="245"/>
        </w:trPr>
        <w:tc>
          <w:tcPr>
            <w:tcW w:w="3799" w:type="dxa"/>
            <w:shd w:val="clear" w:color="auto" w:fill="D9D9D9" w:themeFill="background1" w:themeFillShade="D9"/>
          </w:tcPr>
          <w:p w14:paraId="3B3DDA62" w14:textId="77777777" w:rsidR="001309B9" w:rsidRPr="009F19BD" w:rsidRDefault="001309B9" w:rsidP="00B50CDC">
            <w:pPr>
              <w:pStyle w:val="00DDPPNormal"/>
              <w:rPr>
                <w:rFonts w:ascii="Times New Roman" w:hAnsi="Times New Roman" w:cs="Times New Roman"/>
                <w:b/>
                <w:szCs w:val="20"/>
              </w:rPr>
            </w:pPr>
            <w:r w:rsidRPr="009F19BD">
              <w:rPr>
                <w:rFonts w:ascii="Times New Roman" w:hAnsi="Times New Roman" w:cs="Times New Roman"/>
                <w:b/>
                <w:szCs w:val="20"/>
              </w:rPr>
              <w:t>Mining technology</w:t>
            </w:r>
          </w:p>
        </w:tc>
        <w:tc>
          <w:tcPr>
            <w:tcW w:w="2871" w:type="dxa"/>
            <w:gridSpan w:val="2"/>
            <w:shd w:val="clear" w:color="auto" w:fill="D9D9D9" w:themeFill="background1" w:themeFillShade="D9"/>
          </w:tcPr>
          <w:p w14:paraId="4EEFB0E0" w14:textId="77777777" w:rsidR="001309B9" w:rsidRPr="009F19BD" w:rsidRDefault="001309B9" w:rsidP="00B50CDC">
            <w:pPr>
              <w:pStyle w:val="00DDPPNormal"/>
              <w:rPr>
                <w:rFonts w:ascii="Times New Roman" w:hAnsi="Times New Roman" w:cs="Times New Roman"/>
                <w:b/>
                <w:szCs w:val="20"/>
              </w:rPr>
            </w:pPr>
            <w:r w:rsidRPr="009F19BD">
              <w:rPr>
                <w:rFonts w:ascii="Times New Roman" w:hAnsi="Times New Roman" w:cs="Times New Roman"/>
                <w:b/>
                <w:szCs w:val="20"/>
              </w:rPr>
              <w:t>Growth coefficient</w:t>
            </w:r>
          </w:p>
        </w:tc>
        <w:tc>
          <w:tcPr>
            <w:tcW w:w="2247" w:type="dxa"/>
            <w:shd w:val="clear" w:color="auto" w:fill="D9D9D9" w:themeFill="background1" w:themeFillShade="D9"/>
          </w:tcPr>
          <w:p w14:paraId="5C6161F5" w14:textId="77777777" w:rsidR="001309B9" w:rsidRPr="009F19BD" w:rsidRDefault="001309B9" w:rsidP="00B50CDC">
            <w:pPr>
              <w:pStyle w:val="00DDPPNormal"/>
              <w:rPr>
                <w:rFonts w:ascii="Times New Roman" w:hAnsi="Times New Roman" w:cs="Times New Roman"/>
                <w:b/>
                <w:szCs w:val="20"/>
              </w:rPr>
            </w:pPr>
            <w:r w:rsidRPr="009F19BD">
              <w:rPr>
                <w:rFonts w:ascii="Times New Roman" w:hAnsi="Times New Roman" w:cs="Times New Roman"/>
                <w:b/>
                <w:szCs w:val="20"/>
              </w:rPr>
              <w:t>Decline coefficient</w:t>
            </w:r>
          </w:p>
        </w:tc>
      </w:tr>
      <w:tr w:rsidR="001309B9" w:rsidRPr="009F19BD" w14:paraId="4CCF5080" w14:textId="77777777" w:rsidTr="00B50CDC">
        <w:trPr>
          <w:trHeight w:val="288"/>
        </w:trPr>
        <w:tc>
          <w:tcPr>
            <w:tcW w:w="3799" w:type="dxa"/>
          </w:tcPr>
          <w:p w14:paraId="24670038"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Conventional proved reserves</w:t>
            </w:r>
          </w:p>
        </w:tc>
        <w:tc>
          <w:tcPr>
            <w:tcW w:w="2850" w:type="dxa"/>
          </w:tcPr>
          <w:p w14:paraId="1E802DED"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rPr>
              <w:t>1.41 (</w:t>
            </w:r>
            <w:r w:rsidRPr="009F19BD">
              <w:rPr>
                <w:rFonts w:ascii="Times New Roman" w:hAnsi="Times New Roman" w:cs="Times New Roman"/>
                <w:noProof/>
              </w:rPr>
              <w:drawing>
                <wp:inline distT="0" distB="0" distL="0" distR="0" wp14:anchorId="40A1FFCE" wp14:editId="21DF48DF">
                  <wp:extent cx="133350" cy="95250"/>
                  <wp:effectExtent l="0" t="0" r="0" b="0"/>
                  <wp:docPr id="48" name="Picture 48" descr="https://latex.codecogs.com/gif.latex?%5Ctiny%20%5Csqrt%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33">
                            <a:extLst>
                              <a:ext uri="{28A0092B-C50C-407E-A947-70E740481C1C}">
                                <a14:useLocalDpi xmlns:a14="http://schemas.microsoft.com/office/drawing/2010/main" val="0"/>
                              </a:ext>
                            </a:extLst>
                          </a:blip>
                          <a:stretch>
                            <a:fillRect/>
                          </a:stretch>
                        </pic:blipFill>
                        <pic:spPr>
                          <a:xfrm>
                            <a:off x="0" y="0"/>
                            <a:ext cx="133350" cy="95250"/>
                          </a:xfrm>
                          <a:prstGeom prst="rect">
                            <a:avLst/>
                          </a:prstGeom>
                        </pic:spPr>
                      </pic:pic>
                    </a:graphicData>
                  </a:graphic>
                </wp:inline>
              </w:drawing>
            </w:r>
            <w:r w:rsidRPr="009F19BD">
              <w:rPr>
                <w:rFonts w:ascii="Times New Roman" w:hAnsi="Times New Roman" w:cs="Times New Roman"/>
              </w:rPr>
              <w:t>)</w:t>
            </w:r>
          </w:p>
        </w:tc>
        <w:tc>
          <w:tcPr>
            <w:tcW w:w="2268" w:type="dxa"/>
            <w:gridSpan w:val="2"/>
          </w:tcPr>
          <w:p w14:paraId="366E9ED0"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0.95</w:t>
            </w:r>
          </w:p>
        </w:tc>
      </w:tr>
      <w:tr w:rsidR="001309B9" w:rsidRPr="009F19BD" w14:paraId="46B36951" w14:textId="77777777" w:rsidTr="00B50CDC">
        <w:trPr>
          <w:trHeight w:val="336"/>
        </w:trPr>
        <w:tc>
          <w:tcPr>
            <w:tcW w:w="3799" w:type="dxa"/>
          </w:tcPr>
          <w:p w14:paraId="48502E85"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Conventional reserve additions</w:t>
            </w:r>
          </w:p>
        </w:tc>
        <w:tc>
          <w:tcPr>
            <w:tcW w:w="2850" w:type="dxa"/>
          </w:tcPr>
          <w:p w14:paraId="47156CFF"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rPr>
              <w:t>1.41 (</w:t>
            </w:r>
            <w:r w:rsidRPr="009F19BD">
              <w:rPr>
                <w:rFonts w:ascii="Times New Roman" w:hAnsi="Times New Roman" w:cs="Times New Roman"/>
                <w:noProof/>
              </w:rPr>
              <w:drawing>
                <wp:inline distT="0" distB="0" distL="0" distR="0" wp14:anchorId="0DFB4DFC" wp14:editId="7CEB6E25">
                  <wp:extent cx="133350" cy="95250"/>
                  <wp:effectExtent l="0" t="0" r="0" b="0"/>
                  <wp:docPr id="49" name="Picture 49" descr="https://latex.codecogs.com/gif.latex?%5Ctiny%20%5Csqrt%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pic:nvPicPr>
                        <pic:blipFill>
                          <a:blip r:embed="rId33">
                            <a:extLst>
                              <a:ext uri="{28A0092B-C50C-407E-A947-70E740481C1C}">
                                <a14:useLocalDpi xmlns:a14="http://schemas.microsoft.com/office/drawing/2010/main" val="0"/>
                              </a:ext>
                            </a:extLst>
                          </a:blip>
                          <a:stretch>
                            <a:fillRect/>
                          </a:stretch>
                        </pic:blipFill>
                        <pic:spPr>
                          <a:xfrm>
                            <a:off x="0" y="0"/>
                            <a:ext cx="133350" cy="95250"/>
                          </a:xfrm>
                          <a:prstGeom prst="rect">
                            <a:avLst/>
                          </a:prstGeom>
                        </pic:spPr>
                      </pic:pic>
                    </a:graphicData>
                  </a:graphic>
                </wp:inline>
              </w:drawing>
            </w:r>
            <w:r w:rsidRPr="009F19BD">
              <w:rPr>
                <w:rFonts w:ascii="Times New Roman" w:hAnsi="Times New Roman" w:cs="Times New Roman"/>
              </w:rPr>
              <w:t>)</w:t>
            </w:r>
          </w:p>
        </w:tc>
        <w:tc>
          <w:tcPr>
            <w:tcW w:w="2268" w:type="dxa"/>
            <w:gridSpan w:val="2"/>
          </w:tcPr>
          <w:p w14:paraId="1C0353D2"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0.92</w:t>
            </w:r>
          </w:p>
        </w:tc>
      </w:tr>
      <w:tr w:rsidR="001309B9" w:rsidRPr="009F19BD" w14:paraId="64AAB698" w14:textId="77777777" w:rsidTr="00B50CDC">
        <w:trPr>
          <w:trHeight w:val="341"/>
        </w:trPr>
        <w:tc>
          <w:tcPr>
            <w:tcW w:w="3799" w:type="dxa"/>
          </w:tcPr>
          <w:p w14:paraId="6BDC33F2"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Conventional undiscovered</w:t>
            </w:r>
          </w:p>
        </w:tc>
        <w:tc>
          <w:tcPr>
            <w:tcW w:w="2850" w:type="dxa"/>
          </w:tcPr>
          <w:p w14:paraId="79C1BDDA"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rPr>
              <w:t>1.41 (</w:t>
            </w:r>
            <w:r w:rsidRPr="009F19BD">
              <w:rPr>
                <w:rFonts w:ascii="Times New Roman" w:hAnsi="Times New Roman" w:cs="Times New Roman"/>
                <w:noProof/>
              </w:rPr>
              <w:drawing>
                <wp:inline distT="0" distB="0" distL="0" distR="0" wp14:anchorId="6EED8B15" wp14:editId="29FD9865">
                  <wp:extent cx="133350" cy="95250"/>
                  <wp:effectExtent l="0" t="0" r="0" b="0"/>
                  <wp:docPr id="31" name="Picture 31" descr="https://latex.codecogs.com/gif.latex?%5Ctiny%20%5Csqrt%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3">
                            <a:extLst>
                              <a:ext uri="{28A0092B-C50C-407E-A947-70E740481C1C}">
                                <a14:useLocalDpi xmlns:a14="http://schemas.microsoft.com/office/drawing/2010/main" val="0"/>
                              </a:ext>
                            </a:extLst>
                          </a:blip>
                          <a:stretch>
                            <a:fillRect/>
                          </a:stretch>
                        </pic:blipFill>
                        <pic:spPr>
                          <a:xfrm>
                            <a:off x="0" y="0"/>
                            <a:ext cx="133350" cy="95250"/>
                          </a:xfrm>
                          <a:prstGeom prst="rect">
                            <a:avLst/>
                          </a:prstGeom>
                        </pic:spPr>
                      </pic:pic>
                    </a:graphicData>
                  </a:graphic>
                </wp:inline>
              </w:drawing>
            </w:r>
            <w:r w:rsidRPr="009F19BD">
              <w:rPr>
                <w:rFonts w:ascii="Times New Roman" w:hAnsi="Times New Roman" w:cs="Times New Roman"/>
              </w:rPr>
              <w:t>)</w:t>
            </w:r>
          </w:p>
        </w:tc>
        <w:tc>
          <w:tcPr>
            <w:tcW w:w="2268" w:type="dxa"/>
            <w:gridSpan w:val="2"/>
          </w:tcPr>
          <w:p w14:paraId="189D469D"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0.92</w:t>
            </w:r>
          </w:p>
        </w:tc>
      </w:tr>
      <w:tr w:rsidR="001309B9" w:rsidRPr="009F19BD" w14:paraId="7172C004" w14:textId="77777777" w:rsidTr="00B50CDC">
        <w:trPr>
          <w:trHeight w:val="325"/>
        </w:trPr>
        <w:tc>
          <w:tcPr>
            <w:tcW w:w="3799" w:type="dxa"/>
          </w:tcPr>
          <w:p w14:paraId="042BE2F4"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Shale gas</w:t>
            </w:r>
          </w:p>
        </w:tc>
        <w:tc>
          <w:tcPr>
            <w:tcW w:w="2850" w:type="dxa"/>
          </w:tcPr>
          <w:p w14:paraId="22AE562D"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1.27</w:t>
            </w:r>
          </w:p>
        </w:tc>
        <w:tc>
          <w:tcPr>
            <w:tcW w:w="2268" w:type="dxa"/>
            <w:gridSpan w:val="2"/>
          </w:tcPr>
          <w:p w14:paraId="152CC448"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0.83</w:t>
            </w:r>
          </w:p>
        </w:tc>
      </w:tr>
      <w:tr w:rsidR="001309B9" w:rsidRPr="009F19BD" w14:paraId="6EDDDCBB" w14:textId="77777777" w:rsidTr="00B50CDC">
        <w:trPr>
          <w:trHeight w:val="325"/>
        </w:trPr>
        <w:tc>
          <w:tcPr>
            <w:tcW w:w="3799" w:type="dxa"/>
          </w:tcPr>
          <w:p w14:paraId="5A3D4CB1"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Tight gas</w:t>
            </w:r>
          </w:p>
        </w:tc>
        <w:tc>
          <w:tcPr>
            <w:tcW w:w="2850" w:type="dxa"/>
          </w:tcPr>
          <w:p w14:paraId="7CB40A39"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1.12</w:t>
            </w:r>
          </w:p>
        </w:tc>
        <w:tc>
          <w:tcPr>
            <w:tcW w:w="2268" w:type="dxa"/>
            <w:gridSpan w:val="2"/>
          </w:tcPr>
          <w:p w14:paraId="21F92A70"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0.83</w:t>
            </w:r>
          </w:p>
        </w:tc>
      </w:tr>
      <w:tr w:rsidR="001309B9" w:rsidRPr="009F19BD" w14:paraId="12038752" w14:textId="77777777" w:rsidTr="00B50CDC">
        <w:trPr>
          <w:trHeight w:val="325"/>
        </w:trPr>
        <w:tc>
          <w:tcPr>
            <w:tcW w:w="3799" w:type="dxa"/>
          </w:tcPr>
          <w:p w14:paraId="5069EE2A"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Coal bed methane</w:t>
            </w:r>
          </w:p>
        </w:tc>
        <w:tc>
          <w:tcPr>
            <w:tcW w:w="2850" w:type="dxa"/>
          </w:tcPr>
          <w:p w14:paraId="0AE2A165"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1.12</w:t>
            </w:r>
          </w:p>
        </w:tc>
        <w:tc>
          <w:tcPr>
            <w:tcW w:w="2268" w:type="dxa"/>
            <w:gridSpan w:val="2"/>
          </w:tcPr>
          <w:p w14:paraId="335654E4" w14:textId="77777777" w:rsidR="001309B9" w:rsidRPr="009F19BD" w:rsidRDefault="001309B9" w:rsidP="00B50CDC">
            <w:pPr>
              <w:pStyle w:val="00DDPPNormal"/>
              <w:rPr>
                <w:rFonts w:ascii="Times New Roman" w:hAnsi="Times New Roman" w:cs="Times New Roman"/>
                <w:szCs w:val="20"/>
              </w:rPr>
            </w:pPr>
            <w:r w:rsidRPr="009F19BD">
              <w:rPr>
                <w:rFonts w:ascii="Times New Roman" w:hAnsi="Times New Roman" w:cs="Times New Roman"/>
                <w:szCs w:val="20"/>
              </w:rPr>
              <w:t>0.83</w:t>
            </w:r>
          </w:p>
        </w:tc>
      </w:tr>
    </w:tbl>
    <w:p w14:paraId="2C6B1C1F" w14:textId="77777777" w:rsidR="001309B9" w:rsidRPr="009F19BD" w:rsidRDefault="001309B9" w:rsidP="001309B9">
      <w:pPr>
        <w:pStyle w:val="NoSpacing"/>
        <w:rPr>
          <w:rFonts w:ascii="Times New Roman" w:hAnsi="Times New Roman" w:cs="Times New Roman"/>
          <w:sz w:val="8"/>
          <w:szCs w:val="8"/>
        </w:rPr>
      </w:pPr>
    </w:p>
    <w:p w14:paraId="2422A81B" w14:textId="26D4716A" w:rsidR="001309B9" w:rsidRPr="009F19BD" w:rsidRDefault="001309B9" w:rsidP="001309B9">
      <w:pPr>
        <w:rPr>
          <w:rFonts w:ascii="Times New Roman" w:eastAsia="Calibri" w:hAnsi="Times New Roman" w:cs="Times New Roman"/>
          <w:b/>
          <w:bCs/>
        </w:rPr>
      </w:pPr>
      <w:r w:rsidRPr="009F19BD">
        <w:rPr>
          <w:rFonts w:ascii="Times New Roman" w:eastAsia="Calibri" w:hAnsi="Times New Roman" w:cs="Times New Roman"/>
          <w:sz w:val="18"/>
          <w:szCs w:val="18"/>
        </w:rPr>
        <w:t>Note:</w:t>
      </w:r>
      <w:r w:rsidRPr="009F19BD">
        <w:rPr>
          <w:rFonts w:ascii="Times New Roman" w:hAnsi="Times New Roman" w:cs="Times New Roman"/>
          <w:sz w:val="18"/>
          <w:szCs w:val="18"/>
        </w:rPr>
        <w:t xml:space="preserve"> Regional variations are taken into account; </w:t>
      </w:r>
      <w:proofErr w:type="gramStart"/>
      <w:r w:rsidRPr="009F19BD">
        <w:rPr>
          <w:rFonts w:ascii="Times New Roman" w:hAnsi="Times New Roman" w:cs="Times New Roman"/>
          <w:sz w:val="18"/>
          <w:szCs w:val="18"/>
        </w:rPr>
        <w:t>therefore</w:t>
      </w:r>
      <w:proofErr w:type="gramEnd"/>
      <w:r w:rsidRPr="009F19BD">
        <w:rPr>
          <w:rFonts w:ascii="Times New Roman" w:hAnsi="Times New Roman" w:cs="Times New Roman"/>
          <w:sz w:val="18"/>
          <w:szCs w:val="18"/>
        </w:rPr>
        <w:t xml:space="preserve"> the numbers above may differ between regions. Additionally, the decline rate for conventional oil and gas fields will vary depending on the size of the field, the stage of decline, and the geological structure of the reservoirs (IEA, 2009). For example, larger fields generally exhibit slower rates of production decline, as shown with the value for conventional proved gas reserves which is taken from a representative decline parameter calculated from super-giant gas fields in the Former Soviet Union (</w:t>
      </w:r>
      <w:proofErr w:type="gramStart"/>
      <w:r w:rsidRPr="009F19BD">
        <w:rPr>
          <w:rFonts w:ascii="Times New Roman" w:hAnsi="Times New Roman" w:cs="Times New Roman"/>
          <w:sz w:val="18"/>
          <w:szCs w:val="18"/>
        </w:rPr>
        <w:t>e.g.</w:t>
      </w:r>
      <w:proofErr w:type="gramEnd"/>
      <w:r w:rsidRPr="009F19BD">
        <w:rPr>
          <w:rFonts w:ascii="Times New Roman" w:hAnsi="Times New Roman" w:cs="Times New Roman"/>
          <w:sz w:val="18"/>
          <w:szCs w:val="18"/>
        </w:rPr>
        <w:t xml:space="preserve"> </w:t>
      </w:r>
      <w:proofErr w:type="spellStart"/>
      <w:r w:rsidRPr="009F19BD">
        <w:rPr>
          <w:rFonts w:ascii="Times New Roman" w:hAnsi="Times New Roman" w:cs="Times New Roman"/>
          <w:sz w:val="18"/>
          <w:szCs w:val="18"/>
        </w:rPr>
        <w:t>Urengoy</w:t>
      </w:r>
      <w:proofErr w:type="spellEnd"/>
      <w:r w:rsidRPr="009F19BD">
        <w:rPr>
          <w:rFonts w:ascii="Times New Roman" w:hAnsi="Times New Roman" w:cs="Times New Roman"/>
          <w:sz w:val="18"/>
          <w:szCs w:val="18"/>
        </w:rPr>
        <w:t>)</w:t>
      </w:r>
      <w:r w:rsidR="00533BD4">
        <w:rPr>
          <w:rStyle w:val="FootnoteReference"/>
          <w:rFonts w:ascii="Times New Roman" w:hAnsi="Times New Roman" w:cs="Times New Roman"/>
          <w:sz w:val="18"/>
          <w:szCs w:val="18"/>
        </w:rPr>
        <w:footnoteReference w:id="27"/>
      </w:r>
      <w:r w:rsidRPr="009F19BD">
        <w:rPr>
          <w:rFonts w:ascii="Times New Roman" w:hAnsi="Times New Roman" w:cs="Times New Roman"/>
          <w:sz w:val="18"/>
          <w:szCs w:val="18"/>
        </w:rPr>
        <w:t>.</w:t>
      </w:r>
    </w:p>
    <w:p w14:paraId="6097DB4A" w14:textId="77777777" w:rsidR="001309B9" w:rsidRPr="009F19BD" w:rsidRDefault="001309B9" w:rsidP="001309B9">
      <w:pPr>
        <w:pStyle w:val="00DDPPNormal"/>
        <w:rPr>
          <w:rFonts w:ascii="Times New Roman" w:hAnsi="Times New Roman" w:cs="Times New Roman"/>
          <w:color w:val="auto"/>
        </w:rPr>
      </w:pPr>
    </w:p>
    <w:p w14:paraId="3CC48AA9" w14:textId="77777777" w:rsidR="001309B9" w:rsidRPr="009F19BD" w:rsidRDefault="001309B9" w:rsidP="00377CFD">
      <w:pPr>
        <w:pStyle w:val="Heading4"/>
      </w:pPr>
      <w:r w:rsidRPr="009F19BD">
        <w:t>Supply chain emissions from upstream fossil fuel activity</w:t>
      </w:r>
    </w:p>
    <w:p w14:paraId="5B085AFF" w14:textId="2E322197" w:rsidR="001309B9" w:rsidRPr="009F19BD" w:rsidRDefault="001309B9" w:rsidP="001309B9">
      <w:pPr>
        <w:rPr>
          <w:rFonts w:ascii="Times New Roman" w:eastAsia="Calibri" w:hAnsi="Times New Roman" w:cs="Times New Roman"/>
          <w:sz w:val="24"/>
          <w:szCs w:val="24"/>
        </w:rPr>
      </w:pPr>
      <w:r w:rsidRPr="009F19BD">
        <w:rPr>
          <w:rFonts w:ascii="Times New Roman" w:eastAsia="Calibri" w:hAnsi="Times New Roman" w:cs="Times New Roman"/>
        </w:rPr>
        <w:t>TIAM-UCL accounts for methane leakage from the gas supply chain, with a user-defined percentage of total fossil methane gas supply being lost into the atmosphere (</w:t>
      </w:r>
      <w:proofErr w:type="gramStart"/>
      <w:r w:rsidRPr="009F19BD">
        <w:rPr>
          <w:rFonts w:ascii="Times New Roman" w:eastAsia="Calibri" w:hAnsi="Times New Roman" w:cs="Times New Roman"/>
        </w:rPr>
        <w:t>i.e.</w:t>
      </w:r>
      <w:proofErr w:type="gramEnd"/>
      <w:r w:rsidRPr="009F19BD">
        <w:rPr>
          <w:rFonts w:ascii="Times New Roman" w:eastAsia="Calibri" w:hAnsi="Times New Roman" w:cs="Times New Roman"/>
        </w:rPr>
        <w:t xml:space="preserve"> direct methane emissions). Distinctions are made between conventional and unconventional fossil methane gas. A central methane leakage rate was derived across a range of literature</w:t>
      </w:r>
      <w:r w:rsidR="00533BD4">
        <w:rPr>
          <w:rFonts w:ascii="Times New Roman" w:eastAsia="Calibri" w:hAnsi="Times New Roman" w:cs="Times New Roman"/>
        </w:rPr>
        <w:t>.</w:t>
      </w:r>
      <w:r w:rsidRPr="009F19BD">
        <w:rPr>
          <w:rFonts w:ascii="Times New Roman" w:eastAsia="Calibri" w:hAnsi="Times New Roman" w:cs="Times New Roman"/>
        </w:rPr>
        <w:t xml:space="preserve"> The global warming potential of methane in TIAM-UCL is calculated over a 100-year time horizon (GWP-100), therefore where studies reported a different GWP time-period (</w:t>
      </w:r>
      <w:proofErr w:type="gramStart"/>
      <w:r w:rsidRPr="009F19BD">
        <w:rPr>
          <w:rFonts w:ascii="Times New Roman" w:eastAsia="Calibri" w:hAnsi="Times New Roman" w:cs="Times New Roman"/>
        </w:rPr>
        <w:t>e.g.</w:t>
      </w:r>
      <w:proofErr w:type="gramEnd"/>
      <w:r w:rsidRPr="009F19BD">
        <w:rPr>
          <w:rFonts w:ascii="Times New Roman" w:eastAsia="Calibri" w:hAnsi="Times New Roman" w:cs="Times New Roman"/>
        </w:rPr>
        <w:t xml:space="preserve"> 25 years), these were converted to GWP-100. For this study, our </w:t>
      </w:r>
      <w:r w:rsidRPr="009F19BD">
        <w:rPr>
          <w:rFonts w:ascii="Times New Roman" w:eastAsia="Calibri" w:hAnsi="Times New Roman" w:cs="Times New Roman"/>
          <w:sz w:val="24"/>
          <w:szCs w:val="24"/>
        </w:rPr>
        <w:t xml:space="preserve">global average central leakage rate assumptions were 1.7% for conventional </w:t>
      </w:r>
      <w:r w:rsidRPr="009F19BD">
        <w:rPr>
          <w:rFonts w:ascii="Times New Roman" w:hAnsi="Times New Roman" w:cs="Times New Roman"/>
          <w:sz w:val="24"/>
          <w:szCs w:val="24"/>
        </w:rPr>
        <w:t>fossil methane gas</w:t>
      </w:r>
      <w:r w:rsidRPr="009F19BD">
        <w:rPr>
          <w:rFonts w:ascii="Times New Roman" w:eastAsia="Calibri" w:hAnsi="Times New Roman" w:cs="Times New Roman"/>
          <w:sz w:val="24"/>
          <w:szCs w:val="24"/>
        </w:rPr>
        <w:t xml:space="preserve"> and 2.1% for unconventional gas.</w:t>
      </w:r>
    </w:p>
    <w:p w14:paraId="6A97CE2A" w14:textId="29DA480C" w:rsidR="001309B9" w:rsidRPr="009F19BD" w:rsidRDefault="001309B9" w:rsidP="001309B9">
      <w:pPr>
        <w:pStyle w:val="Normalsingle"/>
        <w:rPr>
          <w:rFonts w:ascii="Times New Roman" w:hAnsi="Times New Roman"/>
          <w:sz w:val="22"/>
          <w:szCs w:val="22"/>
        </w:rPr>
      </w:pPr>
      <w:r w:rsidRPr="009F19BD">
        <w:rPr>
          <w:rFonts w:ascii="Times New Roman" w:hAnsi="Times New Roman"/>
          <w:sz w:val="22"/>
          <w:szCs w:val="22"/>
        </w:rPr>
        <w:t>In addition to gas supply chains, TIAM-UCL also tracks methane emissions from oil and coal supply chains. For oil, fugitive methane emissions or intentional venting of methane is directly related to the presence of associated fossil methane gas. In short, if there is no infrastructure in place and/or demand downstream to absorb associated gas, the methane is either directly released into the atmosphere (venting) or flared (burnt-off) and released as CO</w:t>
      </w:r>
      <w:r w:rsidRPr="009F19BD">
        <w:rPr>
          <w:rFonts w:ascii="Times New Roman" w:hAnsi="Times New Roman"/>
          <w:sz w:val="22"/>
          <w:szCs w:val="22"/>
          <w:vertAlign w:val="subscript"/>
        </w:rPr>
        <w:t xml:space="preserve">2. </w:t>
      </w:r>
      <w:r w:rsidRPr="009F19BD">
        <w:rPr>
          <w:rFonts w:ascii="Times New Roman" w:hAnsi="Times New Roman"/>
          <w:sz w:val="22"/>
          <w:szCs w:val="22"/>
        </w:rPr>
        <w:t xml:space="preserve">TIAM-UCL has various options for mitigating </w:t>
      </w:r>
      <w:r w:rsidRPr="009F19BD">
        <w:rPr>
          <w:rFonts w:ascii="Times New Roman" w:hAnsi="Times New Roman"/>
          <w:sz w:val="22"/>
          <w:szCs w:val="22"/>
        </w:rPr>
        <w:lastRenderedPageBreak/>
        <w:t xml:space="preserve">methane emissions from oil supply chains. Firstly, the model can build capacity to utilise rather than flare/vent fossil methane gas produced as a by-product of oil production. </w:t>
      </w:r>
    </w:p>
    <w:p w14:paraId="5CCCFFD1" w14:textId="77777777" w:rsidR="001309B9" w:rsidRPr="009F19BD" w:rsidRDefault="001309B9" w:rsidP="001309B9">
      <w:pPr>
        <w:pStyle w:val="Normalsingle"/>
        <w:rPr>
          <w:rFonts w:ascii="Times New Roman" w:hAnsi="Times New Roman"/>
          <w:sz w:val="22"/>
          <w:szCs w:val="22"/>
        </w:rPr>
      </w:pPr>
      <w:r w:rsidRPr="009F19BD">
        <w:rPr>
          <w:rFonts w:ascii="Times New Roman" w:hAnsi="Times New Roman"/>
          <w:sz w:val="22"/>
          <w:szCs w:val="22"/>
        </w:rPr>
        <w:t xml:space="preserve">Additionally, there is also a dummy option where the model can </w:t>
      </w:r>
      <w:proofErr w:type="gramStart"/>
      <w:r w:rsidRPr="009F19BD">
        <w:rPr>
          <w:rFonts w:ascii="Times New Roman" w:hAnsi="Times New Roman"/>
          <w:sz w:val="22"/>
          <w:szCs w:val="22"/>
        </w:rPr>
        <w:t>chose</w:t>
      </w:r>
      <w:proofErr w:type="gramEnd"/>
      <w:r w:rsidRPr="009F19BD">
        <w:rPr>
          <w:rFonts w:ascii="Times New Roman" w:hAnsi="Times New Roman"/>
          <w:sz w:val="22"/>
          <w:szCs w:val="22"/>
        </w:rPr>
        <w:t xml:space="preserve"> to flare rather than vent the methane if there is no demand for gas downstream/if building capacity is not cost optimal. Therefore, instead of methane being released into the atmosphere, CO</w:t>
      </w:r>
      <w:r w:rsidRPr="009F19BD">
        <w:rPr>
          <w:rFonts w:ascii="Times New Roman" w:hAnsi="Times New Roman"/>
          <w:sz w:val="22"/>
          <w:szCs w:val="22"/>
          <w:vertAlign w:val="subscript"/>
        </w:rPr>
        <w:t xml:space="preserve">2 </w:t>
      </w:r>
      <w:r w:rsidRPr="009F19BD">
        <w:rPr>
          <w:rFonts w:ascii="Times New Roman" w:hAnsi="Times New Roman"/>
          <w:sz w:val="22"/>
          <w:szCs w:val="22"/>
        </w:rPr>
        <w:t>is instead emitted. As with oil, there are options available to minimise methane emissions from coal mining. These include an option to gather the methane and inject it into pipelines for use downstream, or a dummy option to flare the gas, therefore releasing CO</w:t>
      </w:r>
      <w:r w:rsidRPr="009F19BD">
        <w:rPr>
          <w:rFonts w:ascii="Times New Roman" w:hAnsi="Times New Roman"/>
          <w:sz w:val="22"/>
          <w:szCs w:val="22"/>
          <w:vertAlign w:val="subscript"/>
        </w:rPr>
        <w:t xml:space="preserve">2 </w:t>
      </w:r>
      <w:r w:rsidRPr="009F19BD">
        <w:rPr>
          <w:rFonts w:ascii="Times New Roman" w:hAnsi="Times New Roman"/>
          <w:sz w:val="22"/>
          <w:szCs w:val="22"/>
        </w:rPr>
        <w:t xml:space="preserve">into the atmosphere rather than methane. </w:t>
      </w:r>
    </w:p>
    <w:p w14:paraId="5E4638A2" w14:textId="77777777" w:rsidR="001309B9" w:rsidRPr="009F19BD" w:rsidRDefault="001309B9" w:rsidP="008903F7">
      <w:pPr>
        <w:rPr>
          <w:rFonts w:ascii="Times New Roman" w:eastAsia="Calibri" w:hAnsi="Times New Roman" w:cs="Times New Roman"/>
          <w:b/>
          <w:bCs/>
        </w:rPr>
      </w:pPr>
    </w:p>
    <w:p w14:paraId="21DA990A" w14:textId="77777777" w:rsidR="001309B9" w:rsidRPr="009F19BD" w:rsidRDefault="001309B9" w:rsidP="008903F7">
      <w:pPr>
        <w:rPr>
          <w:rFonts w:ascii="Times New Roman" w:eastAsia="Calibri" w:hAnsi="Times New Roman" w:cs="Times New Roman"/>
          <w:b/>
          <w:bCs/>
        </w:rPr>
      </w:pPr>
    </w:p>
    <w:p w14:paraId="2A907E44" w14:textId="77777777" w:rsidR="001309B9" w:rsidRPr="009F19BD" w:rsidRDefault="001309B9" w:rsidP="008903F7">
      <w:pPr>
        <w:rPr>
          <w:rFonts w:ascii="Times New Roman" w:eastAsia="Calibri" w:hAnsi="Times New Roman" w:cs="Times New Roman"/>
          <w:b/>
          <w:bCs/>
        </w:rPr>
      </w:pPr>
    </w:p>
    <w:p w14:paraId="389856E9" w14:textId="77777777" w:rsidR="00DD5E34" w:rsidRDefault="00DD5E34" w:rsidP="008903F7">
      <w:pPr>
        <w:rPr>
          <w:rFonts w:ascii="Times New Roman" w:eastAsia="Calibri" w:hAnsi="Times New Roman" w:cs="Times New Roman"/>
          <w:b/>
          <w:bCs/>
        </w:rPr>
      </w:pPr>
      <w:r>
        <w:rPr>
          <w:rFonts w:ascii="Times New Roman" w:eastAsia="Calibri" w:hAnsi="Times New Roman" w:cs="Times New Roman"/>
          <w:b/>
          <w:bCs/>
        </w:rPr>
        <w:br w:type="page"/>
      </w:r>
    </w:p>
    <w:p w14:paraId="17C1AF1B" w14:textId="0F0B1E5C" w:rsidR="008903F7" w:rsidRPr="009F19BD" w:rsidRDefault="008903F7" w:rsidP="00DD5E34">
      <w:pPr>
        <w:pStyle w:val="Heading3"/>
      </w:pPr>
      <w:r w:rsidRPr="009F19BD">
        <w:lastRenderedPageBreak/>
        <w:t xml:space="preserve">SI section </w:t>
      </w:r>
      <w:r w:rsidR="00542755" w:rsidRPr="009F19BD">
        <w:t>5</w:t>
      </w:r>
      <w:r w:rsidRPr="009F19BD">
        <w:t>. TIMES model formulation</w:t>
      </w:r>
    </w:p>
    <w:p w14:paraId="7C675ABF" w14:textId="77777777"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TIAM-UCL uses the TIMES (The Integrated MARKAL-EFOM System) framework, a framework developed to explore and assess how energy systems may change over time, particularly in response to different policies </w:t>
      </w:r>
      <w:proofErr w:type="gramStart"/>
      <w:r w:rsidRPr="009F19BD">
        <w:rPr>
          <w:rFonts w:ascii="Times New Roman" w:hAnsi="Times New Roman" w:cs="Times New Roman"/>
        </w:rPr>
        <w:t>e.g.</w:t>
      </w:r>
      <w:proofErr w:type="gramEnd"/>
      <w:r w:rsidRPr="009F19BD">
        <w:rPr>
          <w:rFonts w:ascii="Times New Roman" w:hAnsi="Times New Roman" w:cs="Times New Roman"/>
        </w:rPr>
        <w:t xml:space="preserve"> climate or renewable energy targets, and drivers of energy demand e.g. economic growth. It is a partial equilibrium model, so balances supply and demand within the energy system, finding the least-cost solution for an energy system that meets future demand for energy services, such as space heating and cooling, mobility, and industrial production output. </w:t>
      </w:r>
    </w:p>
    <w:p w14:paraId="24115D94" w14:textId="77777777"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A key feature of the model is that it is constructed from the technology level up, meaning that many of the system components </w:t>
      </w:r>
      <w:proofErr w:type="gramStart"/>
      <w:r w:rsidRPr="009F19BD">
        <w:rPr>
          <w:rFonts w:ascii="Times New Roman" w:hAnsi="Times New Roman" w:cs="Times New Roman"/>
        </w:rPr>
        <w:t>e.g.</w:t>
      </w:r>
      <w:proofErr w:type="gramEnd"/>
      <w:r w:rsidRPr="009F19BD">
        <w:rPr>
          <w:rFonts w:ascii="Times New Roman" w:hAnsi="Times New Roman" w:cs="Times New Roman"/>
        </w:rPr>
        <w:t xml:space="preserve"> refineries, vehicles, power stations, can be represented, including their performance and costs. An advantage of TIMES is that </w:t>
      </w:r>
      <w:proofErr w:type="gramStart"/>
      <w:r w:rsidRPr="009F19BD">
        <w:rPr>
          <w:rFonts w:ascii="Times New Roman" w:hAnsi="Times New Roman" w:cs="Times New Roman"/>
        </w:rPr>
        <w:t>is can assess</w:t>
      </w:r>
      <w:proofErr w:type="gramEnd"/>
      <w:r w:rsidRPr="009F19BD">
        <w:rPr>
          <w:rFonts w:ascii="Times New Roman" w:hAnsi="Times New Roman" w:cs="Times New Roman"/>
        </w:rPr>
        <w:t xml:space="preserve"> the role of these many different components within an interconnected system, exploring trade-offs, and dependencies, and providing a consistent assessment of the system as a whole. TIMES is also known as an E3 model, meaning that it provides metrics on the physical energy system (technology capacity, system operation, energy use totals), on the economics of the system (investment requirements, energy costs), and on the environmental impacts (GHGs).</w:t>
      </w:r>
    </w:p>
    <w:p w14:paraId="493FCAE9" w14:textId="5996FD02" w:rsidR="008903F7" w:rsidRPr="009F19BD" w:rsidRDefault="008903F7" w:rsidP="008903F7">
      <w:pPr>
        <w:pStyle w:val="Normalsingle"/>
        <w:rPr>
          <w:rFonts w:ascii="Times New Roman" w:hAnsi="Times New Roman"/>
          <w:sz w:val="22"/>
          <w:szCs w:val="22"/>
        </w:rPr>
      </w:pPr>
      <w:r w:rsidRPr="009F19BD">
        <w:rPr>
          <w:rFonts w:ascii="Times New Roman" w:hAnsi="Times New Roman"/>
          <w:sz w:val="22"/>
          <w:szCs w:val="22"/>
        </w:rPr>
        <w:t>TIAM-UCL, as typical of a TIMES model, is made up of five key components, as shown in</w:t>
      </w:r>
      <w:r w:rsidRPr="009F19BD">
        <w:rPr>
          <w:rStyle w:val="Hyperlink3"/>
          <w:rFonts w:ascii="Times New Roman" w:hAnsi="Times New Roman"/>
          <w:sz w:val="22"/>
          <w:szCs w:val="22"/>
        </w:rPr>
        <w:t xml:space="preserve"> Supplementary Figure </w:t>
      </w:r>
      <w:r w:rsidR="0028121F">
        <w:rPr>
          <w:rStyle w:val="Hyperlink3"/>
          <w:rFonts w:ascii="Times New Roman" w:hAnsi="Times New Roman"/>
          <w:sz w:val="22"/>
          <w:szCs w:val="22"/>
        </w:rPr>
        <w:t>9</w:t>
      </w:r>
      <w:r w:rsidRPr="009F19BD">
        <w:rPr>
          <w:rFonts w:ascii="Times New Roman" w:hAnsi="Times New Roman"/>
          <w:sz w:val="22"/>
          <w:szCs w:val="22"/>
        </w:rPr>
        <w:t xml:space="preserve">. The first stage is the definition of what the system looks like (model structure), including the sectors to be included, typically from primary production through conversion to end use, types of technologies, and available energy resources. A Reference Energy System links </w:t>
      </w:r>
      <w:proofErr w:type="gramStart"/>
      <w:r w:rsidRPr="009F19BD">
        <w:rPr>
          <w:rFonts w:ascii="Times New Roman" w:hAnsi="Times New Roman"/>
          <w:sz w:val="22"/>
          <w:szCs w:val="22"/>
        </w:rPr>
        <w:t>all of</w:t>
      </w:r>
      <w:proofErr w:type="gramEnd"/>
      <w:r w:rsidRPr="009F19BD">
        <w:rPr>
          <w:rFonts w:ascii="Times New Roman" w:hAnsi="Times New Roman"/>
          <w:sz w:val="22"/>
          <w:szCs w:val="22"/>
        </w:rPr>
        <w:t xml:space="preserve"> these components together, allowing for the flow of energy through the system. Structure definition also include the </w:t>
      </w:r>
      <w:proofErr w:type="spellStart"/>
      <w:r w:rsidRPr="009F19BD">
        <w:rPr>
          <w:rFonts w:ascii="Times New Roman" w:hAnsi="Times New Roman"/>
          <w:sz w:val="22"/>
          <w:szCs w:val="22"/>
        </w:rPr>
        <w:t>spatio</w:t>
      </w:r>
      <w:proofErr w:type="spellEnd"/>
      <w:r w:rsidRPr="009F19BD">
        <w:rPr>
          <w:rFonts w:ascii="Times New Roman" w:hAnsi="Times New Roman"/>
          <w:sz w:val="22"/>
          <w:szCs w:val="22"/>
        </w:rPr>
        <w:t xml:space="preserve">-temporal resolution </w:t>
      </w:r>
      <w:proofErr w:type="gramStart"/>
      <w:r w:rsidRPr="009F19BD">
        <w:rPr>
          <w:rFonts w:ascii="Times New Roman" w:hAnsi="Times New Roman"/>
          <w:sz w:val="22"/>
          <w:szCs w:val="22"/>
        </w:rPr>
        <w:t>e.g.</w:t>
      </w:r>
      <w:proofErr w:type="gramEnd"/>
      <w:r w:rsidRPr="009F19BD">
        <w:rPr>
          <w:rFonts w:ascii="Times New Roman" w:hAnsi="Times New Roman"/>
          <w:sz w:val="22"/>
          <w:szCs w:val="22"/>
        </w:rPr>
        <w:t xml:space="preserve"> number of regions, the number of time periods, and the time horizon over which the model is going to be run.</w:t>
      </w:r>
    </w:p>
    <w:p w14:paraId="2F5825CF" w14:textId="77777777" w:rsidR="008903F7" w:rsidRPr="009F19BD" w:rsidRDefault="008903F7" w:rsidP="008903F7">
      <w:pPr>
        <w:rPr>
          <w:rFonts w:ascii="Times New Roman" w:hAnsi="Times New Roman" w:cs="Times New Roman"/>
        </w:rPr>
      </w:pPr>
      <w:r w:rsidRPr="009F19BD">
        <w:rPr>
          <w:rFonts w:ascii="Times New Roman" w:hAnsi="Times New Roman" w:cs="Times New Roman"/>
          <w:noProof/>
        </w:rPr>
        <w:drawing>
          <wp:inline distT="0" distB="0" distL="0" distR="0" wp14:anchorId="6DC499BF" wp14:editId="2A4B1F89">
            <wp:extent cx="5731510" cy="2912745"/>
            <wp:effectExtent l="0" t="0" r="2540" b="1905"/>
            <wp:docPr id="46" name="Graphic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5731510" cy="2912745"/>
                    </a:xfrm>
                    <a:prstGeom prst="rect">
                      <a:avLst/>
                    </a:prstGeom>
                  </pic:spPr>
                </pic:pic>
              </a:graphicData>
            </a:graphic>
          </wp:inline>
        </w:drawing>
      </w:r>
    </w:p>
    <w:p w14:paraId="63AF55E1" w14:textId="78920070" w:rsidR="008903F7" w:rsidRPr="00377CFD" w:rsidRDefault="008903F7" w:rsidP="008903F7">
      <w:pPr>
        <w:rPr>
          <w:rFonts w:ascii="Times New Roman" w:hAnsi="Times New Roman" w:cs="Times New Roman"/>
          <w:b/>
          <w:bCs/>
          <w:lang w:val="en-US"/>
        </w:rPr>
      </w:pPr>
      <w:bookmarkStart w:id="16" w:name="_Ref64822198"/>
      <w:r w:rsidRPr="00377CFD">
        <w:rPr>
          <w:rFonts w:ascii="Times New Roman" w:hAnsi="Times New Roman" w:cs="Times New Roman"/>
          <w:b/>
          <w:bCs/>
        </w:rPr>
        <w:t>Supplementary Figur</w:t>
      </w:r>
      <w:bookmarkEnd w:id="16"/>
      <w:r w:rsidRPr="00377CFD">
        <w:rPr>
          <w:rFonts w:ascii="Times New Roman" w:hAnsi="Times New Roman" w:cs="Times New Roman"/>
          <w:b/>
          <w:bCs/>
        </w:rPr>
        <w:t xml:space="preserve">e </w:t>
      </w:r>
      <w:r w:rsidR="0028121F">
        <w:rPr>
          <w:rFonts w:ascii="Times New Roman" w:hAnsi="Times New Roman" w:cs="Times New Roman"/>
          <w:b/>
          <w:bCs/>
        </w:rPr>
        <w:t>9</w:t>
      </w:r>
      <w:r w:rsidRPr="00377CFD">
        <w:rPr>
          <w:rFonts w:ascii="Times New Roman" w:hAnsi="Times New Roman" w:cs="Times New Roman"/>
          <w:b/>
          <w:bCs/>
        </w:rPr>
        <w:t xml:space="preserve">. </w:t>
      </w:r>
      <w:r w:rsidRPr="00377CFD">
        <w:rPr>
          <w:rFonts w:ascii="Times New Roman" w:hAnsi="Times New Roman" w:cs="Times New Roman"/>
          <w:b/>
          <w:bCs/>
          <w:lang w:val="en-US"/>
        </w:rPr>
        <w:t>Core components of the TIMES model framework</w:t>
      </w:r>
    </w:p>
    <w:p w14:paraId="587E9737" w14:textId="77777777"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Each part of the model system is populated with data assumptions, including technology costs and performance, resource availability and cost, the demands that the system needs to meet today </w:t>
      </w:r>
      <w:proofErr w:type="gramStart"/>
      <w:r w:rsidRPr="009F19BD">
        <w:rPr>
          <w:rFonts w:ascii="Times New Roman" w:hAnsi="Times New Roman" w:cs="Times New Roman"/>
        </w:rPr>
        <w:t>and in the future,</w:t>
      </w:r>
      <w:proofErr w:type="gramEnd"/>
      <w:r w:rsidRPr="009F19BD">
        <w:rPr>
          <w:rFonts w:ascii="Times New Roman" w:hAnsi="Times New Roman" w:cs="Times New Roman"/>
        </w:rPr>
        <w:t xml:space="preserve"> and the associated emissions of different fuel-technologies. </w:t>
      </w:r>
    </w:p>
    <w:p w14:paraId="0B7C0A33" w14:textId="77777777"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The model input data are then used to construct a linear programme (using GAMS code), whereby the rules of the system operation and evolution are defined based on a set of mathematical equations. The linear programme is then solved to explore the least-cost energy system required to meet the energy service demands in the future, subject to constraints. </w:t>
      </w:r>
      <w:proofErr w:type="gramStart"/>
      <w:r w:rsidRPr="009F19BD">
        <w:rPr>
          <w:rFonts w:ascii="Times New Roman" w:hAnsi="Times New Roman" w:cs="Times New Roman"/>
        </w:rPr>
        <w:t>A large number of</w:t>
      </w:r>
      <w:proofErr w:type="gramEnd"/>
      <w:r w:rsidRPr="009F19BD">
        <w:rPr>
          <w:rFonts w:ascii="Times New Roman" w:hAnsi="Times New Roman" w:cs="Times New Roman"/>
        </w:rPr>
        <w:t xml:space="preserve"> metrics result that describe </w:t>
      </w:r>
      <w:r w:rsidRPr="009F19BD">
        <w:rPr>
          <w:rFonts w:ascii="Times New Roman" w:hAnsi="Times New Roman" w:cs="Times New Roman"/>
        </w:rPr>
        <w:lastRenderedPageBreak/>
        <w:t>the emerging energy system, in terms of the physical system (number of vehicles, power system capacity, total bioenergy use), the costs of that system, and the emissions resulting from the system’s operation.</w:t>
      </w:r>
    </w:p>
    <w:p w14:paraId="30A00B9D" w14:textId="2BF9C3B9" w:rsidR="008903F7" w:rsidRPr="009F19BD" w:rsidRDefault="008903F7" w:rsidP="008903F7">
      <w:pPr>
        <w:rPr>
          <w:rFonts w:ascii="Times New Roman" w:hAnsi="Times New Roman" w:cs="Times New Roman"/>
        </w:rPr>
      </w:pPr>
      <w:r w:rsidRPr="009F19BD">
        <w:rPr>
          <w:rFonts w:ascii="Times New Roman" w:hAnsi="Times New Roman" w:cs="Times New Roman"/>
        </w:rPr>
        <w:t xml:space="preserve">This section now focuses on the core equations used in the linear programme. This code is available on </w:t>
      </w:r>
      <w:proofErr w:type="spellStart"/>
      <w:r w:rsidRPr="009F19BD">
        <w:rPr>
          <w:rFonts w:ascii="Times New Roman" w:hAnsi="Times New Roman" w:cs="Times New Roman"/>
        </w:rPr>
        <w:t>Github</w:t>
      </w:r>
      <w:proofErr w:type="spellEnd"/>
      <w:r w:rsidRPr="009F19BD">
        <w:rPr>
          <w:rFonts w:ascii="Times New Roman" w:hAnsi="Times New Roman" w:cs="Times New Roman"/>
        </w:rPr>
        <w:t>, with full documentation available on the ETSAP website</w:t>
      </w:r>
      <w:r w:rsidR="00533BD4">
        <w:rPr>
          <w:rStyle w:val="FootnoteReference"/>
          <w:rFonts w:ascii="Times New Roman" w:hAnsi="Times New Roman" w:cs="Times New Roman"/>
        </w:rPr>
        <w:footnoteReference w:id="28"/>
      </w:r>
      <w:r w:rsidRPr="009F19BD">
        <w:rPr>
          <w:rFonts w:ascii="Times New Roman" w:hAnsi="Times New Roman" w:cs="Times New Roman"/>
        </w:rPr>
        <w:fldChar w:fldCharType="begin" w:fldLock="1"/>
      </w:r>
      <w:r w:rsidRPr="009F19BD">
        <w:rPr>
          <w:rFonts w:ascii="Times New Roman" w:hAnsi="Times New Roman" w:cs="Times New Roman"/>
        </w:rPr>
        <w:instrText>ADDIN CSL_CITATION {"citationItems":[{"id":"ITEM-1","itemData":{"author":[{"dropping-particle":"","family":"Loulou","given":"R","non-dropping-particle":"","parse-names":false,"suffix":""},{"dropping-particle":"","family":"Lehtilä","given":"A","non-dropping-particle":"","parse-names":false,"suffix":""},{"dropping-particle":"","family":"Kanudia","given":"A","non-dropping-particle":"","parse-names":false,"suffix":""},{"dropping-particle":"","family":"Remme","given":"U","non-dropping-particle":"","parse-names":false,"suffix":""},{"dropping-particle":"","family":"Goldstein","given":"G","non-dropping-particle":"","parse-names":false,"suffix":""}],"id":"ITEM-1","issued":{"date-parts":[["2016"]]},"publisher-place":"Energy Technology Systems Analysis Programme (ETSAP)","title":"Documentation for the TIMES Model: Part II","type":"report"},"uris":["http://www.mendeley.com/documents/?uuid=ce834485-6a4f-4fc0-bdcf-7cc075de4f07"]}],"mendeley":{"formattedCitation":"&lt;sup&gt;62&lt;/sup&gt;","plainTextFormattedCitation":"62","previouslyFormattedCitation":"&lt;sup&gt;63&lt;/sup&gt;"},"properties":{"noteIndex":0},"schema":"https://github.com/citation-style-language/schema/raw/master/csl-citation.json"}</w:instrText>
      </w:r>
      <w:r w:rsidR="00A872DB">
        <w:rPr>
          <w:rFonts w:ascii="Times New Roman" w:hAnsi="Times New Roman" w:cs="Times New Roman"/>
        </w:rPr>
        <w:fldChar w:fldCharType="separate"/>
      </w:r>
      <w:r w:rsidRPr="009F19BD">
        <w:rPr>
          <w:rFonts w:ascii="Times New Roman" w:hAnsi="Times New Roman" w:cs="Times New Roman"/>
        </w:rPr>
        <w:fldChar w:fldCharType="end"/>
      </w:r>
      <w:r w:rsidRPr="009F19BD">
        <w:rPr>
          <w:rFonts w:ascii="Times New Roman" w:hAnsi="Times New Roman" w:cs="Times New Roman"/>
        </w:rPr>
        <w:t xml:space="preserve">. </w:t>
      </w:r>
    </w:p>
    <w:p w14:paraId="06EA4BA6" w14:textId="77777777" w:rsidR="008903F7" w:rsidRPr="009F19BD" w:rsidRDefault="008903F7" w:rsidP="008903F7">
      <w:pPr>
        <w:pStyle w:val="Normalsingle"/>
        <w:rPr>
          <w:rFonts w:ascii="Times New Roman" w:hAnsi="Times New Roman"/>
          <w:sz w:val="22"/>
          <w:szCs w:val="22"/>
        </w:rPr>
      </w:pPr>
      <w:r w:rsidRPr="009F19BD">
        <w:rPr>
          <w:rFonts w:ascii="Times New Roman" w:hAnsi="Times New Roman"/>
          <w:sz w:val="22"/>
          <w:szCs w:val="22"/>
        </w:rPr>
        <w:t>In simple terms, an optimisation model such as TIAM-UCL will –</w:t>
      </w:r>
    </w:p>
    <w:p w14:paraId="6564C8F6" w14:textId="77777777" w:rsidR="008903F7" w:rsidRPr="009F19BD" w:rsidRDefault="008903F7" w:rsidP="0A113E58">
      <w:pPr>
        <w:numPr>
          <w:ilvl w:val="0"/>
          <w:numId w:val="7"/>
        </w:numPr>
        <w:spacing w:after="0" w:line="240" w:lineRule="auto"/>
        <w:rPr>
          <w:rFonts w:ascii="Times New Roman" w:hAnsi="Times New Roman" w:cs="Times New Roman"/>
        </w:rPr>
      </w:pPr>
      <w:r w:rsidRPr="009F19BD">
        <w:rPr>
          <w:rFonts w:ascii="Times New Roman" w:hAnsi="Times New Roman" w:cs="Times New Roman"/>
        </w:rPr>
        <w:t>Minimise the objective function (total system costs)</w:t>
      </w:r>
    </w:p>
    <w:p w14:paraId="667E8545" w14:textId="77777777" w:rsidR="008903F7" w:rsidRPr="009F19BD" w:rsidRDefault="008903F7" w:rsidP="0A113E58">
      <w:pPr>
        <w:numPr>
          <w:ilvl w:val="0"/>
          <w:numId w:val="7"/>
        </w:numPr>
        <w:spacing w:after="0" w:line="240" w:lineRule="auto"/>
        <w:rPr>
          <w:rFonts w:ascii="Times New Roman" w:hAnsi="Times New Roman" w:cs="Times New Roman"/>
        </w:rPr>
      </w:pPr>
      <w:r w:rsidRPr="009F19BD">
        <w:rPr>
          <w:rFonts w:ascii="Times New Roman" w:hAnsi="Times New Roman" w:cs="Times New Roman"/>
        </w:rPr>
        <w:t>whilst satisfying the energy service demand requirements</w:t>
      </w:r>
    </w:p>
    <w:p w14:paraId="1ECB843B" w14:textId="77777777" w:rsidR="008903F7" w:rsidRPr="009F19BD" w:rsidRDefault="008903F7" w:rsidP="0A113E58">
      <w:pPr>
        <w:numPr>
          <w:ilvl w:val="0"/>
          <w:numId w:val="7"/>
        </w:numPr>
        <w:spacing w:after="0" w:line="240" w:lineRule="auto"/>
        <w:rPr>
          <w:rFonts w:ascii="Times New Roman" w:hAnsi="Times New Roman" w:cs="Times New Roman"/>
        </w:rPr>
      </w:pPr>
      <w:r w:rsidRPr="009F19BD">
        <w:rPr>
          <w:rFonts w:ascii="Times New Roman" w:hAnsi="Times New Roman" w:cs="Times New Roman"/>
        </w:rPr>
        <w:t>and respecting the system constraints</w:t>
      </w:r>
    </w:p>
    <w:p w14:paraId="009C8EF3" w14:textId="77777777" w:rsidR="008903F7" w:rsidRPr="009F19BD" w:rsidRDefault="008903F7" w:rsidP="008903F7">
      <w:pPr>
        <w:pStyle w:val="Normalsingle"/>
        <w:rPr>
          <w:rFonts w:ascii="Times New Roman" w:hAnsi="Times New Roman"/>
          <w:sz w:val="22"/>
          <w:szCs w:val="22"/>
        </w:rPr>
      </w:pPr>
    </w:p>
    <w:p w14:paraId="1124A6A5" w14:textId="77777777" w:rsidR="008903F7" w:rsidRPr="009F19BD" w:rsidRDefault="008903F7" w:rsidP="008903F7">
      <w:pPr>
        <w:pStyle w:val="Normalsingle"/>
        <w:rPr>
          <w:rFonts w:ascii="Times New Roman" w:hAnsi="Times New Roman"/>
          <w:sz w:val="22"/>
          <w:szCs w:val="22"/>
        </w:rPr>
      </w:pPr>
      <w:r w:rsidRPr="009F19BD">
        <w:rPr>
          <w:rFonts w:ascii="Times New Roman" w:hAnsi="Times New Roman"/>
          <w:sz w:val="22"/>
          <w:szCs w:val="22"/>
        </w:rPr>
        <w:t>The key equations that set the rules of the model LP (linear programming) problem are summarised below:</w:t>
      </w:r>
    </w:p>
    <w:p w14:paraId="4619BB6B" w14:textId="77777777" w:rsidR="008903F7" w:rsidRPr="009F19BD" w:rsidRDefault="008903F7" w:rsidP="0A113E58">
      <w:pPr>
        <w:pStyle w:val="Normalsingle"/>
        <w:numPr>
          <w:ilvl w:val="0"/>
          <w:numId w:val="8"/>
        </w:numPr>
        <w:rPr>
          <w:rFonts w:ascii="Times New Roman" w:hAnsi="Times New Roman"/>
          <w:sz w:val="22"/>
          <w:szCs w:val="22"/>
        </w:rPr>
      </w:pPr>
      <w:r w:rsidRPr="009F19BD">
        <w:rPr>
          <w:rFonts w:ascii="Times New Roman" w:hAnsi="Times New Roman"/>
          <w:sz w:val="22"/>
          <w:szCs w:val="22"/>
        </w:rPr>
        <w:t>Objective function (EQ_OBJ). The function is to minimise total discounted system costs.</w:t>
      </w:r>
    </w:p>
    <w:p w14:paraId="6437D50B" w14:textId="77777777" w:rsidR="008903F7" w:rsidRPr="009F19BD" w:rsidRDefault="008903F7" w:rsidP="008903F7">
      <w:pPr>
        <w:pStyle w:val="Normalsingle"/>
        <w:ind w:left="567"/>
        <w:rPr>
          <w:rFonts w:ascii="Times New Roman" w:hAnsi="Times New Roman"/>
          <w:sz w:val="22"/>
          <w:szCs w:val="22"/>
        </w:rPr>
      </w:pPr>
      <w:r w:rsidRPr="009F19BD">
        <w:rPr>
          <w:rFonts w:ascii="Times New Roman" w:hAnsi="Times New Roman"/>
          <w:noProof/>
          <w:sz w:val="22"/>
          <w:szCs w:val="22"/>
        </w:rPr>
        <w:object w:dxaOrig="10725" w:dyaOrig="1425" w14:anchorId="634906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6pt;height:57.6pt" o:ole="">
            <v:imagedata r:id="rId36" o:title=""/>
          </v:shape>
          <o:OLEObject Type="Embed" ProgID="Equation.3" ShapeID="_x0000_i1025" DrawAspect="Content" ObjectID="_1701791420" r:id="rId37"/>
        </w:object>
      </w:r>
    </w:p>
    <w:p w14:paraId="4CF4EEFF" w14:textId="77777777" w:rsidR="008903F7" w:rsidRPr="009F19BD" w:rsidRDefault="008903F7" w:rsidP="008903F7">
      <w:pPr>
        <w:pStyle w:val="Normalsingle"/>
        <w:rPr>
          <w:rFonts w:ascii="Times New Roman" w:hAnsi="Times New Roman"/>
          <w:sz w:val="22"/>
          <w:szCs w:val="22"/>
        </w:rPr>
      </w:pPr>
    </w:p>
    <w:p w14:paraId="6B818AF8" w14:textId="77777777" w:rsidR="008903F7" w:rsidRPr="009F19BD" w:rsidRDefault="008903F7" w:rsidP="008903F7">
      <w:pPr>
        <w:pStyle w:val="Normalsingle"/>
        <w:ind w:left="720"/>
        <w:rPr>
          <w:rFonts w:ascii="Times New Roman" w:hAnsi="Times New Roman"/>
          <w:sz w:val="22"/>
          <w:szCs w:val="22"/>
        </w:rPr>
      </w:pPr>
      <w:r w:rsidRPr="009F19BD">
        <w:rPr>
          <w:rFonts w:ascii="Times New Roman" w:hAnsi="Times New Roman"/>
          <w:sz w:val="22"/>
          <w:szCs w:val="22"/>
        </w:rPr>
        <w:t xml:space="preserve">Where </w:t>
      </w:r>
      <w:r w:rsidRPr="009F19BD">
        <w:rPr>
          <w:rFonts w:ascii="Times New Roman" w:hAnsi="Times New Roman"/>
          <w:i/>
          <w:sz w:val="22"/>
          <w:szCs w:val="22"/>
        </w:rPr>
        <w:t>disc</w:t>
      </w:r>
      <w:r w:rsidRPr="009F19BD">
        <w:rPr>
          <w:rFonts w:ascii="Times New Roman" w:hAnsi="Times New Roman"/>
          <w:sz w:val="22"/>
          <w:szCs w:val="22"/>
        </w:rPr>
        <w:t xml:space="preserve"> is the global discount rate, </w:t>
      </w:r>
      <w:proofErr w:type="spellStart"/>
      <w:r w:rsidRPr="009F19BD">
        <w:rPr>
          <w:rFonts w:ascii="Times New Roman" w:hAnsi="Times New Roman"/>
          <w:i/>
          <w:sz w:val="22"/>
          <w:szCs w:val="22"/>
        </w:rPr>
        <w:t>varom</w:t>
      </w:r>
      <w:proofErr w:type="spellEnd"/>
      <w:r w:rsidRPr="009F19BD">
        <w:rPr>
          <w:rFonts w:ascii="Times New Roman" w:hAnsi="Times New Roman"/>
          <w:sz w:val="22"/>
          <w:szCs w:val="22"/>
        </w:rPr>
        <w:t xml:space="preserve"> is the variable O&amp;M costs associated with technology activity (</w:t>
      </w:r>
      <w:r w:rsidRPr="009F19BD">
        <w:rPr>
          <w:rFonts w:ascii="Times New Roman" w:hAnsi="Times New Roman"/>
          <w:i/>
          <w:sz w:val="22"/>
          <w:szCs w:val="22"/>
        </w:rPr>
        <w:t>ACT</w:t>
      </w:r>
      <w:r w:rsidRPr="009F19BD">
        <w:rPr>
          <w:rFonts w:ascii="Times New Roman" w:hAnsi="Times New Roman"/>
          <w:sz w:val="22"/>
          <w:szCs w:val="22"/>
        </w:rPr>
        <w:t xml:space="preserve">), </w:t>
      </w:r>
      <w:proofErr w:type="spellStart"/>
      <w:r w:rsidRPr="009F19BD">
        <w:rPr>
          <w:rFonts w:ascii="Times New Roman" w:hAnsi="Times New Roman"/>
          <w:i/>
          <w:sz w:val="22"/>
          <w:szCs w:val="22"/>
        </w:rPr>
        <w:t>invcost</w:t>
      </w:r>
      <w:proofErr w:type="spellEnd"/>
      <w:r w:rsidRPr="009F19BD">
        <w:rPr>
          <w:rFonts w:ascii="Times New Roman" w:hAnsi="Times New Roman"/>
          <w:sz w:val="22"/>
          <w:szCs w:val="22"/>
        </w:rPr>
        <w:t xml:space="preserve"> is the capital expenditure associated with new investment (</w:t>
      </w:r>
      <w:r w:rsidRPr="009F19BD">
        <w:rPr>
          <w:rFonts w:ascii="Times New Roman" w:hAnsi="Times New Roman"/>
          <w:i/>
          <w:sz w:val="22"/>
          <w:szCs w:val="22"/>
        </w:rPr>
        <w:t>NCAP</w:t>
      </w:r>
      <w:r w:rsidRPr="009F19BD">
        <w:rPr>
          <w:rFonts w:ascii="Times New Roman" w:hAnsi="Times New Roman"/>
          <w:sz w:val="22"/>
          <w:szCs w:val="22"/>
        </w:rPr>
        <w:t xml:space="preserve">), discounted using the </w:t>
      </w:r>
      <w:proofErr w:type="spellStart"/>
      <w:r w:rsidRPr="009F19BD">
        <w:rPr>
          <w:rFonts w:ascii="Times New Roman" w:hAnsi="Times New Roman"/>
          <w:i/>
          <w:sz w:val="22"/>
          <w:szCs w:val="22"/>
        </w:rPr>
        <w:t>crf</w:t>
      </w:r>
      <w:proofErr w:type="spellEnd"/>
      <w:r w:rsidRPr="009F19BD">
        <w:rPr>
          <w:rFonts w:ascii="Times New Roman" w:hAnsi="Times New Roman"/>
          <w:sz w:val="22"/>
          <w:szCs w:val="22"/>
        </w:rPr>
        <w:t xml:space="preserve"> (capital recovery factor), </w:t>
      </w:r>
      <w:proofErr w:type="spellStart"/>
      <w:r w:rsidRPr="009F19BD">
        <w:rPr>
          <w:rFonts w:ascii="Times New Roman" w:hAnsi="Times New Roman"/>
          <w:i/>
          <w:sz w:val="22"/>
          <w:szCs w:val="22"/>
        </w:rPr>
        <w:t>impprice</w:t>
      </w:r>
      <w:proofErr w:type="spellEnd"/>
      <w:r w:rsidRPr="009F19BD">
        <w:rPr>
          <w:rFonts w:ascii="Times New Roman" w:hAnsi="Times New Roman"/>
          <w:sz w:val="22"/>
          <w:szCs w:val="22"/>
        </w:rPr>
        <w:t xml:space="preserve"> is the price of imports, multiplied by import level (</w:t>
      </w:r>
      <w:r w:rsidRPr="009F19BD">
        <w:rPr>
          <w:rFonts w:ascii="Times New Roman" w:hAnsi="Times New Roman"/>
          <w:i/>
          <w:sz w:val="22"/>
          <w:szCs w:val="22"/>
        </w:rPr>
        <w:t>IMP</w:t>
      </w:r>
      <w:r w:rsidRPr="009F19BD">
        <w:rPr>
          <w:rFonts w:ascii="Times New Roman" w:hAnsi="Times New Roman"/>
          <w:sz w:val="22"/>
          <w:szCs w:val="22"/>
        </w:rPr>
        <w:t xml:space="preserve">), </w:t>
      </w:r>
      <w:proofErr w:type="spellStart"/>
      <w:r w:rsidRPr="009F19BD">
        <w:rPr>
          <w:rFonts w:ascii="Times New Roman" w:hAnsi="Times New Roman"/>
          <w:i/>
          <w:sz w:val="22"/>
          <w:szCs w:val="22"/>
        </w:rPr>
        <w:t>expprice</w:t>
      </w:r>
      <w:proofErr w:type="spellEnd"/>
      <w:r w:rsidRPr="009F19BD">
        <w:rPr>
          <w:rFonts w:ascii="Times New Roman" w:hAnsi="Times New Roman"/>
          <w:sz w:val="22"/>
          <w:szCs w:val="22"/>
        </w:rPr>
        <w:t xml:space="preserve"> is the price of exports, multiplied by export level (</w:t>
      </w:r>
      <w:r w:rsidRPr="009F19BD">
        <w:rPr>
          <w:rFonts w:ascii="Times New Roman" w:hAnsi="Times New Roman"/>
          <w:i/>
          <w:sz w:val="22"/>
          <w:szCs w:val="22"/>
        </w:rPr>
        <w:t>EXP</w:t>
      </w:r>
      <w:r w:rsidRPr="009F19BD">
        <w:rPr>
          <w:rFonts w:ascii="Times New Roman" w:hAnsi="Times New Roman"/>
          <w:sz w:val="22"/>
          <w:szCs w:val="22"/>
        </w:rPr>
        <w:t xml:space="preserve">), and </w:t>
      </w:r>
      <w:proofErr w:type="spellStart"/>
      <w:r w:rsidRPr="009F19BD">
        <w:rPr>
          <w:rFonts w:ascii="Times New Roman" w:hAnsi="Times New Roman"/>
          <w:i/>
          <w:sz w:val="22"/>
          <w:szCs w:val="22"/>
        </w:rPr>
        <w:t>flocost</w:t>
      </w:r>
      <w:proofErr w:type="spellEnd"/>
      <w:r w:rsidRPr="009F19BD">
        <w:rPr>
          <w:rFonts w:ascii="Times New Roman" w:hAnsi="Times New Roman"/>
          <w:sz w:val="22"/>
          <w:szCs w:val="22"/>
        </w:rPr>
        <w:t xml:space="preserve"> is the cost of other domestic energy commodities (</w:t>
      </w:r>
      <w:r w:rsidRPr="009F19BD">
        <w:rPr>
          <w:rFonts w:ascii="Times New Roman" w:hAnsi="Times New Roman"/>
          <w:i/>
          <w:sz w:val="22"/>
          <w:szCs w:val="22"/>
        </w:rPr>
        <w:t>FLO</w:t>
      </w:r>
      <w:r w:rsidRPr="009F19BD">
        <w:rPr>
          <w:rFonts w:ascii="Times New Roman" w:hAnsi="Times New Roman"/>
          <w:sz w:val="22"/>
          <w:szCs w:val="22"/>
        </w:rPr>
        <w:t xml:space="preserve">). </w:t>
      </w:r>
    </w:p>
    <w:p w14:paraId="63BD403B" w14:textId="77777777" w:rsidR="008903F7" w:rsidRPr="009F19BD" w:rsidRDefault="008903F7" w:rsidP="008903F7">
      <w:pPr>
        <w:pStyle w:val="Normalsingle"/>
        <w:ind w:left="720"/>
        <w:rPr>
          <w:rFonts w:ascii="Times New Roman" w:hAnsi="Times New Roman"/>
          <w:sz w:val="22"/>
          <w:szCs w:val="22"/>
        </w:rPr>
      </w:pPr>
      <w:r w:rsidRPr="009F19BD">
        <w:rPr>
          <w:rFonts w:ascii="Times New Roman" w:hAnsi="Times New Roman"/>
          <w:sz w:val="22"/>
          <w:szCs w:val="22"/>
        </w:rPr>
        <w:t xml:space="preserve">Where index </w:t>
      </w:r>
      <w:r w:rsidRPr="009F19BD">
        <w:rPr>
          <w:rFonts w:ascii="Times New Roman" w:hAnsi="Times New Roman"/>
          <w:i/>
          <w:sz w:val="22"/>
          <w:szCs w:val="22"/>
        </w:rPr>
        <w:t>y</w:t>
      </w:r>
      <w:r w:rsidRPr="009F19BD">
        <w:rPr>
          <w:rFonts w:ascii="Times New Roman" w:hAnsi="Times New Roman"/>
          <w:sz w:val="22"/>
          <w:szCs w:val="22"/>
        </w:rPr>
        <w:t xml:space="preserve"> is year, </w:t>
      </w:r>
      <w:r w:rsidRPr="009F19BD">
        <w:rPr>
          <w:rFonts w:ascii="Times New Roman" w:hAnsi="Times New Roman"/>
          <w:i/>
          <w:sz w:val="22"/>
          <w:szCs w:val="22"/>
        </w:rPr>
        <w:t>p</w:t>
      </w:r>
      <w:r w:rsidRPr="009F19BD">
        <w:rPr>
          <w:rFonts w:ascii="Times New Roman" w:hAnsi="Times New Roman"/>
          <w:sz w:val="22"/>
          <w:szCs w:val="22"/>
        </w:rPr>
        <w:t xml:space="preserve"> is process (technology), </w:t>
      </w:r>
      <w:r w:rsidRPr="009F19BD">
        <w:rPr>
          <w:rFonts w:ascii="Times New Roman" w:hAnsi="Times New Roman"/>
          <w:i/>
          <w:sz w:val="22"/>
          <w:szCs w:val="22"/>
        </w:rPr>
        <w:t>c</w:t>
      </w:r>
      <w:r w:rsidRPr="009F19BD">
        <w:rPr>
          <w:rFonts w:ascii="Times New Roman" w:hAnsi="Times New Roman"/>
          <w:sz w:val="22"/>
          <w:szCs w:val="22"/>
        </w:rPr>
        <w:t xml:space="preserve"> is energy commodity, and </w:t>
      </w:r>
      <w:proofErr w:type="spellStart"/>
      <w:r w:rsidRPr="009F19BD">
        <w:rPr>
          <w:rFonts w:ascii="Times New Roman" w:hAnsi="Times New Roman"/>
          <w:i/>
          <w:sz w:val="22"/>
          <w:szCs w:val="22"/>
        </w:rPr>
        <w:t>ts</w:t>
      </w:r>
      <w:proofErr w:type="spellEnd"/>
      <w:r w:rsidRPr="009F19BD">
        <w:rPr>
          <w:rFonts w:ascii="Times New Roman" w:hAnsi="Times New Roman"/>
          <w:sz w:val="22"/>
          <w:szCs w:val="22"/>
        </w:rPr>
        <w:t xml:space="preserve"> is time segment.</w:t>
      </w:r>
    </w:p>
    <w:p w14:paraId="6E560640" w14:textId="77777777" w:rsidR="008903F7" w:rsidRPr="009F19BD" w:rsidRDefault="008903F7" w:rsidP="008903F7">
      <w:pPr>
        <w:pStyle w:val="Normalsingle"/>
        <w:ind w:left="720"/>
        <w:rPr>
          <w:rFonts w:ascii="Times New Roman" w:hAnsi="Times New Roman"/>
          <w:sz w:val="22"/>
          <w:szCs w:val="22"/>
        </w:rPr>
      </w:pPr>
    </w:p>
    <w:p w14:paraId="753AB7E3" w14:textId="77777777" w:rsidR="008903F7" w:rsidRPr="009F19BD" w:rsidRDefault="008903F7" w:rsidP="0A113E58">
      <w:pPr>
        <w:pStyle w:val="Normalsingle"/>
        <w:numPr>
          <w:ilvl w:val="0"/>
          <w:numId w:val="8"/>
        </w:numPr>
        <w:rPr>
          <w:rFonts w:ascii="Times New Roman" w:hAnsi="Times New Roman"/>
          <w:sz w:val="22"/>
          <w:szCs w:val="22"/>
        </w:rPr>
      </w:pPr>
      <w:r w:rsidRPr="009F19BD">
        <w:rPr>
          <w:rFonts w:ascii="Times New Roman" w:hAnsi="Times New Roman"/>
          <w:sz w:val="22"/>
          <w:szCs w:val="22"/>
        </w:rPr>
        <w:t>Commodity balance (</w:t>
      </w:r>
      <w:r w:rsidRPr="009F19BD">
        <w:rPr>
          <w:rFonts w:ascii="Times New Roman" w:hAnsi="Times New Roman"/>
          <w:sz w:val="22"/>
          <w:szCs w:val="22"/>
          <w:lang w:val="de-DE"/>
        </w:rPr>
        <w:t xml:space="preserve">EQ(l)_COMBAL). This equation ensures that </w:t>
      </w:r>
      <w:r w:rsidRPr="009F19BD">
        <w:rPr>
          <w:rFonts w:ascii="Times New Roman" w:hAnsi="Times New Roman"/>
          <w:sz w:val="22"/>
          <w:szCs w:val="22"/>
        </w:rPr>
        <w:t xml:space="preserve">the production of a commodity is equal to it consumption, to balance commodity markets. </w:t>
      </w:r>
    </w:p>
    <w:p w14:paraId="68AD7C5E" w14:textId="77777777" w:rsidR="008903F7" w:rsidRPr="009F19BD" w:rsidRDefault="008903F7" w:rsidP="008903F7">
      <w:pPr>
        <w:pStyle w:val="Normalsingle"/>
        <w:ind w:left="709"/>
        <w:rPr>
          <w:rFonts w:ascii="Times New Roman" w:hAnsi="Times New Roman"/>
          <w:sz w:val="22"/>
          <w:szCs w:val="22"/>
        </w:rPr>
      </w:pPr>
      <w:r w:rsidRPr="009F19BD">
        <w:rPr>
          <w:rFonts w:ascii="Times New Roman" w:hAnsi="Times New Roman"/>
          <w:noProof/>
          <w:sz w:val="22"/>
          <w:szCs w:val="22"/>
        </w:rPr>
        <w:object w:dxaOrig="6990" w:dyaOrig="540" w14:anchorId="0383D447">
          <v:shape id="_x0000_i1026" type="#_x0000_t75" style="width:352.8pt;height:28.8pt" o:ole="">
            <v:imagedata r:id="rId38" o:title=""/>
          </v:shape>
          <o:OLEObject Type="Embed" ProgID="Equation.3" ShapeID="_x0000_i1026" DrawAspect="Content" ObjectID="_1701791421" r:id="rId39"/>
        </w:object>
      </w:r>
    </w:p>
    <w:p w14:paraId="62891A8E" w14:textId="77777777" w:rsidR="008903F7" w:rsidRPr="009F19BD" w:rsidRDefault="008903F7" w:rsidP="008903F7">
      <w:pPr>
        <w:pStyle w:val="Normalsingle"/>
        <w:ind w:left="720"/>
        <w:rPr>
          <w:rFonts w:ascii="Times New Roman" w:hAnsi="Times New Roman"/>
          <w:sz w:val="22"/>
          <w:szCs w:val="22"/>
        </w:rPr>
      </w:pPr>
    </w:p>
    <w:p w14:paraId="40CCB5D1" w14:textId="77777777" w:rsidR="008903F7" w:rsidRPr="009F19BD" w:rsidRDefault="008903F7" w:rsidP="0A113E58">
      <w:pPr>
        <w:pStyle w:val="Normalsingle"/>
        <w:numPr>
          <w:ilvl w:val="0"/>
          <w:numId w:val="8"/>
        </w:numPr>
        <w:rPr>
          <w:rFonts w:ascii="Times New Roman" w:hAnsi="Times New Roman"/>
          <w:sz w:val="22"/>
          <w:szCs w:val="22"/>
        </w:rPr>
      </w:pPr>
      <w:r w:rsidRPr="009F19BD">
        <w:rPr>
          <w:rFonts w:ascii="Times New Roman" w:hAnsi="Times New Roman"/>
          <w:sz w:val="22"/>
          <w:szCs w:val="22"/>
          <w:lang w:val="de-DE"/>
        </w:rPr>
        <w:t xml:space="preserve">Transformation equation (EQ_PTRANS). </w:t>
      </w:r>
      <w:r w:rsidRPr="009F19BD">
        <w:rPr>
          <w:rFonts w:ascii="Times New Roman" w:hAnsi="Times New Roman"/>
          <w:sz w:val="22"/>
          <w:szCs w:val="22"/>
        </w:rPr>
        <w:t xml:space="preserve">This establishes the relationship between an input commodity to a technology and an output commodity </w:t>
      </w:r>
      <w:proofErr w:type="gramStart"/>
      <w:r w:rsidRPr="009F19BD">
        <w:rPr>
          <w:rFonts w:ascii="Times New Roman" w:hAnsi="Times New Roman"/>
          <w:sz w:val="22"/>
          <w:szCs w:val="22"/>
        </w:rPr>
        <w:t>e.g.</w:t>
      </w:r>
      <w:proofErr w:type="gramEnd"/>
      <w:r w:rsidRPr="009F19BD">
        <w:rPr>
          <w:rFonts w:ascii="Times New Roman" w:hAnsi="Times New Roman"/>
          <w:sz w:val="22"/>
          <w:szCs w:val="22"/>
        </w:rPr>
        <w:t xml:space="preserve"> technology efficiency</w:t>
      </w:r>
    </w:p>
    <w:p w14:paraId="0867F2EA" w14:textId="77777777" w:rsidR="008903F7" w:rsidRPr="009F19BD" w:rsidRDefault="008903F7" w:rsidP="008903F7">
      <w:pPr>
        <w:pStyle w:val="Normalsingle"/>
        <w:ind w:left="709"/>
        <w:rPr>
          <w:rFonts w:ascii="Times New Roman" w:hAnsi="Times New Roman"/>
          <w:sz w:val="22"/>
          <w:szCs w:val="22"/>
        </w:rPr>
      </w:pPr>
      <w:r w:rsidRPr="009F19BD">
        <w:rPr>
          <w:rFonts w:ascii="Times New Roman" w:hAnsi="Times New Roman"/>
          <w:noProof/>
          <w:sz w:val="22"/>
          <w:szCs w:val="22"/>
        </w:rPr>
        <w:object w:dxaOrig="3525" w:dyaOrig="360" w14:anchorId="73735785">
          <v:shape id="_x0000_i1027" type="#_x0000_t75" style="width:172.8pt;height:21.6pt" o:ole="">
            <v:imagedata r:id="rId40" o:title=""/>
          </v:shape>
          <o:OLEObject Type="Embed" ProgID="Equation.3" ShapeID="_x0000_i1027" DrawAspect="Content" ObjectID="_1701791422" r:id="rId41"/>
        </w:object>
      </w:r>
    </w:p>
    <w:p w14:paraId="16DEA246" w14:textId="77777777" w:rsidR="008903F7" w:rsidRPr="009F19BD" w:rsidRDefault="008903F7" w:rsidP="008903F7">
      <w:pPr>
        <w:pStyle w:val="Normalsingle"/>
        <w:rPr>
          <w:rFonts w:ascii="Times New Roman" w:hAnsi="Times New Roman"/>
          <w:sz w:val="22"/>
          <w:szCs w:val="22"/>
        </w:rPr>
      </w:pPr>
    </w:p>
    <w:p w14:paraId="760411CC" w14:textId="77777777" w:rsidR="008903F7" w:rsidRPr="009F19BD" w:rsidRDefault="008903F7" w:rsidP="008903F7">
      <w:pPr>
        <w:pStyle w:val="Normalsingle"/>
        <w:ind w:left="709" w:firstLine="11"/>
        <w:rPr>
          <w:rFonts w:ascii="Times New Roman" w:hAnsi="Times New Roman"/>
          <w:sz w:val="22"/>
          <w:szCs w:val="22"/>
        </w:rPr>
      </w:pPr>
      <w:r w:rsidRPr="009F19BD">
        <w:rPr>
          <w:rFonts w:ascii="Times New Roman" w:hAnsi="Times New Roman"/>
          <w:sz w:val="22"/>
          <w:szCs w:val="22"/>
        </w:rPr>
        <w:t xml:space="preserve">Where ɳ is the efficiency factor, and </w:t>
      </w:r>
      <w:proofErr w:type="spellStart"/>
      <w:r w:rsidRPr="009F19BD">
        <w:rPr>
          <w:rFonts w:ascii="Times New Roman" w:hAnsi="Times New Roman"/>
          <w:i/>
          <w:sz w:val="22"/>
          <w:szCs w:val="22"/>
        </w:rPr>
        <w:t>FLO</w:t>
      </w:r>
      <w:r w:rsidRPr="009F19BD">
        <w:rPr>
          <w:rFonts w:ascii="Times New Roman" w:hAnsi="Times New Roman"/>
          <w:i/>
          <w:sz w:val="22"/>
          <w:szCs w:val="22"/>
          <w:vertAlign w:val="subscript"/>
        </w:rPr>
        <w:t>cin</w:t>
      </w:r>
      <w:proofErr w:type="spellEnd"/>
      <w:r w:rsidRPr="009F19BD">
        <w:rPr>
          <w:rFonts w:ascii="Times New Roman" w:hAnsi="Times New Roman"/>
          <w:sz w:val="22"/>
          <w:szCs w:val="22"/>
        </w:rPr>
        <w:t xml:space="preserve"> and </w:t>
      </w:r>
      <w:proofErr w:type="spellStart"/>
      <w:r w:rsidRPr="009F19BD">
        <w:rPr>
          <w:rFonts w:ascii="Times New Roman" w:hAnsi="Times New Roman"/>
          <w:i/>
          <w:sz w:val="22"/>
          <w:szCs w:val="22"/>
        </w:rPr>
        <w:t>FLO</w:t>
      </w:r>
      <w:r w:rsidRPr="009F19BD">
        <w:rPr>
          <w:rFonts w:ascii="Times New Roman" w:hAnsi="Times New Roman"/>
          <w:i/>
          <w:sz w:val="22"/>
          <w:szCs w:val="22"/>
          <w:vertAlign w:val="subscript"/>
        </w:rPr>
        <w:t>cout</w:t>
      </w:r>
      <w:proofErr w:type="spellEnd"/>
      <w:r w:rsidRPr="009F19BD">
        <w:rPr>
          <w:rFonts w:ascii="Times New Roman" w:hAnsi="Times New Roman"/>
          <w:sz w:val="22"/>
          <w:szCs w:val="22"/>
        </w:rPr>
        <w:t xml:space="preserve"> represent the input and output commodities of a technology.</w:t>
      </w:r>
    </w:p>
    <w:p w14:paraId="152BAC0F" w14:textId="77777777" w:rsidR="008903F7" w:rsidRPr="009F19BD" w:rsidRDefault="008903F7" w:rsidP="008903F7">
      <w:pPr>
        <w:pStyle w:val="Normalsingle"/>
        <w:rPr>
          <w:rFonts w:ascii="Times New Roman" w:hAnsi="Times New Roman"/>
          <w:sz w:val="22"/>
          <w:szCs w:val="22"/>
        </w:rPr>
      </w:pPr>
    </w:p>
    <w:p w14:paraId="4774731F" w14:textId="77777777" w:rsidR="008903F7" w:rsidRPr="009F19BD" w:rsidRDefault="008903F7" w:rsidP="0A113E58">
      <w:pPr>
        <w:pStyle w:val="Normalsingle"/>
        <w:numPr>
          <w:ilvl w:val="0"/>
          <w:numId w:val="8"/>
        </w:numPr>
        <w:rPr>
          <w:rFonts w:ascii="Times New Roman" w:hAnsi="Times New Roman"/>
          <w:sz w:val="22"/>
          <w:szCs w:val="22"/>
        </w:rPr>
      </w:pPr>
      <w:r w:rsidRPr="009F19BD">
        <w:rPr>
          <w:rFonts w:ascii="Times New Roman" w:hAnsi="Times New Roman"/>
          <w:sz w:val="22"/>
          <w:szCs w:val="22"/>
          <w:lang w:val="de-DE"/>
        </w:rPr>
        <w:lastRenderedPageBreak/>
        <w:t xml:space="preserve">Product allocation constraint (EQ(l)_INSHR/OUTSHR). </w:t>
      </w:r>
      <w:r w:rsidRPr="009F19BD">
        <w:rPr>
          <w:rFonts w:ascii="Times New Roman" w:hAnsi="Times New Roman"/>
          <w:sz w:val="22"/>
          <w:szCs w:val="22"/>
        </w:rPr>
        <w:t>Allows for the control of different commodity shares, where there are more than one input or output commodities into a technology.</w:t>
      </w:r>
    </w:p>
    <w:p w14:paraId="59714487" w14:textId="77777777" w:rsidR="008903F7" w:rsidRPr="009F19BD" w:rsidRDefault="008903F7" w:rsidP="008903F7">
      <w:pPr>
        <w:pStyle w:val="Normalsingle"/>
        <w:ind w:left="709" w:firstLine="11"/>
        <w:rPr>
          <w:rFonts w:ascii="Times New Roman" w:hAnsi="Times New Roman"/>
          <w:sz w:val="22"/>
          <w:szCs w:val="22"/>
        </w:rPr>
      </w:pPr>
      <w:r w:rsidRPr="009F19BD">
        <w:rPr>
          <w:rFonts w:ascii="Times New Roman" w:hAnsi="Times New Roman"/>
          <w:noProof/>
          <w:sz w:val="22"/>
          <w:szCs w:val="22"/>
        </w:rPr>
        <w:object w:dxaOrig="3795" w:dyaOrig="915" w14:anchorId="2AF17E35">
          <v:shape id="_x0000_i1028" type="#_x0000_t75" style="width:187.2pt;height:43.8pt" o:ole="">
            <v:imagedata r:id="rId42" o:title=""/>
          </v:shape>
          <o:OLEObject Type="Embed" ProgID="Equation.3" ShapeID="_x0000_i1028" DrawAspect="Content" ObjectID="_1701791423" r:id="rId43"/>
        </w:object>
      </w:r>
    </w:p>
    <w:p w14:paraId="695EC7D5" w14:textId="77777777" w:rsidR="008903F7" w:rsidRPr="009F19BD" w:rsidRDefault="008903F7" w:rsidP="008903F7">
      <w:pPr>
        <w:pStyle w:val="Normalsingle"/>
        <w:ind w:left="709" w:firstLine="11"/>
        <w:rPr>
          <w:rFonts w:ascii="Times New Roman" w:hAnsi="Times New Roman"/>
          <w:sz w:val="22"/>
          <w:szCs w:val="22"/>
        </w:rPr>
      </w:pPr>
      <w:r w:rsidRPr="009F19BD">
        <w:rPr>
          <w:rFonts w:ascii="Times New Roman" w:hAnsi="Times New Roman"/>
          <w:sz w:val="22"/>
          <w:szCs w:val="22"/>
        </w:rPr>
        <w:t xml:space="preserve">Where </w:t>
      </w:r>
      <w:proofErr w:type="spellStart"/>
      <w:r w:rsidRPr="009F19BD">
        <w:rPr>
          <w:rFonts w:ascii="Times New Roman" w:hAnsi="Times New Roman"/>
          <w:i/>
          <w:sz w:val="22"/>
          <w:szCs w:val="22"/>
        </w:rPr>
        <w:t>floshar</w:t>
      </w:r>
      <w:proofErr w:type="spellEnd"/>
      <w:r w:rsidRPr="009F19BD">
        <w:rPr>
          <w:rFonts w:ascii="Times New Roman" w:hAnsi="Times New Roman"/>
          <w:sz w:val="22"/>
          <w:szCs w:val="22"/>
        </w:rPr>
        <w:t xml:space="preserve"> defines the share of the single commodity (numerator) over the sum of commodities (denominator), or commodity group (index </w:t>
      </w:r>
      <w:r w:rsidRPr="009F19BD">
        <w:rPr>
          <w:rFonts w:ascii="Times New Roman" w:hAnsi="Times New Roman"/>
          <w:i/>
          <w:sz w:val="22"/>
          <w:szCs w:val="22"/>
        </w:rPr>
        <w:t>cg</w:t>
      </w:r>
      <w:r w:rsidRPr="009F19BD">
        <w:rPr>
          <w:rFonts w:ascii="Times New Roman" w:hAnsi="Times New Roman"/>
          <w:sz w:val="22"/>
          <w:szCs w:val="22"/>
        </w:rPr>
        <w:t xml:space="preserve">). </w:t>
      </w:r>
    </w:p>
    <w:p w14:paraId="74251995" w14:textId="77777777" w:rsidR="008903F7" w:rsidRPr="009F19BD" w:rsidRDefault="008903F7" w:rsidP="008903F7">
      <w:pPr>
        <w:pStyle w:val="Normalsingle"/>
        <w:rPr>
          <w:rFonts w:ascii="Times New Roman" w:hAnsi="Times New Roman"/>
          <w:sz w:val="22"/>
          <w:szCs w:val="22"/>
        </w:rPr>
      </w:pPr>
    </w:p>
    <w:p w14:paraId="4E5355D9" w14:textId="77777777" w:rsidR="008903F7" w:rsidRPr="009F19BD" w:rsidRDefault="008903F7" w:rsidP="0A113E58">
      <w:pPr>
        <w:pStyle w:val="Normalsingle"/>
        <w:numPr>
          <w:ilvl w:val="0"/>
          <w:numId w:val="8"/>
        </w:numPr>
        <w:rPr>
          <w:rFonts w:ascii="Times New Roman" w:hAnsi="Times New Roman"/>
          <w:sz w:val="22"/>
          <w:szCs w:val="22"/>
        </w:rPr>
      </w:pPr>
      <w:r w:rsidRPr="009F19BD">
        <w:rPr>
          <w:rFonts w:ascii="Times New Roman" w:hAnsi="Times New Roman"/>
          <w:sz w:val="22"/>
          <w:szCs w:val="22"/>
        </w:rPr>
        <w:t>Activity definition (</w:t>
      </w:r>
      <w:r w:rsidRPr="009F19BD">
        <w:rPr>
          <w:rFonts w:ascii="Times New Roman" w:hAnsi="Times New Roman"/>
          <w:sz w:val="22"/>
          <w:szCs w:val="22"/>
          <w:lang w:val="de-DE"/>
        </w:rPr>
        <w:t>EQ_ACTFLO</w:t>
      </w:r>
      <w:r w:rsidRPr="009F19BD">
        <w:rPr>
          <w:rFonts w:ascii="Times New Roman" w:hAnsi="Times New Roman"/>
          <w:sz w:val="22"/>
          <w:szCs w:val="22"/>
        </w:rPr>
        <w:t>). Activity of a technology is a function of the commodity flow, either of inputs but more typically outputs.</w:t>
      </w:r>
    </w:p>
    <w:p w14:paraId="6E11553F" w14:textId="77777777" w:rsidR="008903F7" w:rsidRPr="009F19BD" w:rsidRDefault="008903F7" w:rsidP="008903F7">
      <w:pPr>
        <w:pStyle w:val="Normalsingle"/>
        <w:ind w:left="709"/>
        <w:rPr>
          <w:rFonts w:ascii="Times New Roman" w:hAnsi="Times New Roman"/>
          <w:sz w:val="22"/>
          <w:szCs w:val="22"/>
        </w:rPr>
      </w:pPr>
      <w:r w:rsidRPr="009F19BD">
        <w:rPr>
          <w:rFonts w:ascii="Times New Roman" w:hAnsi="Times New Roman"/>
          <w:noProof/>
          <w:sz w:val="22"/>
          <w:szCs w:val="22"/>
        </w:rPr>
        <w:object w:dxaOrig="2010" w:dyaOrig="360" w14:anchorId="0D837885">
          <v:shape id="_x0000_i1029" type="#_x0000_t75" style="width:100.8pt;height:21.6pt" o:ole="">
            <v:imagedata r:id="rId44" o:title=""/>
          </v:shape>
          <o:OLEObject Type="Embed" ProgID="Equation.3" ShapeID="_x0000_i1029" DrawAspect="Content" ObjectID="_1701791424" r:id="rId45"/>
        </w:object>
      </w:r>
    </w:p>
    <w:p w14:paraId="2A0055E9" w14:textId="77777777" w:rsidR="008903F7" w:rsidRPr="009F19BD" w:rsidRDefault="008903F7" w:rsidP="008903F7">
      <w:pPr>
        <w:pStyle w:val="Normalsingle"/>
        <w:ind w:left="720"/>
        <w:rPr>
          <w:rFonts w:ascii="Times New Roman" w:hAnsi="Times New Roman"/>
          <w:sz w:val="22"/>
          <w:szCs w:val="22"/>
        </w:rPr>
      </w:pPr>
    </w:p>
    <w:p w14:paraId="69ECA794" w14:textId="77777777" w:rsidR="008903F7" w:rsidRPr="009F19BD" w:rsidRDefault="008903F7" w:rsidP="0A113E58">
      <w:pPr>
        <w:pStyle w:val="Normalsingle"/>
        <w:numPr>
          <w:ilvl w:val="0"/>
          <w:numId w:val="8"/>
        </w:numPr>
        <w:rPr>
          <w:rFonts w:ascii="Times New Roman" w:hAnsi="Times New Roman"/>
          <w:sz w:val="22"/>
          <w:szCs w:val="22"/>
        </w:rPr>
      </w:pPr>
      <w:r w:rsidRPr="009F19BD">
        <w:rPr>
          <w:rFonts w:ascii="Times New Roman" w:hAnsi="Times New Roman"/>
          <w:sz w:val="22"/>
          <w:szCs w:val="22"/>
          <w:lang w:val="de-DE"/>
        </w:rPr>
        <w:t xml:space="preserve">Utilization constraint (EQ_CAPACT). </w:t>
      </w:r>
      <w:r w:rsidRPr="009F19BD">
        <w:rPr>
          <w:rFonts w:ascii="Times New Roman" w:hAnsi="Times New Roman"/>
          <w:sz w:val="22"/>
          <w:szCs w:val="22"/>
        </w:rPr>
        <w:t>Ensures that the activity of a technology is a function of its capacity</w:t>
      </w:r>
    </w:p>
    <w:p w14:paraId="36E5D419" w14:textId="77777777" w:rsidR="008903F7" w:rsidRPr="009F19BD" w:rsidRDefault="008903F7" w:rsidP="008903F7">
      <w:pPr>
        <w:ind w:left="709"/>
        <w:rPr>
          <w:rFonts w:ascii="Times New Roman" w:hAnsi="Times New Roman" w:cs="Times New Roman"/>
        </w:rPr>
      </w:pPr>
      <w:r w:rsidRPr="009F19BD">
        <w:rPr>
          <w:rFonts w:ascii="Times New Roman" w:hAnsi="Times New Roman" w:cs="Times New Roman"/>
          <w:noProof/>
        </w:rPr>
        <w:object w:dxaOrig="2325" w:dyaOrig="360" w14:anchorId="07B341D0">
          <v:shape id="_x0000_i1030" type="#_x0000_t75" style="width:115.8pt;height:21.6pt" o:ole="">
            <v:imagedata r:id="rId46" o:title=""/>
          </v:shape>
          <o:OLEObject Type="Embed" ProgID="Equation.3" ShapeID="_x0000_i1030" DrawAspect="Content" ObjectID="_1701791425" r:id="rId47"/>
        </w:object>
      </w:r>
    </w:p>
    <w:p w14:paraId="5AA21CB3" w14:textId="16D59508" w:rsidR="008903F7" w:rsidRPr="009F19BD" w:rsidRDefault="008903F7" w:rsidP="008903F7">
      <w:pPr>
        <w:rPr>
          <w:rFonts w:ascii="Times New Roman" w:hAnsi="Times New Roman" w:cs="Times New Roman"/>
        </w:rPr>
      </w:pPr>
      <w:r w:rsidRPr="009F19BD">
        <w:rPr>
          <w:rFonts w:ascii="Times New Roman" w:hAnsi="Times New Roman" w:cs="Times New Roman"/>
        </w:rPr>
        <w:t>While the above equations constitute the key set used in the linear programme, a full listing can be found in Loulou et al. (2016)</w:t>
      </w:r>
      <w:r w:rsidR="003C7314">
        <w:rPr>
          <w:rStyle w:val="FootnoteReference"/>
          <w:rFonts w:ascii="Times New Roman" w:hAnsi="Times New Roman" w:cs="Times New Roman"/>
        </w:rPr>
        <w:footnoteReference w:id="29"/>
      </w:r>
      <w:r w:rsidRPr="009F19BD">
        <w:rPr>
          <w:rFonts w:ascii="Times New Roman" w:hAnsi="Times New Roman" w:cs="Times New Roman"/>
        </w:rPr>
        <w:fldChar w:fldCharType="begin" w:fldLock="1"/>
      </w:r>
      <w:r w:rsidRPr="009F19BD">
        <w:rPr>
          <w:rFonts w:ascii="Times New Roman" w:hAnsi="Times New Roman" w:cs="Times New Roman"/>
        </w:rPr>
        <w:instrText>ADDIN CSL_CITATION {"citationItems":[{"id":"ITEM-1","itemData":{"author":[{"dropping-particle":"","family":"Loulou","given":"R","non-dropping-particle":"","parse-names":false,"suffix":""},{"dropping-particle":"","family":"Lehtilä","given":"A","non-dropping-particle":"","parse-names":false,"suffix":""},{"dropping-particle":"","family":"Kanudia","given":"A","non-dropping-particle":"","parse-names":false,"suffix":""},{"dropping-particle":"","family":"Remme","given":"U","non-dropping-particle":"","parse-names":false,"suffix":""},{"dropping-particle":"","family":"Goldstein","given":"G","non-dropping-particle":"","parse-names":false,"suffix":""}],"id":"ITEM-1","issued":{"date-parts":[["2016"]]},"publisher-place":"Energy Technology Systems Analysis Programme (ETSAP)","title":"Documentation for the TIMES Model: Part II","type":"report"},"uris":["http://www.mendeley.com/documents/?uuid=ce834485-6a4f-4fc0-bdcf-7cc075de4f07"]}],"mendeley":{"formattedCitation":"&lt;sup&gt;62&lt;/sup&gt;","plainTextFormattedCitation":"62","previouslyFormattedCitation":"&lt;sup&gt;63&lt;/sup&gt;"},"properties":{"noteIndex":0},"schema":"https://github.com/citation-style-language/schema/raw/master/csl-citation.json"}</w:instrText>
      </w:r>
      <w:r w:rsidR="00A872DB">
        <w:rPr>
          <w:rFonts w:ascii="Times New Roman" w:hAnsi="Times New Roman" w:cs="Times New Roman"/>
        </w:rPr>
        <w:fldChar w:fldCharType="separate"/>
      </w:r>
      <w:r w:rsidRPr="009F19BD">
        <w:rPr>
          <w:rFonts w:ascii="Times New Roman" w:hAnsi="Times New Roman" w:cs="Times New Roman"/>
        </w:rPr>
        <w:fldChar w:fldCharType="end"/>
      </w:r>
      <w:r w:rsidRPr="009F19BD">
        <w:rPr>
          <w:rFonts w:ascii="Times New Roman" w:hAnsi="Times New Roman" w:cs="Times New Roman"/>
        </w:rPr>
        <w:t xml:space="preserve">, in Table 24. These include specific equations that bound capacity, </w:t>
      </w:r>
      <w:proofErr w:type="gramStart"/>
      <w:r w:rsidRPr="009F19BD">
        <w:rPr>
          <w:rFonts w:ascii="Times New Roman" w:hAnsi="Times New Roman" w:cs="Times New Roman"/>
        </w:rPr>
        <w:t>activity</w:t>
      </w:r>
      <w:proofErr w:type="gramEnd"/>
      <w:r w:rsidRPr="009F19BD">
        <w:rPr>
          <w:rFonts w:ascii="Times New Roman" w:hAnsi="Times New Roman" w:cs="Times New Roman"/>
        </w:rPr>
        <w:t xml:space="preserve"> and commodity production, set the rules for the operation of storage technologies, or ensures capacity exceeds demand for a selected commodity in a given time period (often used to ensure a peak margin for electricity systems). </w:t>
      </w:r>
    </w:p>
    <w:p w14:paraId="1833DB44" w14:textId="334AF914" w:rsidR="008903F7" w:rsidRPr="009F19BD" w:rsidRDefault="008903F7" w:rsidP="008903F7">
      <w:pPr>
        <w:rPr>
          <w:rFonts w:ascii="Times New Roman" w:hAnsi="Times New Roman" w:cs="Times New Roman"/>
          <w:b/>
        </w:rPr>
      </w:pPr>
      <w:r w:rsidRPr="009F19BD">
        <w:rPr>
          <w:rFonts w:ascii="Times New Roman" w:hAnsi="Times New Roman" w:cs="Times New Roman"/>
        </w:rPr>
        <w:t xml:space="preserve">User defined equations can also be built to provide more control over the model operation. Most are built using the standard LHS form, where the </w:t>
      </w:r>
      <w:proofErr w:type="gramStart"/>
      <w:r w:rsidRPr="009F19BD">
        <w:rPr>
          <w:rFonts w:ascii="Times New Roman" w:hAnsi="Times New Roman" w:cs="Times New Roman"/>
        </w:rPr>
        <w:t>left hand</w:t>
      </w:r>
      <w:proofErr w:type="gramEnd"/>
      <w:r w:rsidRPr="009F19BD">
        <w:rPr>
          <w:rFonts w:ascii="Times New Roman" w:hAnsi="Times New Roman" w:cs="Times New Roman"/>
        </w:rPr>
        <w:t xml:space="preserve"> side of the equation includes the variables to be controlled, while the right hand side (RHS) set the rule e.g. must be greater than 10% of total generation (share) or less than 50 GW capacity (absolute). Other user constraints are more dynamic in nature </w:t>
      </w:r>
      <w:proofErr w:type="gramStart"/>
      <w:r w:rsidRPr="009F19BD">
        <w:rPr>
          <w:rFonts w:ascii="Times New Roman" w:hAnsi="Times New Roman" w:cs="Times New Roman"/>
        </w:rPr>
        <w:t>e.g.</w:t>
      </w:r>
      <w:proofErr w:type="gramEnd"/>
      <w:r w:rsidRPr="009F19BD">
        <w:rPr>
          <w:rFonts w:ascii="Times New Roman" w:hAnsi="Times New Roman" w:cs="Times New Roman"/>
        </w:rPr>
        <w:t xml:space="preserve"> growth constraints that set % changes on the preceding period levels. </w:t>
      </w:r>
    </w:p>
    <w:p w14:paraId="168C72C6" w14:textId="5FC0FB6E" w:rsidR="00542876" w:rsidRPr="00DD5E34" w:rsidRDefault="00542876" w:rsidP="00542876">
      <w:pPr>
        <w:rPr>
          <w:rFonts w:ascii="Times New Roman" w:hAnsi="Times New Roman" w:cs="Times New Roman"/>
        </w:rPr>
      </w:pPr>
    </w:p>
    <w:p w14:paraId="5414F411" w14:textId="77777777" w:rsidR="00AA1EC6" w:rsidRPr="009F19BD" w:rsidRDefault="00AA1EC6" w:rsidP="00542876">
      <w:pPr>
        <w:rPr>
          <w:rFonts w:ascii="Times New Roman" w:hAnsi="Times New Roman" w:cs="Times New Roman"/>
          <w:b/>
          <w:bCs/>
        </w:rPr>
      </w:pPr>
    </w:p>
    <w:p w14:paraId="0D01B551" w14:textId="77777777" w:rsidR="00542876" w:rsidRPr="009F19BD" w:rsidRDefault="00542876" w:rsidP="00542876">
      <w:pPr>
        <w:rPr>
          <w:rFonts w:ascii="Times New Roman" w:hAnsi="Times New Roman" w:cs="Times New Roman"/>
        </w:rPr>
      </w:pPr>
    </w:p>
    <w:sectPr w:rsidR="00542876" w:rsidRPr="009F19B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A28AE" w14:textId="77777777" w:rsidR="00377CFD" w:rsidRDefault="00377CFD" w:rsidP="00377CFD">
      <w:pPr>
        <w:spacing w:after="0" w:line="240" w:lineRule="auto"/>
      </w:pPr>
      <w:r>
        <w:separator/>
      </w:r>
    </w:p>
  </w:endnote>
  <w:endnote w:type="continuationSeparator" w:id="0">
    <w:p w14:paraId="4C4AF4A2" w14:textId="77777777" w:rsidR="00377CFD" w:rsidRDefault="00377CFD" w:rsidP="00377C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00000003" w:usb1="00000000" w:usb2="00000000" w:usb3="00000000" w:csb0="00000001"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NeueLT Pro 95 Blk">
    <w:altName w:val="Arial"/>
    <w:panose1 w:val="00000000000000000000"/>
    <w:charset w:val="00"/>
    <w:family w:val="swiss"/>
    <w:notTrueType/>
    <w:pitch w:val="variable"/>
    <w:sig w:usb0="800000AF" w:usb1="5000205B" w:usb2="00000000" w:usb3="00000000" w:csb0="0000009B" w:csb1="00000000"/>
  </w:font>
  <w:font w:name="HelveticaNeueLT Pro 45 Lt">
    <w:altName w:val="Arial"/>
    <w:panose1 w:val="00000000000000000000"/>
    <w:charset w:val="00"/>
    <w:family w:val="swiss"/>
    <w:notTrueType/>
    <w:pitch w:val="variable"/>
    <w:sig w:usb0="800000AF" w:usb1="5000205B" w:usb2="00000000" w:usb3="00000000" w:csb0="0000009B" w:csb1="00000000"/>
  </w:font>
  <w:font w:name="Arial Narrow">
    <w:panose1 w:val="020B0606020202030204"/>
    <w:charset w:val="00"/>
    <w:family w:val="swiss"/>
    <w:pitch w:val="variable"/>
    <w:sig w:usb0="00000287" w:usb1="00000800" w:usb2="00000000" w:usb3="00000000" w:csb0="0000009F" w:csb1="00000000"/>
  </w:font>
  <w:font w:name="HelveticaNeueLT Pro 65 Md">
    <w:altName w:val="Arial"/>
    <w:panose1 w:val="00000000000000000000"/>
    <w:charset w:val="00"/>
    <w:family w:val="swiss"/>
    <w:notTrueType/>
    <w:pitch w:val="variable"/>
    <w:sig w:usb0="800000AF" w:usb1="5000205B" w:usb2="00000000" w:usb3="00000000" w:csb0="0000009B" w:csb1="00000000"/>
  </w:font>
  <w:font w:name="Helvetica Neue">
    <w:altName w:val="Sylfaen"/>
    <w:charset w:val="00"/>
    <w:family w:val="auto"/>
    <w:pitch w:val="variable"/>
    <w:sig w:usb0="E50002FF" w:usb1="500079DB" w:usb2="0000001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55D5DA" w14:textId="77777777" w:rsidR="00377CFD" w:rsidRDefault="00377CFD" w:rsidP="00377CFD">
      <w:pPr>
        <w:spacing w:after="0" w:line="240" w:lineRule="auto"/>
      </w:pPr>
      <w:r>
        <w:separator/>
      </w:r>
    </w:p>
  </w:footnote>
  <w:footnote w:type="continuationSeparator" w:id="0">
    <w:p w14:paraId="0BD98B75" w14:textId="77777777" w:rsidR="00377CFD" w:rsidRDefault="00377CFD" w:rsidP="00377CFD">
      <w:pPr>
        <w:spacing w:after="0" w:line="240" w:lineRule="auto"/>
      </w:pPr>
      <w:r>
        <w:continuationSeparator/>
      </w:r>
    </w:p>
  </w:footnote>
  <w:footnote w:id="1">
    <w:p w14:paraId="499B8A9F" w14:textId="7AA72D0B" w:rsidR="00377CFD" w:rsidRPr="00A872DB" w:rsidRDefault="00377CFD" w:rsidP="00377CFD">
      <w:pPr>
        <w:pStyle w:val="NormalWeb"/>
        <w:spacing w:before="0" w:beforeAutospacing="0" w:after="0" w:afterAutospacing="0"/>
        <w:rPr>
          <w:sz w:val="20"/>
          <w:szCs w:val="20"/>
        </w:rPr>
      </w:pPr>
      <w:r w:rsidRPr="00A872DB">
        <w:rPr>
          <w:rStyle w:val="FootnoteReference"/>
          <w:sz w:val="20"/>
          <w:szCs w:val="20"/>
        </w:rPr>
        <w:footnoteRef/>
      </w:r>
      <w:r w:rsidRPr="00A872DB">
        <w:rPr>
          <w:sz w:val="20"/>
          <w:szCs w:val="20"/>
        </w:rPr>
        <w:t xml:space="preserve"> </w:t>
      </w:r>
      <w:r w:rsidRPr="00A872DB">
        <w:rPr>
          <w:color w:val="000000"/>
          <w:sz w:val="20"/>
          <w:szCs w:val="20"/>
          <w:shd w:val="clear" w:color="auto" w:fill="FFFFFF"/>
        </w:rPr>
        <w:t xml:space="preserve">Welsby D. et al. Unextractable fossil fuels in a 1.5 °C world. </w:t>
      </w:r>
      <w:r w:rsidRPr="00A872DB">
        <w:rPr>
          <w:i/>
          <w:iCs/>
          <w:color w:val="000000"/>
          <w:sz w:val="20"/>
          <w:szCs w:val="20"/>
        </w:rPr>
        <w:t>Nature</w:t>
      </w:r>
      <w:r w:rsidRPr="00A872DB">
        <w:rPr>
          <w:color w:val="000000"/>
          <w:sz w:val="20"/>
          <w:szCs w:val="20"/>
        </w:rPr>
        <w:t xml:space="preserve"> </w:t>
      </w:r>
      <w:r w:rsidRPr="00A872DB">
        <w:rPr>
          <w:b/>
          <w:bCs/>
          <w:color w:val="000000"/>
          <w:sz w:val="20"/>
          <w:szCs w:val="20"/>
        </w:rPr>
        <w:t>597</w:t>
      </w:r>
      <w:r w:rsidRPr="00A872DB">
        <w:rPr>
          <w:color w:val="000000"/>
          <w:sz w:val="20"/>
          <w:szCs w:val="20"/>
        </w:rPr>
        <w:t>, 230–234 (2021).</w:t>
      </w:r>
    </w:p>
  </w:footnote>
  <w:footnote w:id="2">
    <w:p w14:paraId="77611958" w14:textId="7318963C" w:rsidR="00377CFD" w:rsidRPr="00A872DB" w:rsidRDefault="00377CFD">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t>
      </w:r>
      <w:proofErr w:type="spellStart"/>
      <w:r w:rsidRPr="00A872DB">
        <w:rPr>
          <w:rFonts w:ascii="Times New Roman" w:hAnsi="Times New Roman" w:cs="Times New Roman"/>
        </w:rPr>
        <w:t>Riahi</w:t>
      </w:r>
      <w:proofErr w:type="spellEnd"/>
      <w:r w:rsidRPr="00A872DB">
        <w:rPr>
          <w:rFonts w:ascii="Times New Roman" w:hAnsi="Times New Roman" w:cs="Times New Roman"/>
        </w:rPr>
        <w:t xml:space="preserve">, K. et al. The Shared Socioeconomic Pathways and their energy, land use, and greenhouse gas emissions implications: An overview. </w:t>
      </w:r>
      <w:r w:rsidRPr="00A872DB">
        <w:rPr>
          <w:rFonts w:ascii="Times New Roman" w:hAnsi="Times New Roman" w:cs="Times New Roman"/>
          <w:i/>
          <w:iCs/>
        </w:rPr>
        <w:t>Glob. Environ. Chang</w:t>
      </w:r>
      <w:r w:rsidRPr="00A872DB">
        <w:rPr>
          <w:rFonts w:ascii="Times New Roman" w:hAnsi="Times New Roman" w:cs="Times New Roman"/>
        </w:rPr>
        <w:t xml:space="preserve">. </w:t>
      </w:r>
      <w:r w:rsidRPr="00A872DB">
        <w:rPr>
          <w:rFonts w:ascii="Times New Roman" w:hAnsi="Times New Roman" w:cs="Times New Roman"/>
          <w:b/>
          <w:bCs/>
        </w:rPr>
        <w:t>42</w:t>
      </w:r>
      <w:r w:rsidRPr="00A872DB">
        <w:rPr>
          <w:rFonts w:ascii="Times New Roman" w:hAnsi="Times New Roman" w:cs="Times New Roman"/>
        </w:rPr>
        <w:t>, 153–168 (2017).</w:t>
      </w:r>
    </w:p>
  </w:footnote>
  <w:footnote w:id="3">
    <w:p w14:paraId="71129F8D" w14:textId="10A62678" w:rsidR="00B82774" w:rsidRPr="00A872DB" w:rsidRDefault="00B8277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t>
      </w:r>
      <w:proofErr w:type="spellStart"/>
      <w:r w:rsidRPr="00A872DB">
        <w:rPr>
          <w:rFonts w:ascii="Times New Roman" w:hAnsi="Times New Roman" w:cs="Times New Roman"/>
        </w:rPr>
        <w:t>Daioglou</w:t>
      </w:r>
      <w:proofErr w:type="spellEnd"/>
      <w:r w:rsidRPr="00A872DB">
        <w:rPr>
          <w:rFonts w:ascii="Times New Roman" w:hAnsi="Times New Roman" w:cs="Times New Roman"/>
        </w:rPr>
        <w:t xml:space="preserve">, V., </w:t>
      </w:r>
      <w:proofErr w:type="spellStart"/>
      <w:r w:rsidRPr="00A872DB">
        <w:rPr>
          <w:rFonts w:ascii="Times New Roman" w:hAnsi="Times New Roman" w:cs="Times New Roman"/>
        </w:rPr>
        <w:t>Stehfest</w:t>
      </w:r>
      <w:proofErr w:type="spellEnd"/>
      <w:r w:rsidRPr="00A872DB">
        <w:rPr>
          <w:rFonts w:ascii="Times New Roman" w:hAnsi="Times New Roman" w:cs="Times New Roman"/>
        </w:rPr>
        <w:t xml:space="preserve">, E., </w:t>
      </w:r>
      <w:proofErr w:type="spellStart"/>
      <w:r w:rsidRPr="00A872DB">
        <w:rPr>
          <w:rFonts w:ascii="Times New Roman" w:hAnsi="Times New Roman" w:cs="Times New Roman"/>
        </w:rPr>
        <w:t>Wicke</w:t>
      </w:r>
      <w:proofErr w:type="spellEnd"/>
      <w:r w:rsidRPr="00A872DB">
        <w:rPr>
          <w:rFonts w:ascii="Times New Roman" w:hAnsi="Times New Roman" w:cs="Times New Roman"/>
        </w:rPr>
        <w:t xml:space="preserve">, B., </w:t>
      </w:r>
      <w:proofErr w:type="spellStart"/>
      <w:r w:rsidRPr="00A872DB">
        <w:rPr>
          <w:rFonts w:ascii="Times New Roman" w:hAnsi="Times New Roman" w:cs="Times New Roman"/>
        </w:rPr>
        <w:t>Faaij</w:t>
      </w:r>
      <w:proofErr w:type="spellEnd"/>
      <w:r w:rsidRPr="00A872DB">
        <w:rPr>
          <w:rFonts w:ascii="Times New Roman" w:hAnsi="Times New Roman" w:cs="Times New Roman"/>
        </w:rPr>
        <w:t xml:space="preserve">, A. &amp; van Vuuren, D. P. Projections of the availability and cost of residues from agriculture and forestry. </w:t>
      </w:r>
      <w:r w:rsidRPr="00A872DB">
        <w:rPr>
          <w:rFonts w:ascii="Times New Roman" w:hAnsi="Times New Roman" w:cs="Times New Roman"/>
          <w:i/>
          <w:iCs/>
        </w:rPr>
        <w:t>GCB Bioenergy</w:t>
      </w:r>
      <w:r w:rsidRPr="00A872DB">
        <w:rPr>
          <w:rFonts w:ascii="Times New Roman" w:hAnsi="Times New Roman" w:cs="Times New Roman"/>
        </w:rPr>
        <w:t xml:space="preserve"> </w:t>
      </w:r>
      <w:r w:rsidRPr="00A872DB">
        <w:rPr>
          <w:rFonts w:ascii="Times New Roman" w:hAnsi="Times New Roman" w:cs="Times New Roman"/>
          <w:b/>
          <w:bCs/>
        </w:rPr>
        <w:t>8</w:t>
      </w:r>
      <w:r w:rsidRPr="00A872DB">
        <w:rPr>
          <w:rFonts w:ascii="Times New Roman" w:hAnsi="Times New Roman" w:cs="Times New Roman"/>
        </w:rPr>
        <w:t>, 456–470 (2016).</w:t>
      </w:r>
    </w:p>
  </w:footnote>
  <w:footnote w:id="4">
    <w:p w14:paraId="6A9CB065" w14:textId="020E4859" w:rsidR="00B82774" w:rsidRPr="00A872DB" w:rsidRDefault="00B8277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Ricardo Energy &amp; Environment. Biomass Feedstock Availability, Final Report for BEIS. Ref ED662421043 - Issue Number 3 (2017).</w:t>
      </w:r>
    </w:p>
  </w:footnote>
  <w:footnote w:id="5">
    <w:p w14:paraId="32E050B8" w14:textId="186D5B47" w:rsidR="00B82774" w:rsidRPr="00A872DB" w:rsidRDefault="00B8277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t>
      </w:r>
      <w:proofErr w:type="spellStart"/>
      <w:r w:rsidRPr="00A872DB">
        <w:rPr>
          <w:rFonts w:ascii="Times New Roman" w:hAnsi="Times New Roman" w:cs="Times New Roman"/>
        </w:rPr>
        <w:t>Hoogwijk</w:t>
      </w:r>
      <w:proofErr w:type="spellEnd"/>
      <w:r w:rsidRPr="00A872DB">
        <w:rPr>
          <w:rFonts w:ascii="Times New Roman" w:hAnsi="Times New Roman" w:cs="Times New Roman"/>
        </w:rPr>
        <w:t xml:space="preserve">, M., </w:t>
      </w:r>
      <w:proofErr w:type="spellStart"/>
      <w:r w:rsidRPr="00A872DB">
        <w:rPr>
          <w:rFonts w:ascii="Times New Roman" w:hAnsi="Times New Roman" w:cs="Times New Roman"/>
        </w:rPr>
        <w:t>Faaij</w:t>
      </w:r>
      <w:proofErr w:type="spellEnd"/>
      <w:r w:rsidRPr="00A872DB">
        <w:rPr>
          <w:rFonts w:ascii="Times New Roman" w:hAnsi="Times New Roman" w:cs="Times New Roman"/>
        </w:rPr>
        <w:t xml:space="preserve">, A., de Vries, B. &amp; </w:t>
      </w:r>
      <w:proofErr w:type="spellStart"/>
      <w:r w:rsidRPr="00A872DB">
        <w:rPr>
          <w:rFonts w:ascii="Times New Roman" w:hAnsi="Times New Roman" w:cs="Times New Roman"/>
        </w:rPr>
        <w:t>Turkenburg</w:t>
      </w:r>
      <w:proofErr w:type="spellEnd"/>
      <w:r w:rsidRPr="00A872DB">
        <w:rPr>
          <w:rFonts w:ascii="Times New Roman" w:hAnsi="Times New Roman" w:cs="Times New Roman"/>
        </w:rPr>
        <w:t xml:space="preserve">, W. Exploration of regional and global cost-supply curves of biomass energy from short-rotation crops at abandoned cropland and rest land under four IPCC SRES land-use scenarios. </w:t>
      </w:r>
      <w:r w:rsidRPr="00A872DB">
        <w:rPr>
          <w:rFonts w:ascii="Times New Roman" w:hAnsi="Times New Roman" w:cs="Times New Roman"/>
          <w:i/>
          <w:iCs/>
        </w:rPr>
        <w:t>Biomass and Bioenergy</w:t>
      </w:r>
      <w:r w:rsidRPr="00A872DB">
        <w:rPr>
          <w:rFonts w:ascii="Times New Roman" w:hAnsi="Times New Roman" w:cs="Times New Roman"/>
        </w:rPr>
        <w:t xml:space="preserve"> </w:t>
      </w:r>
      <w:r w:rsidRPr="00A872DB">
        <w:rPr>
          <w:rFonts w:ascii="Times New Roman" w:hAnsi="Times New Roman" w:cs="Times New Roman"/>
          <w:b/>
          <w:bCs/>
        </w:rPr>
        <w:t>33</w:t>
      </w:r>
      <w:r w:rsidRPr="00A872DB">
        <w:rPr>
          <w:rFonts w:ascii="Times New Roman" w:hAnsi="Times New Roman" w:cs="Times New Roman"/>
        </w:rPr>
        <w:t>, 26–43 (2009).</w:t>
      </w:r>
    </w:p>
  </w:footnote>
  <w:footnote w:id="6">
    <w:p w14:paraId="5D8CBE65" w14:textId="5A1886B8" w:rsidR="00B82774" w:rsidRPr="00A872DB" w:rsidRDefault="00B8277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t>
      </w:r>
      <w:proofErr w:type="spellStart"/>
      <w:r w:rsidRPr="00A872DB">
        <w:rPr>
          <w:rFonts w:ascii="Times New Roman" w:hAnsi="Times New Roman" w:cs="Times New Roman"/>
        </w:rPr>
        <w:t>Dodds</w:t>
      </w:r>
      <w:proofErr w:type="spellEnd"/>
      <w:r w:rsidRPr="00A872DB">
        <w:rPr>
          <w:rFonts w:ascii="Times New Roman" w:hAnsi="Times New Roman" w:cs="Times New Roman"/>
        </w:rPr>
        <w:t xml:space="preserve">, P. &amp; McDowall, W. A review of hydrogen production technologies for energy system models. </w:t>
      </w:r>
      <w:hyperlink r:id="rId1" w:history="1">
        <w:r w:rsidRPr="00A872DB">
          <w:rPr>
            <w:rStyle w:val="Hyperlink"/>
            <w:rFonts w:ascii="Times New Roman" w:hAnsi="Times New Roman" w:cs="Times New Roman"/>
          </w:rPr>
          <w:t>https://www.lifestudy.ac.uk/bartlett/energy/research/themes/energy-systems/hydrogen/WP6_Dodds_Production.pdf</w:t>
        </w:r>
      </w:hyperlink>
      <w:r w:rsidRPr="00A872DB">
        <w:rPr>
          <w:rFonts w:ascii="Times New Roman" w:hAnsi="Times New Roman" w:cs="Times New Roman"/>
        </w:rPr>
        <w:t xml:space="preserve">  (2012)</w:t>
      </w:r>
    </w:p>
  </w:footnote>
  <w:footnote w:id="7">
    <w:p w14:paraId="090EEA9C" w14:textId="7D34F9BA" w:rsidR="00B82774" w:rsidRPr="00A872DB" w:rsidRDefault="00B8277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Ekins, P. et al. The role of CCS in meeting climate policy targets. </w:t>
      </w:r>
      <w:hyperlink r:id="rId2" w:history="1">
        <w:r w:rsidRPr="00A872DB">
          <w:rPr>
            <w:rStyle w:val="Hyperlink"/>
            <w:rFonts w:ascii="Times New Roman" w:hAnsi="Times New Roman" w:cs="Times New Roman"/>
          </w:rPr>
          <w:t>https://www.globalccsinstitute.com/resources/publications-reports-research/the-role-of-ccs-in-meeting-climate-policy-targets/</w:t>
        </w:r>
      </w:hyperlink>
      <w:r w:rsidRPr="00A872DB">
        <w:rPr>
          <w:rFonts w:ascii="Times New Roman" w:hAnsi="Times New Roman" w:cs="Times New Roman"/>
        </w:rPr>
        <w:t xml:space="preserve"> (2017).</w:t>
      </w:r>
    </w:p>
  </w:footnote>
  <w:footnote w:id="8">
    <w:p w14:paraId="0B95C6FB" w14:textId="3C2D426C" w:rsidR="00B82774" w:rsidRPr="00A872DB" w:rsidRDefault="00B8277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Rubin, E. S., Davison, J. E. &amp; Herzog, H. J. The cost of CO2 capture and storage. </w:t>
      </w:r>
      <w:r w:rsidRPr="00A872DB">
        <w:rPr>
          <w:rFonts w:ascii="Times New Roman" w:hAnsi="Times New Roman" w:cs="Times New Roman"/>
          <w:i/>
          <w:iCs/>
        </w:rPr>
        <w:t xml:space="preserve">Int. J. </w:t>
      </w:r>
      <w:proofErr w:type="spellStart"/>
      <w:r w:rsidRPr="00A872DB">
        <w:rPr>
          <w:rFonts w:ascii="Times New Roman" w:hAnsi="Times New Roman" w:cs="Times New Roman"/>
          <w:i/>
          <w:iCs/>
        </w:rPr>
        <w:t>Greenh</w:t>
      </w:r>
      <w:proofErr w:type="spellEnd"/>
      <w:r w:rsidRPr="00A872DB">
        <w:rPr>
          <w:rFonts w:ascii="Times New Roman" w:hAnsi="Times New Roman" w:cs="Times New Roman"/>
          <w:i/>
          <w:iCs/>
        </w:rPr>
        <w:t>. Gas Control</w:t>
      </w:r>
      <w:r w:rsidRPr="00A872DB">
        <w:rPr>
          <w:rFonts w:ascii="Times New Roman" w:hAnsi="Times New Roman" w:cs="Times New Roman"/>
        </w:rPr>
        <w:t xml:space="preserve"> </w:t>
      </w:r>
      <w:r w:rsidRPr="00A872DB">
        <w:rPr>
          <w:rFonts w:ascii="Times New Roman" w:hAnsi="Times New Roman" w:cs="Times New Roman"/>
          <w:b/>
          <w:bCs/>
        </w:rPr>
        <w:t>40</w:t>
      </w:r>
      <w:r w:rsidRPr="00A872DB">
        <w:rPr>
          <w:rFonts w:ascii="Times New Roman" w:hAnsi="Times New Roman" w:cs="Times New Roman"/>
        </w:rPr>
        <w:t>, 378–400 (2015).</w:t>
      </w:r>
    </w:p>
  </w:footnote>
  <w:footnote w:id="9">
    <w:p w14:paraId="06599C0C" w14:textId="36272F5B" w:rsidR="00B82774" w:rsidRPr="00A872DB" w:rsidRDefault="00B8277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International Renewable Energy Agency. </w:t>
      </w:r>
      <w:r w:rsidRPr="00A872DB">
        <w:rPr>
          <w:rFonts w:ascii="Times New Roman" w:hAnsi="Times New Roman" w:cs="Times New Roman"/>
          <w:i/>
          <w:iCs/>
        </w:rPr>
        <w:t>Renewable Power Generation Costs in 2017</w:t>
      </w:r>
      <w:r w:rsidRPr="00A872DB">
        <w:rPr>
          <w:rFonts w:ascii="Times New Roman" w:hAnsi="Times New Roman" w:cs="Times New Roman"/>
        </w:rPr>
        <w:t>. (2018). doi:10.1007/SpringerReference_7300.</w:t>
      </w:r>
    </w:p>
  </w:footnote>
  <w:footnote w:id="10">
    <w:p w14:paraId="211ABCF3" w14:textId="16E2F628" w:rsidR="003B0DBA" w:rsidRPr="00A872DB" w:rsidRDefault="003B0DBA">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IEA PVPS. </w:t>
      </w:r>
      <w:r w:rsidRPr="00A872DB">
        <w:rPr>
          <w:rFonts w:ascii="Times New Roman" w:hAnsi="Times New Roman" w:cs="Times New Roman"/>
          <w:i/>
          <w:iCs/>
        </w:rPr>
        <w:t>Trends 2018 in Photovoltaic applications. Survey Report of Selected IEA Countries between 1992 and 2014</w:t>
      </w:r>
      <w:r w:rsidRPr="00A872DB">
        <w:rPr>
          <w:rFonts w:ascii="Times New Roman" w:hAnsi="Times New Roman" w:cs="Times New Roman"/>
        </w:rPr>
        <w:t xml:space="preserve"> </w:t>
      </w:r>
      <w:hyperlink r:id="rId3" w:history="1">
        <w:r w:rsidRPr="00A872DB">
          <w:rPr>
            <w:rStyle w:val="Hyperlink"/>
            <w:rFonts w:ascii="Times New Roman" w:hAnsi="Times New Roman" w:cs="Times New Roman"/>
          </w:rPr>
          <w:t>https://iea-pvps.org/wp-content/uploads/2020/01/2018_iea-pvps_report_2018.pdf</w:t>
        </w:r>
      </w:hyperlink>
      <w:r w:rsidRPr="00A872DB">
        <w:rPr>
          <w:rFonts w:ascii="Times New Roman" w:hAnsi="Times New Roman" w:cs="Times New Roman"/>
        </w:rPr>
        <w:t xml:space="preserve"> (2018).</w:t>
      </w:r>
    </w:p>
  </w:footnote>
  <w:footnote w:id="11">
    <w:p w14:paraId="55EED8AE" w14:textId="5FE66FFF" w:rsidR="003B0DBA" w:rsidRPr="00A872DB" w:rsidRDefault="003B0DBA">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t>
      </w:r>
      <w:proofErr w:type="spellStart"/>
      <w:r w:rsidRPr="00A872DB">
        <w:rPr>
          <w:rFonts w:ascii="Times New Roman" w:hAnsi="Times New Roman" w:cs="Times New Roman"/>
        </w:rPr>
        <w:t>Butnar</w:t>
      </w:r>
      <w:proofErr w:type="spellEnd"/>
      <w:r w:rsidRPr="00A872DB">
        <w:rPr>
          <w:rFonts w:ascii="Times New Roman" w:hAnsi="Times New Roman" w:cs="Times New Roman"/>
        </w:rPr>
        <w:t xml:space="preserve">, I., Broad, O., </w:t>
      </w:r>
      <w:proofErr w:type="spellStart"/>
      <w:r w:rsidRPr="00A872DB">
        <w:rPr>
          <w:rFonts w:ascii="Times New Roman" w:hAnsi="Times New Roman" w:cs="Times New Roman"/>
        </w:rPr>
        <w:t>Solano</w:t>
      </w:r>
      <w:proofErr w:type="spellEnd"/>
      <w:r w:rsidRPr="00A872DB">
        <w:rPr>
          <w:rFonts w:ascii="Times New Roman" w:hAnsi="Times New Roman" w:cs="Times New Roman"/>
        </w:rPr>
        <w:t xml:space="preserve"> Rodriguez, B. &amp; </w:t>
      </w:r>
      <w:proofErr w:type="spellStart"/>
      <w:r w:rsidRPr="00A872DB">
        <w:rPr>
          <w:rFonts w:ascii="Times New Roman" w:hAnsi="Times New Roman" w:cs="Times New Roman"/>
        </w:rPr>
        <w:t>Dodds</w:t>
      </w:r>
      <w:proofErr w:type="spellEnd"/>
      <w:r w:rsidRPr="00A872DB">
        <w:rPr>
          <w:rFonts w:ascii="Times New Roman" w:hAnsi="Times New Roman" w:cs="Times New Roman"/>
        </w:rPr>
        <w:t xml:space="preserve">, P. E. The role of bioenergy for global deep decarbonization: CO2 removal or low-carbon energy? </w:t>
      </w:r>
      <w:r w:rsidRPr="00A872DB">
        <w:rPr>
          <w:rFonts w:ascii="Times New Roman" w:hAnsi="Times New Roman" w:cs="Times New Roman"/>
          <w:i/>
          <w:iCs/>
        </w:rPr>
        <w:t>GCB Bioenergy</w:t>
      </w:r>
      <w:r w:rsidRPr="00A872DB">
        <w:rPr>
          <w:rFonts w:ascii="Times New Roman" w:hAnsi="Times New Roman" w:cs="Times New Roman"/>
        </w:rPr>
        <w:t xml:space="preserve"> </w:t>
      </w:r>
      <w:r w:rsidRPr="00A872DB">
        <w:rPr>
          <w:rFonts w:ascii="Times New Roman" w:hAnsi="Times New Roman" w:cs="Times New Roman"/>
          <w:b/>
          <w:bCs/>
        </w:rPr>
        <w:t>12</w:t>
      </w:r>
      <w:r w:rsidRPr="00A872DB">
        <w:rPr>
          <w:rFonts w:ascii="Times New Roman" w:hAnsi="Times New Roman" w:cs="Times New Roman"/>
        </w:rPr>
        <w:t>, 198–212 (2020).</w:t>
      </w:r>
    </w:p>
  </w:footnote>
  <w:footnote w:id="12">
    <w:p w14:paraId="7D70D59C" w14:textId="1F92068D" w:rsidR="003B0DBA" w:rsidRPr="00A872DB" w:rsidRDefault="003B0DBA">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t>
      </w:r>
      <w:proofErr w:type="spellStart"/>
      <w:r w:rsidRPr="00A872DB">
        <w:rPr>
          <w:rFonts w:ascii="Times New Roman" w:hAnsi="Times New Roman" w:cs="Times New Roman"/>
        </w:rPr>
        <w:t>Remme</w:t>
      </w:r>
      <w:proofErr w:type="spellEnd"/>
      <w:r w:rsidRPr="00A872DB">
        <w:rPr>
          <w:rFonts w:ascii="Times New Roman" w:hAnsi="Times New Roman" w:cs="Times New Roman"/>
        </w:rPr>
        <w:t xml:space="preserve">, U., </w:t>
      </w:r>
      <w:proofErr w:type="spellStart"/>
      <w:r w:rsidRPr="00A872DB">
        <w:rPr>
          <w:rFonts w:ascii="Times New Roman" w:hAnsi="Times New Roman" w:cs="Times New Roman"/>
        </w:rPr>
        <w:t>Blesl</w:t>
      </w:r>
      <w:proofErr w:type="spellEnd"/>
      <w:r w:rsidRPr="00A872DB">
        <w:rPr>
          <w:rFonts w:ascii="Times New Roman" w:hAnsi="Times New Roman" w:cs="Times New Roman"/>
        </w:rPr>
        <w:t xml:space="preserve">, M. &amp; </w:t>
      </w:r>
      <w:proofErr w:type="spellStart"/>
      <w:r w:rsidRPr="00A872DB">
        <w:rPr>
          <w:rFonts w:ascii="Times New Roman" w:hAnsi="Times New Roman" w:cs="Times New Roman"/>
        </w:rPr>
        <w:t>Fahl</w:t>
      </w:r>
      <w:proofErr w:type="spellEnd"/>
      <w:r w:rsidRPr="00A872DB">
        <w:rPr>
          <w:rFonts w:ascii="Times New Roman" w:hAnsi="Times New Roman" w:cs="Times New Roman"/>
        </w:rPr>
        <w:t xml:space="preserve">, U. </w:t>
      </w:r>
      <w:r w:rsidRPr="00A872DB">
        <w:rPr>
          <w:rFonts w:ascii="Times New Roman" w:hAnsi="Times New Roman" w:cs="Times New Roman"/>
          <w:i/>
          <w:iCs/>
        </w:rPr>
        <w:t xml:space="preserve">Global resources and energy trade: An overview for coal, natural gas, </w:t>
      </w:r>
      <w:proofErr w:type="gramStart"/>
      <w:r w:rsidRPr="00A872DB">
        <w:rPr>
          <w:rFonts w:ascii="Times New Roman" w:hAnsi="Times New Roman" w:cs="Times New Roman"/>
          <w:i/>
          <w:iCs/>
        </w:rPr>
        <w:t>oil</w:t>
      </w:r>
      <w:proofErr w:type="gramEnd"/>
      <w:r w:rsidRPr="00A872DB">
        <w:rPr>
          <w:rFonts w:ascii="Times New Roman" w:hAnsi="Times New Roman" w:cs="Times New Roman"/>
          <w:i/>
          <w:iCs/>
        </w:rPr>
        <w:t xml:space="preserve"> and uranium</w:t>
      </w:r>
      <w:r w:rsidRPr="00A872DB">
        <w:rPr>
          <w:rFonts w:ascii="Times New Roman" w:hAnsi="Times New Roman" w:cs="Times New Roman"/>
        </w:rPr>
        <w:t xml:space="preserve">. </w:t>
      </w:r>
      <w:hyperlink r:id="rId4" w:history="1">
        <w:r w:rsidRPr="00A872DB">
          <w:rPr>
            <w:rStyle w:val="Hyperlink"/>
            <w:rFonts w:ascii="Times New Roman" w:hAnsi="Times New Roman" w:cs="Times New Roman"/>
          </w:rPr>
          <w:t>https://d-nb.info/1027991858/34</w:t>
        </w:r>
      </w:hyperlink>
      <w:r w:rsidRPr="00A872DB">
        <w:rPr>
          <w:rFonts w:ascii="Times New Roman" w:hAnsi="Times New Roman" w:cs="Times New Roman"/>
        </w:rPr>
        <w:t xml:space="preserve"> (2007).</w:t>
      </w:r>
    </w:p>
  </w:footnote>
  <w:footnote w:id="13">
    <w:p w14:paraId="31906063" w14:textId="67A57A79" w:rsidR="003B0DBA" w:rsidRPr="00A872DB" w:rsidRDefault="003B0DBA">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McGlade, C. Uncertainties in the outlook for oil and gas. Doctoral thesis, UCL (University College London). (2013).</w:t>
      </w:r>
    </w:p>
  </w:footnote>
  <w:footnote w:id="14">
    <w:p w14:paraId="1C8991EA" w14:textId="40C60F03" w:rsidR="003B0DBA" w:rsidRPr="00A872DB" w:rsidRDefault="003B0DBA">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15">
    <w:p w14:paraId="2DF1E7F9" w14:textId="5796821A" w:rsidR="003B0DBA" w:rsidRPr="00A872DB" w:rsidRDefault="003B0DBA">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16">
    <w:p w14:paraId="5E878A21" w14:textId="78D24B9F"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McGlade, C. Uncertainties in the outlook for oil and gas. Doctoral thesis, UCL (University College London). (2013).</w:t>
      </w:r>
    </w:p>
  </w:footnote>
  <w:footnote w:id="17">
    <w:p w14:paraId="03C18CC7" w14:textId="7B93F1DC"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18">
    <w:p w14:paraId="2FCAA73B" w14:textId="1FCF1EC1"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19">
    <w:p w14:paraId="4A9392FF" w14:textId="6D32FB50"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20">
    <w:p w14:paraId="79D9F1B0" w14:textId="02BCAB04"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21">
    <w:p w14:paraId="5CB574C4" w14:textId="681F13E2"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McGlade, C. Uncertainties in the outlook for oil and gas. Doctoral thesis, UCL (University College London). (2013).</w:t>
      </w:r>
    </w:p>
  </w:footnote>
  <w:footnote w:id="22">
    <w:p w14:paraId="354145C5" w14:textId="461F962E"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23">
    <w:p w14:paraId="24E894F0" w14:textId="14384124"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McGlade, C. Uncertainties in the outlook for oil and gas. Doctoral thesis, UCL (University College London). (2013).</w:t>
      </w:r>
    </w:p>
  </w:footnote>
  <w:footnote w:id="24">
    <w:p w14:paraId="139D524A" w14:textId="3645599F"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McGlade, C. Uncertainties in the outlook for oil and gas. Doctoral thesis, UCL (University College London). (2013).</w:t>
      </w:r>
    </w:p>
  </w:footnote>
  <w:footnote w:id="25">
    <w:p w14:paraId="7E103053" w14:textId="4956AE34"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McGlade, C. Uncertainties in the outlook for oil and gas. Doctoral thesis, UCL (University College London). (2013).</w:t>
      </w:r>
    </w:p>
  </w:footnote>
  <w:footnote w:id="26">
    <w:p w14:paraId="54804AC2" w14:textId="382F4673"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27">
    <w:p w14:paraId="3F0FC6F3" w14:textId="1D9AABDA"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Welsby, D. Modelling uncertainty in global gas resources and markets (forthcoming). (University College London, 2021).</w:t>
      </w:r>
    </w:p>
  </w:footnote>
  <w:footnote w:id="28">
    <w:p w14:paraId="27D64CFA" w14:textId="6CEE1111" w:rsidR="00533BD4" w:rsidRPr="00A872DB" w:rsidRDefault="00533BD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Loulou, R., </w:t>
      </w:r>
      <w:proofErr w:type="spellStart"/>
      <w:r w:rsidRPr="00A872DB">
        <w:rPr>
          <w:rFonts w:ascii="Times New Roman" w:hAnsi="Times New Roman" w:cs="Times New Roman"/>
        </w:rPr>
        <w:t>Lehtilä</w:t>
      </w:r>
      <w:proofErr w:type="spellEnd"/>
      <w:r w:rsidRPr="00A872DB">
        <w:rPr>
          <w:rFonts w:ascii="Times New Roman" w:hAnsi="Times New Roman" w:cs="Times New Roman"/>
        </w:rPr>
        <w:t xml:space="preserve">, A., </w:t>
      </w:r>
      <w:proofErr w:type="spellStart"/>
      <w:r w:rsidRPr="00A872DB">
        <w:rPr>
          <w:rFonts w:ascii="Times New Roman" w:hAnsi="Times New Roman" w:cs="Times New Roman"/>
        </w:rPr>
        <w:t>Kanudia</w:t>
      </w:r>
      <w:proofErr w:type="spellEnd"/>
      <w:r w:rsidRPr="00A872DB">
        <w:rPr>
          <w:rFonts w:ascii="Times New Roman" w:hAnsi="Times New Roman" w:cs="Times New Roman"/>
        </w:rPr>
        <w:t xml:space="preserve">, A., </w:t>
      </w:r>
      <w:proofErr w:type="spellStart"/>
      <w:r w:rsidRPr="00A872DB">
        <w:rPr>
          <w:rFonts w:ascii="Times New Roman" w:hAnsi="Times New Roman" w:cs="Times New Roman"/>
        </w:rPr>
        <w:t>Remme</w:t>
      </w:r>
      <w:proofErr w:type="spellEnd"/>
      <w:r w:rsidRPr="00A872DB">
        <w:rPr>
          <w:rFonts w:ascii="Times New Roman" w:hAnsi="Times New Roman" w:cs="Times New Roman"/>
        </w:rPr>
        <w:t xml:space="preserve">, U. &amp; Goldstein, G. </w:t>
      </w:r>
      <w:r w:rsidRPr="00A872DB">
        <w:rPr>
          <w:rFonts w:ascii="Times New Roman" w:hAnsi="Times New Roman" w:cs="Times New Roman"/>
          <w:i/>
          <w:iCs/>
        </w:rPr>
        <w:t>Documentation for the TIMES Model: Part II</w:t>
      </w:r>
      <w:r w:rsidRPr="00A872DB">
        <w:rPr>
          <w:rFonts w:ascii="Times New Roman" w:hAnsi="Times New Roman" w:cs="Times New Roman"/>
        </w:rPr>
        <w:t xml:space="preserve">. </w:t>
      </w:r>
      <w:hyperlink r:id="rId5" w:history="1">
        <w:r w:rsidRPr="00A872DB">
          <w:rPr>
            <w:rStyle w:val="Hyperlink"/>
            <w:rFonts w:ascii="Times New Roman" w:hAnsi="Times New Roman" w:cs="Times New Roman"/>
          </w:rPr>
          <w:t>https://iea-etsap.org/docs/Documentation_for_the_TIMES_Model-Part-II_July-2016.pdf</w:t>
        </w:r>
      </w:hyperlink>
      <w:r w:rsidRPr="00A872DB">
        <w:rPr>
          <w:rFonts w:ascii="Times New Roman" w:hAnsi="Times New Roman" w:cs="Times New Roman"/>
        </w:rPr>
        <w:t xml:space="preserve"> (2016).</w:t>
      </w:r>
    </w:p>
  </w:footnote>
  <w:footnote w:id="29">
    <w:p w14:paraId="1AC31911" w14:textId="2E186032" w:rsidR="003C7314" w:rsidRPr="00A872DB" w:rsidRDefault="003C7314">
      <w:pPr>
        <w:pStyle w:val="FootnoteText"/>
        <w:rPr>
          <w:rFonts w:ascii="Times New Roman" w:hAnsi="Times New Roman" w:cs="Times New Roman"/>
        </w:rPr>
      </w:pPr>
      <w:r w:rsidRPr="00A872DB">
        <w:rPr>
          <w:rStyle w:val="FootnoteReference"/>
          <w:rFonts w:ascii="Times New Roman" w:hAnsi="Times New Roman" w:cs="Times New Roman"/>
        </w:rPr>
        <w:footnoteRef/>
      </w:r>
      <w:r w:rsidRPr="00A872DB">
        <w:rPr>
          <w:rFonts w:ascii="Times New Roman" w:hAnsi="Times New Roman" w:cs="Times New Roman"/>
        </w:rPr>
        <w:t xml:space="preserve"> Loulou, R., </w:t>
      </w:r>
      <w:proofErr w:type="spellStart"/>
      <w:r w:rsidRPr="00A872DB">
        <w:rPr>
          <w:rFonts w:ascii="Times New Roman" w:hAnsi="Times New Roman" w:cs="Times New Roman"/>
        </w:rPr>
        <w:t>Lehtilä</w:t>
      </w:r>
      <w:proofErr w:type="spellEnd"/>
      <w:r w:rsidRPr="00A872DB">
        <w:rPr>
          <w:rFonts w:ascii="Times New Roman" w:hAnsi="Times New Roman" w:cs="Times New Roman"/>
        </w:rPr>
        <w:t xml:space="preserve">, A., </w:t>
      </w:r>
      <w:proofErr w:type="spellStart"/>
      <w:r w:rsidRPr="00A872DB">
        <w:rPr>
          <w:rFonts w:ascii="Times New Roman" w:hAnsi="Times New Roman" w:cs="Times New Roman"/>
        </w:rPr>
        <w:t>Kanudia</w:t>
      </w:r>
      <w:proofErr w:type="spellEnd"/>
      <w:r w:rsidRPr="00A872DB">
        <w:rPr>
          <w:rFonts w:ascii="Times New Roman" w:hAnsi="Times New Roman" w:cs="Times New Roman"/>
        </w:rPr>
        <w:t xml:space="preserve">, A., </w:t>
      </w:r>
      <w:proofErr w:type="spellStart"/>
      <w:r w:rsidRPr="00A872DB">
        <w:rPr>
          <w:rFonts w:ascii="Times New Roman" w:hAnsi="Times New Roman" w:cs="Times New Roman"/>
        </w:rPr>
        <w:t>Remme</w:t>
      </w:r>
      <w:proofErr w:type="spellEnd"/>
      <w:r w:rsidRPr="00A872DB">
        <w:rPr>
          <w:rFonts w:ascii="Times New Roman" w:hAnsi="Times New Roman" w:cs="Times New Roman"/>
        </w:rPr>
        <w:t xml:space="preserve">, U. &amp; Goldstein, G. </w:t>
      </w:r>
      <w:r w:rsidRPr="00A872DB">
        <w:rPr>
          <w:rFonts w:ascii="Times New Roman" w:hAnsi="Times New Roman" w:cs="Times New Roman"/>
          <w:i/>
          <w:iCs/>
        </w:rPr>
        <w:t>Documentation for the TIMES Model: Part II.</w:t>
      </w:r>
      <w:r w:rsidRPr="00A872DB">
        <w:rPr>
          <w:rFonts w:ascii="Times New Roman" w:hAnsi="Times New Roman" w:cs="Times New Roman"/>
        </w:rPr>
        <w:t xml:space="preserve"> </w:t>
      </w:r>
      <w:hyperlink r:id="rId6" w:history="1">
        <w:r w:rsidRPr="00A872DB">
          <w:rPr>
            <w:rStyle w:val="Hyperlink"/>
            <w:rFonts w:ascii="Times New Roman" w:hAnsi="Times New Roman" w:cs="Times New Roman"/>
          </w:rPr>
          <w:t>https://iea-etsap.org/docs/Documentation_for_the_TIMES_Model-Part-II_July-2016.pdf</w:t>
        </w:r>
      </w:hyperlink>
      <w:r w:rsidRPr="00A872DB">
        <w:rPr>
          <w:rFonts w:ascii="Times New Roman" w:hAnsi="Times New Roman" w:cs="Times New Roman"/>
        </w:rPr>
        <w:t xml:space="preserve">  (2016).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0371"/>
    <w:multiLevelType w:val="hybridMultilevel"/>
    <w:tmpl w:val="819013CC"/>
    <w:lvl w:ilvl="0" w:tplc="B8E23BC6">
      <w:start w:val="1"/>
      <w:numFmt w:val="bullet"/>
      <w:pStyle w:val="20DDPP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A6F55"/>
    <w:multiLevelType w:val="multilevel"/>
    <w:tmpl w:val="B1662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233A8B"/>
    <w:multiLevelType w:val="multilevel"/>
    <w:tmpl w:val="3EF84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331DAD"/>
    <w:multiLevelType w:val="hybridMultilevel"/>
    <w:tmpl w:val="67883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3D042C"/>
    <w:multiLevelType w:val="hybridMultilevel"/>
    <w:tmpl w:val="759689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0474DA"/>
    <w:multiLevelType w:val="hybridMultilevel"/>
    <w:tmpl w:val="3A2E5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4131EA"/>
    <w:multiLevelType w:val="multilevel"/>
    <w:tmpl w:val="9A3A4782"/>
    <w:lvl w:ilvl="0">
      <w:start w:val="1"/>
      <w:numFmt w:val="decimal"/>
      <w:pStyle w:val="10DDPPH1"/>
      <w:lvlText w:val="%1."/>
      <w:lvlJc w:val="left"/>
      <w:pPr>
        <w:ind w:left="360" w:hanging="360"/>
      </w:pPr>
    </w:lvl>
    <w:lvl w:ilvl="1">
      <w:start w:val="1"/>
      <w:numFmt w:val="decimal"/>
      <w:pStyle w:val="11DDPPH2"/>
      <w:lvlText w:val="%1.%2."/>
      <w:lvlJc w:val="left"/>
      <w:pPr>
        <w:ind w:left="1141" w:hanging="432"/>
      </w:pPr>
      <w:rPr>
        <w:i w:val="0"/>
        <w:color w:val="005AAB"/>
      </w:rPr>
    </w:lvl>
    <w:lvl w:ilvl="2">
      <w:start w:val="1"/>
      <w:numFmt w:val="decimal"/>
      <w:pStyle w:val="12DDPPH3"/>
      <w:lvlText w:val="%1.%2.%3."/>
      <w:lvlJc w:val="left"/>
      <w:pPr>
        <w:ind w:left="1224" w:hanging="504"/>
      </w:pPr>
      <w:rPr>
        <w:color w:val="005AAB"/>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8AB5D47"/>
    <w:multiLevelType w:val="hybridMultilevel"/>
    <w:tmpl w:val="901AB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023902"/>
    <w:multiLevelType w:val="hybridMultilevel"/>
    <w:tmpl w:val="3134EA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C04D8B"/>
    <w:multiLevelType w:val="hybridMultilevel"/>
    <w:tmpl w:val="1B866466"/>
    <w:lvl w:ilvl="0" w:tplc="74B006E6">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7815E5"/>
    <w:multiLevelType w:val="hybridMultilevel"/>
    <w:tmpl w:val="7102B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C46EEF"/>
    <w:multiLevelType w:val="hybridMultilevel"/>
    <w:tmpl w:val="F1C49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060B45"/>
    <w:multiLevelType w:val="multilevel"/>
    <w:tmpl w:val="EA3CA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C31B0F"/>
    <w:multiLevelType w:val="hybridMultilevel"/>
    <w:tmpl w:val="C37AD4AC"/>
    <w:lvl w:ilvl="0" w:tplc="962A723C">
      <w:start w:val="1"/>
      <w:numFmt w:val="decimal"/>
      <w:pStyle w:val="Numbering"/>
      <w:lvlText w:val="%1."/>
      <w:lvlJc w:val="left"/>
      <w:pPr>
        <w:tabs>
          <w:tab w:val="num" w:pos="360"/>
        </w:tabs>
        <w:ind w:left="360" w:hanging="360"/>
      </w:pPr>
    </w:lvl>
    <w:lvl w:ilvl="1" w:tplc="D15C763A">
      <w:numFmt w:val="decimal"/>
      <w:lvlText w:val=""/>
      <w:lvlJc w:val="left"/>
    </w:lvl>
    <w:lvl w:ilvl="2" w:tplc="08FC2078">
      <w:numFmt w:val="decimal"/>
      <w:lvlText w:val=""/>
      <w:lvlJc w:val="left"/>
    </w:lvl>
    <w:lvl w:ilvl="3" w:tplc="0FDCBCB8">
      <w:numFmt w:val="decimal"/>
      <w:lvlText w:val=""/>
      <w:lvlJc w:val="left"/>
    </w:lvl>
    <w:lvl w:ilvl="4" w:tplc="74742A66">
      <w:numFmt w:val="decimal"/>
      <w:lvlText w:val=""/>
      <w:lvlJc w:val="left"/>
    </w:lvl>
    <w:lvl w:ilvl="5" w:tplc="EE92FB02">
      <w:numFmt w:val="decimal"/>
      <w:lvlText w:val=""/>
      <w:lvlJc w:val="left"/>
    </w:lvl>
    <w:lvl w:ilvl="6" w:tplc="1F9287FA">
      <w:numFmt w:val="decimal"/>
      <w:lvlText w:val=""/>
      <w:lvlJc w:val="left"/>
    </w:lvl>
    <w:lvl w:ilvl="7" w:tplc="2CF8ADEA">
      <w:numFmt w:val="decimal"/>
      <w:lvlText w:val=""/>
      <w:lvlJc w:val="left"/>
    </w:lvl>
    <w:lvl w:ilvl="8" w:tplc="6FB6284C">
      <w:numFmt w:val="decimal"/>
      <w:lvlText w:val=""/>
      <w:lvlJc w:val="left"/>
    </w:lvl>
  </w:abstractNum>
  <w:abstractNum w:abstractNumId="14" w15:restartNumberingAfterBreak="0">
    <w:nsid w:val="3BE0510D"/>
    <w:multiLevelType w:val="hybridMultilevel"/>
    <w:tmpl w:val="6FE4D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596B70"/>
    <w:multiLevelType w:val="hybridMultilevel"/>
    <w:tmpl w:val="EA80D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0549CC"/>
    <w:multiLevelType w:val="hybridMultilevel"/>
    <w:tmpl w:val="BBD8C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BC32AE"/>
    <w:multiLevelType w:val="hybridMultilevel"/>
    <w:tmpl w:val="F3604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9D6FCE"/>
    <w:multiLevelType w:val="multilevel"/>
    <w:tmpl w:val="27F08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DC42C3"/>
    <w:multiLevelType w:val="hybridMultilevel"/>
    <w:tmpl w:val="AB2EACD2"/>
    <w:lvl w:ilvl="0" w:tplc="639813EC">
      <w:start w:val="1"/>
      <w:numFmt w:val="decimal"/>
      <w:pStyle w:val="21DDPPListNumbered"/>
      <w:lvlText w:val="%1."/>
      <w:lvlJc w:val="left"/>
      <w:pPr>
        <w:ind w:left="360" w:hanging="360"/>
      </w:pPr>
      <w:rPr>
        <w:rFonts w:hint="default"/>
        <w:b/>
        <w:i w:val="0"/>
        <w:color w:val="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283131"/>
    <w:multiLevelType w:val="hybridMultilevel"/>
    <w:tmpl w:val="C9D0AE50"/>
    <w:lvl w:ilvl="0" w:tplc="4094D7C8">
      <w:start w:val="1"/>
      <w:numFmt w:val="bullet"/>
      <w:pStyle w:val="23DDPPListReferences"/>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0AC7DD5"/>
    <w:multiLevelType w:val="hybridMultilevel"/>
    <w:tmpl w:val="8ACE7BA6"/>
    <w:lvl w:ilvl="0" w:tplc="F1D4FA02">
      <w:start w:val="1"/>
      <w:numFmt w:val="bullet"/>
      <w:pStyle w:val="22DDPPListStrong"/>
      <w:lvlText w:val="l"/>
      <w:lvlJc w:val="left"/>
      <w:pPr>
        <w:ind w:left="360" w:hanging="360"/>
      </w:pPr>
      <w:rPr>
        <w:rFonts w:ascii="Wingdings" w:hAnsi="Wingdings"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412812"/>
    <w:multiLevelType w:val="hybridMultilevel"/>
    <w:tmpl w:val="E47AA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F56ACE"/>
    <w:multiLevelType w:val="multilevel"/>
    <w:tmpl w:val="791C8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18"/>
  </w:num>
  <w:num w:numId="4">
    <w:abstractNumId w:val="23"/>
  </w:num>
  <w:num w:numId="5">
    <w:abstractNumId w:val="12"/>
  </w:num>
  <w:num w:numId="6">
    <w:abstractNumId w:val="9"/>
  </w:num>
  <w:num w:numId="7">
    <w:abstractNumId w:val="3"/>
  </w:num>
  <w:num w:numId="8">
    <w:abstractNumId w:val="5"/>
  </w:num>
  <w:num w:numId="9">
    <w:abstractNumId w:val="15"/>
  </w:num>
  <w:num w:numId="10">
    <w:abstractNumId w:val="8"/>
  </w:num>
  <w:num w:numId="11">
    <w:abstractNumId w:val="22"/>
  </w:num>
  <w:num w:numId="12">
    <w:abstractNumId w:val="7"/>
  </w:num>
  <w:num w:numId="13">
    <w:abstractNumId w:val="16"/>
  </w:num>
  <w:num w:numId="14">
    <w:abstractNumId w:val="17"/>
  </w:num>
  <w:num w:numId="15">
    <w:abstractNumId w:val="10"/>
  </w:num>
  <w:num w:numId="16">
    <w:abstractNumId w:val="14"/>
  </w:num>
  <w:num w:numId="17">
    <w:abstractNumId w:val="11"/>
  </w:num>
  <w:num w:numId="18">
    <w:abstractNumId w:val="6"/>
  </w:num>
  <w:num w:numId="19">
    <w:abstractNumId w:val="0"/>
  </w:num>
  <w:num w:numId="20">
    <w:abstractNumId w:val="21"/>
  </w:num>
  <w:num w:numId="21">
    <w:abstractNumId w:val="19"/>
  </w:num>
  <w:num w:numId="22">
    <w:abstractNumId w:val="20"/>
  </w:num>
  <w:num w:numId="23">
    <w:abstractNumId w:val="13"/>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AC7"/>
    <w:rsid w:val="00064508"/>
    <w:rsid w:val="001309B9"/>
    <w:rsid w:val="0028121F"/>
    <w:rsid w:val="00377CFD"/>
    <w:rsid w:val="003B0DBA"/>
    <w:rsid w:val="003C7314"/>
    <w:rsid w:val="005078AE"/>
    <w:rsid w:val="00533BD4"/>
    <w:rsid w:val="00542755"/>
    <w:rsid w:val="00542876"/>
    <w:rsid w:val="006A5FC9"/>
    <w:rsid w:val="0072132F"/>
    <w:rsid w:val="007B3C2E"/>
    <w:rsid w:val="007B7EBF"/>
    <w:rsid w:val="007C7C7F"/>
    <w:rsid w:val="008903F7"/>
    <w:rsid w:val="009817CD"/>
    <w:rsid w:val="009F19BD"/>
    <w:rsid w:val="00A81C72"/>
    <w:rsid w:val="00A872DB"/>
    <w:rsid w:val="00AA1EC6"/>
    <w:rsid w:val="00B3326E"/>
    <w:rsid w:val="00B82774"/>
    <w:rsid w:val="00B85AC7"/>
    <w:rsid w:val="00D8DA64"/>
    <w:rsid w:val="00DD5E34"/>
    <w:rsid w:val="00E9512B"/>
    <w:rsid w:val="00EE53B6"/>
    <w:rsid w:val="00F04086"/>
    <w:rsid w:val="027799E5"/>
    <w:rsid w:val="0413E4D5"/>
    <w:rsid w:val="04956A9E"/>
    <w:rsid w:val="0509C1F9"/>
    <w:rsid w:val="070D858F"/>
    <w:rsid w:val="075494FB"/>
    <w:rsid w:val="08444638"/>
    <w:rsid w:val="0877AE1B"/>
    <w:rsid w:val="0A113E58"/>
    <w:rsid w:val="0BD24AE4"/>
    <w:rsid w:val="0CE0DFA8"/>
    <w:rsid w:val="0DD1F222"/>
    <w:rsid w:val="0E60D733"/>
    <w:rsid w:val="0F61631B"/>
    <w:rsid w:val="0F6D09C2"/>
    <w:rsid w:val="100361B2"/>
    <w:rsid w:val="102A79F7"/>
    <w:rsid w:val="122B9A04"/>
    <w:rsid w:val="12749552"/>
    <w:rsid w:val="158F2373"/>
    <w:rsid w:val="179F359C"/>
    <w:rsid w:val="181E7326"/>
    <w:rsid w:val="191C9FBA"/>
    <w:rsid w:val="195D532B"/>
    <w:rsid w:val="1997DA13"/>
    <w:rsid w:val="1BDF3538"/>
    <w:rsid w:val="1BEAC7CB"/>
    <w:rsid w:val="1C055834"/>
    <w:rsid w:val="1DFBD75D"/>
    <w:rsid w:val="2040B83C"/>
    <w:rsid w:val="20F886B2"/>
    <w:rsid w:val="21FD14E6"/>
    <w:rsid w:val="2201C75D"/>
    <w:rsid w:val="227AE615"/>
    <w:rsid w:val="2312C3A9"/>
    <w:rsid w:val="243F1A62"/>
    <w:rsid w:val="2454E8C0"/>
    <w:rsid w:val="248EF9B4"/>
    <w:rsid w:val="24A2C527"/>
    <w:rsid w:val="2525929E"/>
    <w:rsid w:val="25C53B29"/>
    <w:rsid w:val="27490524"/>
    <w:rsid w:val="275B9757"/>
    <w:rsid w:val="2AE7369B"/>
    <w:rsid w:val="2BCDD082"/>
    <w:rsid w:val="2D7B357F"/>
    <w:rsid w:val="2EC61BF0"/>
    <w:rsid w:val="309562CB"/>
    <w:rsid w:val="327A2096"/>
    <w:rsid w:val="327EFDAE"/>
    <w:rsid w:val="32E99A2F"/>
    <w:rsid w:val="34856A90"/>
    <w:rsid w:val="34E8C44E"/>
    <w:rsid w:val="358E6938"/>
    <w:rsid w:val="359A67A7"/>
    <w:rsid w:val="364F4D5E"/>
    <w:rsid w:val="365A2B24"/>
    <w:rsid w:val="37A755C0"/>
    <w:rsid w:val="385750B4"/>
    <w:rsid w:val="3B13A421"/>
    <w:rsid w:val="3B2D9C47"/>
    <w:rsid w:val="3C47E1F9"/>
    <w:rsid w:val="3CB7B8AF"/>
    <w:rsid w:val="3D2A4748"/>
    <w:rsid w:val="3FEC2C7A"/>
    <w:rsid w:val="41ECCF50"/>
    <w:rsid w:val="43ACA59E"/>
    <w:rsid w:val="44AB8DA7"/>
    <w:rsid w:val="45DBE3D4"/>
    <w:rsid w:val="47761606"/>
    <w:rsid w:val="49EFA1F3"/>
    <w:rsid w:val="4A14107E"/>
    <w:rsid w:val="4AACBEC6"/>
    <w:rsid w:val="4D4BB140"/>
    <w:rsid w:val="4D6B8543"/>
    <w:rsid w:val="4F29C735"/>
    <w:rsid w:val="511C4B70"/>
    <w:rsid w:val="524274D2"/>
    <w:rsid w:val="535A41D9"/>
    <w:rsid w:val="550C4784"/>
    <w:rsid w:val="55D57D60"/>
    <w:rsid w:val="56F4B5AD"/>
    <w:rsid w:val="56FEAFB2"/>
    <w:rsid w:val="595E32DE"/>
    <w:rsid w:val="59B46224"/>
    <w:rsid w:val="5A1E56A2"/>
    <w:rsid w:val="5A277049"/>
    <w:rsid w:val="5AAF1079"/>
    <w:rsid w:val="5C1B5614"/>
    <w:rsid w:val="5C3A8A4A"/>
    <w:rsid w:val="5CAC6994"/>
    <w:rsid w:val="60685DDF"/>
    <w:rsid w:val="61CFFA3F"/>
    <w:rsid w:val="62328A9C"/>
    <w:rsid w:val="63BC8C48"/>
    <w:rsid w:val="64ABB124"/>
    <w:rsid w:val="655EB941"/>
    <w:rsid w:val="6681B350"/>
    <w:rsid w:val="66E3B14D"/>
    <w:rsid w:val="67E04777"/>
    <w:rsid w:val="682EEA53"/>
    <w:rsid w:val="6861F996"/>
    <w:rsid w:val="68CC493A"/>
    <w:rsid w:val="697F2247"/>
    <w:rsid w:val="6A694F06"/>
    <w:rsid w:val="6AAF8990"/>
    <w:rsid w:val="6B634273"/>
    <w:rsid w:val="6BEAC19F"/>
    <w:rsid w:val="6E6E5671"/>
    <w:rsid w:val="6EC54A92"/>
    <w:rsid w:val="73EBCDDF"/>
    <w:rsid w:val="74C9C274"/>
    <w:rsid w:val="7C5B18AF"/>
    <w:rsid w:val="7CD4D459"/>
    <w:rsid w:val="7D6585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FC90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03F7"/>
    <w:pPr>
      <w:keepNext/>
      <w:keepLines/>
      <w:spacing w:before="240" w:after="240" w:line="360" w:lineRule="auto"/>
      <w:outlineLvl w:val="0"/>
    </w:pPr>
    <w:rPr>
      <w:rFonts w:asciiTheme="majorHAnsi" w:eastAsiaTheme="majorEastAsia" w:hAnsiTheme="majorHAnsi" w:cstheme="majorBidi"/>
      <w:b/>
      <w:color w:val="2F5496" w:themeColor="accent1" w:themeShade="BF"/>
      <w:sz w:val="32"/>
      <w:szCs w:val="32"/>
      <w:lang w:val="en-US"/>
    </w:rPr>
  </w:style>
  <w:style w:type="paragraph" w:styleId="Heading2">
    <w:name w:val="heading 2"/>
    <w:basedOn w:val="Normal"/>
    <w:link w:val="Heading2Char"/>
    <w:uiPriority w:val="9"/>
    <w:qFormat/>
    <w:rsid w:val="0054287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Heading4"/>
    <w:link w:val="Heading3Char"/>
    <w:qFormat/>
    <w:rsid w:val="00A81C72"/>
    <w:pPr>
      <w:outlineLvl w:val="2"/>
    </w:pPr>
    <w:rPr>
      <w:color w:val="5B9BD5" w:themeColor="accent5"/>
      <w:sz w:val="24"/>
      <w:szCs w:val="24"/>
    </w:rPr>
  </w:style>
  <w:style w:type="paragraph" w:styleId="Heading4">
    <w:name w:val="heading 4"/>
    <w:basedOn w:val="Normal"/>
    <w:next w:val="Normal"/>
    <w:link w:val="Heading4Char"/>
    <w:qFormat/>
    <w:rsid w:val="00A81C72"/>
    <w:pPr>
      <w:contextualSpacing/>
      <w:outlineLvl w:val="3"/>
    </w:pPr>
    <w:rPr>
      <w:rFonts w:ascii="Arial" w:hAnsi="Arial" w:cs="Arial"/>
      <w:b/>
    </w:rPr>
  </w:style>
  <w:style w:type="paragraph" w:styleId="Heading5">
    <w:name w:val="heading 5"/>
    <w:basedOn w:val="Normal"/>
    <w:next w:val="Normal"/>
    <w:link w:val="Heading5Char"/>
    <w:qFormat/>
    <w:rsid w:val="008903F7"/>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link w:val="Heading6Char"/>
    <w:qFormat/>
    <w:rsid w:val="008903F7"/>
    <w:pPr>
      <w:keepNext/>
      <w:keepLines/>
      <w:spacing w:before="160"/>
      <w:contextualSpacing/>
      <w:outlineLvl w:val="5"/>
    </w:pPr>
    <w:rPr>
      <w:rFonts w:ascii="Trebuchet MS" w:eastAsia="Trebuchet MS" w:hAnsi="Trebuchet MS" w:cs="Trebuchet MS"/>
      <w:i/>
      <w:color w:val="666666"/>
    </w:rPr>
  </w:style>
  <w:style w:type="paragraph" w:styleId="Heading7">
    <w:name w:val="heading 7"/>
    <w:basedOn w:val="Normal"/>
    <w:next w:val="Normal"/>
    <w:link w:val="Heading7Char"/>
    <w:unhideWhenUsed/>
    <w:qFormat/>
    <w:rsid w:val="008903F7"/>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rsid w:val="008903F7"/>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nhideWhenUsed/>
    <w:qFormat/>
    <w:rsid w:val="008903F7"/>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3F7"/>
    <w:rPr>
      <w:rFonts w:asciiTheme="majorHAnsi" w:eastAsiaTheme="majorEastAsia" w:hAnsiTheme="majorHAnsi" w:cstheme="majorBidi"/>
      <w:b/>
      <w:color w:val="2F5496" w:themeColor="accent1" w:themeShade="BF"/>
      <w:sz w:val="32"/>
      <w:szCs w:val="32"/>
      <w:lang w:val="en-US"/>
    </w:rPr>
  </w:style>
  <w:style w:type="character" w:customStyle="1" w:styleId="Heading2Char">
    <w:name w:val="Heading 2 Char"/>
    <w:basedOn w:val="DefaultParagraphFont"/>
    <w:link w:val="Heading2"/>
    <w:uiPriority w:val="9"/>
    <w:rsid w:val="0054287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rsid w:val="00A81C72"/>
    <w:rPr>
      <w:rFonts w:ascii="Arial" w:hAnsi="Arial" w:cs="Arial"/>
      <w:b/>
      <w:color w:val="5B9BD5" w:themeColor="accent5"/>
      <w:sz w:val="24"/>
      <w:szCs w:val="24"/>
    </w:rPr>
  </w:style>
  <w:style w:type="character" w:customStyle="1" w:styleId="Heading4Char">
    <w:name w:val="Heading 4 Char"/>
    <w:basedOn w:val="DefaultParagraphFont"/>
    <w:link w:val="Heading4"/>
    <w:rsid w:val="00A81C72"/>
    <w:rPr>
      <w:rFonts w:ascii="Arial" w:hAnsi="Arial" w:cs="Arial"/>
      <w:b/>
    </w:rPr>
  </w:style>
  <w:style w:type="character" w:customStyle="1" w:styleId="Heading5Char">
    <w:name w:val="Heading 5 Char"/>
    <w:basedOn w:val="DefaultParagraphFont"/>
    <w:link w:val="Heading5"/>
    <w:rsid w:val="008903F7"/>
    <w:rPr>
      <w:rFonts w:ascii="Trebuchet MS" w:eastAsia="Trebuchet MS" w:hAnsi="Trebuchet MS" w:cs="Trebuchet MS"/>
      <w:color w:val="666666"/>
    </w:rPr>
  </w:style>
  <w:style w:type="character" w:customStyle="1" w:styleId="Heading6Char">
    <w:name w:val="Heading 6 Char"/>
    <w:basedOn w:val="DefaultParagraphFont"/>
    <w:link w:val="Heading6"/>
    <w:rsid w:val="008903F7"/>
    <w:rPr>
      <w:rFonts w:ascii="Trebuchet MS" w:eastAsia="Trebuchet MS" w:hAnsi="Trebuchet MS" w:cs="Trebuchet MS"/>
      <w:i/>
      <w:color w:val="666666"/>
    </w:rPr>
  </w:style>
  <w:style w:type="character" w:customStyle="1" w:styleId="Heading7Char">
    <w:name w:val="Heading 7 Char"/>
    <w:basedOn w:val="DefaultParagraphFont"/>
    <w:link w:val="Heading7"/>
    <w:rsid w:val="008903F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rsid w:val="008903F7"/>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rsid w:val="008903F7"/>
    <w:rPr>
      <w:rFonts w:asciiTheme="majorHAnsi" w:eastAsiaTheme="majorEastAsia" w:hAnsiTheme="majorHAnsi" w:cstheme="majorBidi"/>
      <w:i/>
      <w:iCs/>
      <w:color w:val="404040" w:themeColor="text1" w:themeTint="BF"/>
      <w:sz w:val="20"/>
      <w:szCs w:val="20"/>
    </w:rPr>
  </w:style>
  <w:style w:type="paragraph" w:customStyle="1" w:styleId="msonormal0">
    <w:name w:val="msonormal"/>
    <w:basedOn w:val="Normal"/>
    <w:rsid w:val="0054287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5428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unhideWhenUsed/>
    <w:rsid w:val="00AA1EC6"/>
    <w:rPr>
      <w:sz w:val="16"/>
      <w:szCs w:val="16"/>
    </w:rPr>
  </w:style>
  <w:style w:type="paragraph" w:styleId="CommentText">
    <w:name w:val="annotation text"/>
    <w:basedOn w:val="Normal"/>
    <w:link w:val="CommentTextChar"/>
    <w:uiPriority w:val="99"/>
    <w:unhideWhenUsed/>
    <w:rsid w:val="00AA1EC6"/>
    <w:pPr>
      <w:spacing w:line="240" w:lineRule="auto"/>
    </w:pPr>
    <w:rPr>
      <w:sz w:val="20"/>
      <w:szCs w:val="20"/>
    </w:rPr>
  </w:style>
  <w:style w:type="character" w:customStyle="1" w:styleId="CommentTextChar">
    <w:name w:val="Comment Text Char"/>
    <w:basedOn w:val="DefaultParagraphFont"/>
    <w:link w:val="CommentText"/>
    <w:uiPriority w:val="99"/>
    <w:rsid w:val="00AA1EC6"/>
    <w:rPr>
      <w:sz w:val="20"/>
      <w:szCs w:val="20"/>
    </w:rPr>
  </w:style>
  <w:style w:type="paragraph" w:styleId="CommentSubject">
    <w:name w:val="annotation subject"/>
    <w:basedOn w:val="CommentText"/>
    <w:next w:val="CommentText"/>
    <w:link w:val="CommentSubjectChar"/>
    <w:unhideWhenUsed/>
    <w:rsid w:val="00AA1EC6"/>
    <w:rPr>
      <w:b/>
      <w:bCs/>
    </w:rPr>
  </w:style>
  <w:style w:type="character" w:customStyle="1" w:styleId="CommentSubjectChar">
    <w:name w:val="Comment Subject Char"/>
    <w:basedOn w:val="CommentTextChar"/>
    <w:link w:val="CommentSubject"/>
    <w:rsid w:val="00AA1EC6"/>
    <w:rPr>
      <w:b/>
      <w:bCs/>
      <w:sz w:val="20"/>
      <w:szCs w:val="20"/>
    </w:rPr>
  </w:style>
  <w:style w:type="paragraph" w:styleId="NoSpacing">
    <w:name w:val="No Spacing"/>
    <w:link w:val="NoSpacingChar"/>
    <w:uiPriority w:val="1"/>
    <w:qFormat/>
    <w:rsid w:val="008903F7"/>
    <w:pPr>
      <w:spacing w:after="0" w:line="240" w:lineRule="auto"/>
    </w:pPr>
  </w:style>
  <w:style w:type="character" w:customStyle="1" w:styleId="NoSpacingChar">
    <w:name w:val="No Spacing Char"/>
    <w:basedOn w:val="DefaultParagraphFont"/>
    <w:link w:val="NoSpacing"/>
    <w:uiPriority w:val="1"/>
    <w:rsid w:val="008903F7"/>
  </w:style>
  <w:style w:type="paragraph" w:styleId="ListParagraph">
    <w:name w:val="List Paragraph"/>
    <w:aliases w:val="Left Bullet L1"/>
    <w:basedOn w:val="Normal"/>
    <w:link w:val="ListParagraphChar"/>
    <w:uiPriority w:val="34"/>
    <w:qFormat/>
    <w:rsid w:val="008903F7"/>
    <w:pPr>
      <w:ind w:left="720"/>
      <w:contextualSpacing/>
    </w:pPr>
  </w:style>
  <w:style w:type="character" w:customStyle="1" w:styleId="ListParagraphChar">
    <w:name w:val="List Paragraph Char"/>
    <w:aliases w:val="Left Bullet L1 Char"/>
    <w:basedOn w:val="DefaultParagraphFont"/>
    <w:link w:val="ListParagraph"/>
    <w:uiPriority w:val="34"/>
    <w:rsid w:val="008903F7"/>
  </w:style>
  <w:style w:type="paragraph" w:styleId="BalloonText">
    <w:name w:val="Balloon Text"/>
    <w:basedOn w:val="Normal"/>
    <w:link w:val="BalloonTextChar"/>
    <w:uiPriority w:val="99"/>
    <w:unhideWhenUsed/>
    <w:rsid w:val="008903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8903F7"/>
    <w:rPr>
      <w:rFonts w:ascii="Segoe UI" w:hAnsi="Segoe UI" w:cs="Segoe UI"/>
      <w:sz w:val="18"/>
      <w:szCs w:val="18"/>
    </w:rPr>
  </w:style>
  <w:style w:type="character" w:styleId="Hyperlink">
    <w:name w:val="Hyperlink"/>
    <w:basedOn w:val="DefaultParagraphFont"/>
    <w:uiPriority w:val="99"/>
    <w:unhideWhenUsed/>
    <w:rsid w:val="008903F7"/>
    <w:rPr>
      <w:color w:val="0563C1" w:themeColor="hyperlink"/>
      <w:u w:val="single"/>
    </w:rPr>
  </w:style>
  <w:style w:type="table" w:styleId="TableGrid">
    <w:name w:val="Table Grid"/>
    <w:basedOn w:val="TableNormal"/>
    <w:uiPriority w:val="39"/>
    <w:rsid w:val="00890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ußnotentextf,Footnote text,Fußnote,-E Fußnotentext,Fußnotentext Ursprung,footnote text,-E Fußnotentext1,-E Fußnotentext2,-E Fußnotentext3"/>
    <w:basedOn w:val="Normal"/>
    <w:link w:val="FootnoteTextChar"/>
    <w:uiPriority w:val="99"/>
    <w:unhideWhenUsed/>
    <w:rsid w:val="008903F7"/>
    <w:pPr>
      <w:spacing w:after="0" w:line="240" w:lineRule="auto"/>
    </w:pPr>
    <w:rPr>
      <w:sz w:val="20"/>
      <w:szCs w:val="20"/>
    </w:rPr>
  </w:style>
  <w:style w:type="character" w:customStyle="1" w:styleId="FootnoteTextChar">
    <w:name w:val="Footnote Text Char"/>
    <w:aliases w:val="Fußnotentextf Char,Footnote text Char,Fußnote Char,-E Fußnotentext Char,Fußnotentext Ursprung Char,footnote text Char,-E Fußnotentext1 Char,-E Fußnotentext2 Char,-E Fußnotentext3 Char"/>
    <w:basedOn w:val="DefaultParagraphFont"/>
    <w:link w:val="FootnoteText"/>
    <w:uiPriority w:val="99"/>
    <w:rsid w:val="008903F7"/>
    <w:rPr>
      <w:sz w:val="20"/>
      <w:szCs w:val="20"/>
    </w:rPr>
  </w:style>
  <w:style w:type="character" w:styleId="FootnoteReference">
    <w:name w:val="footnote reference"/>
    <w:aliases w:val="SUPERS,EN Footnote Reference,number"/>
    <w:basedOn w:val="DefaultParagraphFont"/>
    <w:uiPriority w:val="99"/>
    <w:unhideWhenUsed/>
    <w:rsid w:val="008903F7"/>
    <w:rPr>
      <w:vertAlign w:val="superscript"/>
    </w:rPr>
  </w:style>
  <w:style w:type="paragraph" w:styleId="Header">
    <w:name w:val="header"/>
    <w:basedOn w:val="Normal"/>
    <w:link w:val="HeaderChar"/>
    <w:uiPriority w:val="99"/>
    <w:unhideWhenUsed/>
    <w:rsid w:val="008903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03F7"/>
  </w:style>
  <w:style w:type="paragraph" w:styleId="Footer">
    <w:name w:val="footer"/>
    <w:aliases w:val=" BN,BN"/>
    <w:basedOn w:val="Normal"/>
    <w:link w:val="FooterChar"/>
    <w:uiPriority w:val="99"/>
    <w:unhideWhenUsed/>
    <w:qFormat/>
    <w:rsid w:val="008903F7"/>
    <w:pPr>
      <w:tabs>
        <w:tab w:val="center" w:pos="4513"/>
        <w:tab w:val="right" w:pos="9026"/>
      </w:tabs>
      <w:spacing w:after="0" w:line="240" w:lineRule="auto"/>
    </w:pPr>
  </w:style>
  <w:style w:type="character" w:customStyle="1" w:styleId="FooterChar">
    <w:name w:val="Footer Char"/>
    <w:aliases w:val=" BN Char,BN Char"/>
    <w:basedOn w:val="DefaultParagraphFont"/>
    <w:link w:val="Footer"/>
    <w:uiPriority w:val="99"/>
    <w:rsid w:val="008903F7"/>
  </w:style>
  <w:style w:type="paragraph" w:customStyle="1" w:styleId="Body">
    <w:name w:val="Body"/>
    <w:rsid w:val="008903F7"/>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en-US" w:eastAsia="en-GB"/>
    </w:rPr>
  </w:style>
  <w:style w:type="character" w:customStyle="1" w:styleId="Hyperlink3">
    <w:name w:val="Hyperlink.3"/>
    <w:basedOn w:val="DefaultParagraphFont"/>
    <w:rsid w:val="008903F7"/>
    <w:rPr>
      <w:sz w:val="20"/>
      <w:szCs w:val="20"/>
      <w:lang w:val="en-US"/>
    </w:rPr>
  </w:style>
  <w:style w:type="paragraph" w:customStyle="1" w:styleId="Normalsingle">
    <w:name w:val="Normal single"/>
    <w:basedOn w:val="Normal"/>
    <w:qFormat/>
    <w:rsid w:val="008903F7"/>
    <w:pPr>
      <w:spacing w:before="120" w:after="120" w:line="240" w:lineRule="auto"/>
    </w:pPr>
    <w:rPr>
      <w:rFonts w:ascii="Calibri" w:eastAsia="Times New Roman" w:hAnsi="Calibri" w:cs="Times New Roman"/>
      <w:sz w:val="24"/>
      <w:szCs w:val="24"/>
      <w:lang w:eastAsia="en-GB"/>
    </w:rPr>
  </w:style>
  <w:style w:type="paragraph" w:customStyle="1" w:styleId="00DDPPNormal">
    <w:name w:val="00 DDPP Normal"/>
    <w:basedOn w:val="Normal"/>
    <w:qFormat/>
    <w:rsid w:val="008903F7"/>
    <w:pPr>
      <w:spacing w:before="60" w:after="0"/>
      <w:jc w:val="both"/>
    </w:pPr>
    <w:rPr>
      <w:rFonts w:ascii="Arial" w:hAnsi="Arial"/>
      <w:color w:val="000000" w:themeColor="text1"/>
      <w:sz w:val="20"/>
    </w:rPr>
  </w:style>
  <w:style w:type="paragraph" w:styleId="Caption">
    <w:name w:val="caption"/>
    <w:basedOn w:val="Normal"/>
    <w:next w:val="Normal"/>
    <w:uiPriority w:val="35"/>
    <w:unhideWhenUsed/>
    <w:qFormat/>
    <w:rsid w:val="008903F7"/>
    <w:pPr>
      <w:spacing w:after="200" w:line="240" w:lineRule="auto"/>
    </w:pPr>
    <w:rPr>
      <w:rFonts w:eastAsia="Arial Unicode MS"/>
      <w:b/>
      <w:i/>
      <w:iCs/>
      <w:sz w:val="20"/>
      <w:szCs w:val="18"/>
    </w:rPr>
  </w:style>
  <w:style w:type="paragraph" w:customStyle="1" w:styleId="Normal-Table">
    <w:name w:val="Normal - Table"/>
    <w:basedOn w:val="Normal"/>
    <w:link w:val="Normal-TableChar"/>
    <w:rsid w:val="008903F7"/>
    <w:pPr>
      <w:spacing w:after="0" w:line="240" w:lineRule="auto"/>
      <w:contextualSpacing/>
    </w:pPr>
    <w:rPr>
      <w:rFonts w:ascii="Calibri" w:eastAsia="Times New Roman" w:hAnsi="Calibri" w:cs="Times New Roman"/>
      <w:sz w:val="24"/>
      <w:szCs w:val="24"/>
      <w:lang w:eastAsia="en-GB"/>
    </w:rPr>
  </w:style>
  <w:style w:type="character" w:customStyle="1" w:styleId="Normal-TableChar">
    <w:name w:val="Normal - Table Char"/>
    <w:basedOn w:val="DefaultParagraphFont"/>
    <w:link w:val="Normal-Table"/>
    <w:rsid w:val="008903F7"/>
    <w:rPr>
      <w:rFonts w:ascii="Calibri" w:eastAsia="Times New Roman" w:hAnsi="Calibri" w:cs="Times New Roman"/>
      <w:sz w:val="24"/>
      <w:szCs w:val="24"/>
      <w:lang w:eastAsia="en-GB"/>
    </w:rPr>
  </w:style>
  <w:style w:type="paragraph" w:styleId="EndnoteText">
    <w:name w:val="endnote text"/>
    <w:basedOn w:val="Normal"/>
    <w:link w:val="EndnoteTextChar"/>
    <w:uiPriority w:val="99"/>
    <w:unhideWhenUsed/>
    <w:rsid w:val="008903F7"/>
    <w:pPr>
      <w:spacing w:after="0" w:line="240" w:lineRule="auto"/>
    </w:pPr>
    <w:rPr>
      <w:sz w:val="20"/>
      <w:szCs w:val="20"/>
    </w:rPr>
  </w:style>
  <w:style w:type="character" w:customStyle="1" w:styleId="EndnoteTextChar">
    <w:name w:val="Endnote Text Char"/>
    <w:basedOn w:val="DefaultParagraphFont"/>
    <w:link w:val="EndnoteText"/>
    <w:uiPriority w:val="99"/>
    <w:rsid w:val="008903F7"/>
    <w:rPr>
      <w:sz w:val="20"/>
      <w:szCs w:val="20"/>
    </w:rPr>
  </w:style>
  <w:style w:type="character" w:styleId="EndnoteReference">
    <w:name w:val="endnote reference"/>
    <w:basedOn w:val="DefaultParagraphFont"/>
    <w:uiPriority w:val="99"/>
    <w:unhideWhenUsed/>
    <w:rsid w:val="008903F7"/>
    <w:rPr>
      <w:vertAlign w:val="superscript"/>
    </w:rPr>
  </w:style>
  <w:style w:type="character" w:styleId="Strong">
    <w:name w:val="Strong"/>
    <w:qFormat/>
    <w:rsid w:val="008903F7"/>
    <w:rPr>
      <w:rFonts w:ascii="Arial" w:hAnsi="Arial"/>
      <w:b/>
      <w:bCs/>
      <w:lang w:val="en-US"/>
    </w:rPr>
  </w:style>
  <w:style w:type="character" w:customStyle="1" w:styleId="Hyperlink0">
    <w:name w:val="Hyperlink.0"/>
    <w:basedOn w:val="DefaultParagraphFont"/>
    <w:rsid w:val="008903F7"/>
    <w:rPr>
      <w:color w:val="0000FF"/>
      <w:sz w:val="18"/>
      <w:szCs w:val="18"/>
      <w:u w:val="single" w:color="0000FF"/>
    </w:rPr>
  </w:style>
  <w:style w:type="character" w:customStyle="1" w:styleId="None">
    <w:name w:val="None"/>
    <w:rsid w:val="008903F7"/>
  </w:style>
  <w:style w:type="character" w:customStyle="1" w:styleId="Hyperlink2">
    <w:name w:val="Hyperlink.2"/>
    <w:basedOn w:val="None"/>
    <w:rsid w:val="008903F7"/>
    <w:rPr>
      <w:sz w:val="20"/>
      <w:szCs w:val="20"/>
    </w:rPr>
  </w:style>
  <w:style w:type="paragraph" w:customStyle="1" w:styleId="BodyA">
    <w:name w:val="Body A"/>
    <w:rsid w:val="008903F7"/>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en-US" w:eastAsia="en-GB"/>
    </w:rPr>
  </w:style>
  <w:style w:type="paragraph" w:customStyle="1" w:styleId="16DDPPL2">
    <w:name w:val="16 DDPP L2"/>
    <w:basedOn w:val="Normal"/>
    <w:link w:val="16DDPPL2Char"/>
    <w:qFormat/>
    <w:rsid w:val="008903F7"/>
    <w:pPr>
      <w:spacing w:before="60" w:after="0"/>
    </w:pPr>
    <w:rPr>
      <w:rFonts w:ascii="Helvetica" w:hAnsi="Helvetica"/>
      <w:b/>
      <w:i/>
      <w:color w:val="636466"/>
      <w:sz w:val="21"/>
    </w:rPr>
  </w:style>
  <w:style w:type="character" w:customStyle="1" w:styleId="16DDPPL2Char">
    <w:name w:val="16 DDPP L2 Char"/>
    <w:basedOn w:val="DefaultParagraphFont"/>
    <w:link w:val="16DDPPL2"/>
    <w:rsid w:val="008903F7"/>
    <w:rPr>
      <w:rFonts w:ascii="Helvetica" w:hAnsi="Helvetica"/>
      <w:b/>
      <w:i/>
      <w:color w:val="636466"/>
      <w:sz w:val="21"/>
    </w:rPr>
  </w:style>
  <w:style w:type="paragraph" w:styleId="TOC1">
    <w:name w:val="toc 1"/>
    <w:basedOn w:val="Normal"/>
    <w:next w:val="Normal"/>
    <w:autoRedefine/>
    <w:uiPriority w:val="39"/>
    <w:unhideWhenUsed/>
    <w:qFormat/>
    <w:rsid w:val="008903F7"/>
    <w:pPr>
      <w:tabs>
        <w:tab w:val="left" w:pos="600"/>
        <w:tab w:val="right" w:leader="dot" w:pos="9782"/>
      </w:tabs>
      <w:spacing w:before="60" w:after="0" w:line="240" w:lineRule="auto"/>
    </w:pPr>
  </w:style>
  <w:style w:type="paragraph" w:styleId="TOC2">
    <w:name w:val="toc 2"/>
    <w:basedOn w:val="Normal"/>
    <w:next w:val="Normal"/>
    <w:autoRedefine/>
    <w:uiPriority w:val="39"/>
    <w:unhideWhenUsed/>
    <w:qFormat/>
    <w:rsid w:val="008903F7"/>
    <w:pPr>
      <w:ind w:left="220"/>
    </w:pPr>
  </w:style>
  <w:style w:type="paragraph" w:styleId="TOC3">
    <w:name w:val="toc 3"/>
    <w:basedOn w:val="Normal"/>
    <w:next w:val="Normal"/>
    <w:autoRedefine/>
    <w:uiPriority w:val="39"/>
    <w:unhideWhenUsed/>
    <w:qFormat/>
    <w:rsid w:val="008903F7"/>
    <w:pPr>
      <w:ind w:left="440"/>
    </w:pPr>
  </w:style>
  <w:style w:type="paragraph" w:styleId="TOC4">
    <w:name w:val="toc 4"/>
    <w:basedOn w:val="Normal"/>
    <w:next w:val="Normal"/>
    <w:autoRedefine/>
    <w:uiPriority w:val="39"/>
    <w:unhideWhenUsed/>
    <w:rsid w:val="008903F7"/>
    <w:pPr>
      <w:ind w:left="600"/>
    </w:pPr>
  </w:style>
  <w:style w:type="paragraph" w:styleId="TOC5">
    <w:name w:val="toc 5"/>
    <w:basedOn w:val="Normal"/>
    <w:next w:val="Normal"/>
    <w:autoRedefine/>
    <w:uiPriority w:val="39"/>
    <w:unhideWhenUsed/>
    <w:rsid w:val="008903F7"/>
    <w:pPr>
      <w:ind w:left="800"/>
    </w:pPr>
  </w:style>
  <w:style w:type="paragraph" w:styleId="TOC6">
    <w:name w:val="toc 6"/>
    <w:basedOn w:val="Normal"/>
    <w:next w:val="Normal"/>
    <w:autoRedefine/>
    <w:uiPriority w:val="39"/>
    <w:unhideWhenUsed/>
    <w:rsid w:val="008903F7"/>
    <w:pPr>
      <w:ind w:left="1000"/>
    </w:pPr>
  </w:style>
  <w:style w:type="paragraph" w:styleId="TOC7">
    <w:name w:val="toc 7"/>
    <w:basedOn w:val="Normal"/>
    <w:next w:val="Normal"/>
    <w:autoRedefine/>
    <w:uiPriority w:val="39"/>
    <w:unhideWhenUsed/>
    <w:rsid w:val="008903F7"/>
    <w:pPr>
      <w:ind w:left="1200"/>
    </w:pPr>
  </w:style>
  <w:style w:type="paragraph" w:styleId="TOC8">
    <w:name w:val="toc 8"/>
    <w:basedOn w:val="Normal"/>
    <w:next w:val="Normal"/>
    <w:autoRedefine/>
    <w:uiPriority w:val="39"/>
    <w:unhideWhenUsed/>
    <w:rsid w:val="008903F7"/>
    <w:pPr>
      <w:ind w:left="1400"/>
    </w:pPr>
  </w:style>
  <w:style w:type="paragraph" w:styleId="TOC9">
    <w:name w:val="toc 9"/>
    <w:basedOn w:val="Normal"/>
    <w:next w:val="Normal"/>
    <w:autoRedefine/>
    <w:uiPriority w:val="39"/>
    <w:unhideWhenUsed/>
    <w:rsid w:val="008903F7"/>
    <w:pPr>
      <w:ind w:left="1600"/>
    </w:pPr>
  </w:style>
  <w:style w:type="paragraph" w:customStyle="1" w:styleId="Default">
    <w:name w:val="Default"/>
    <w:rsid w:val="008903F7"/>
    <w:pPr>
      <w:autoSpaceDE w:val="0"/>
      <w:autoSpaceDN w:val="0"/>
      <w:adjustRightInd w:val="0"/>
      <w:spacing w:after="0" w:line="240" w:lineRule="auto"/>
    </w:pPr>
    <w:rPr>
      <w:rFonts w:ascii="Arial" w:eastAsia="Calibri" w:hAnsi="Arial" w:cs="Arial"/>
      <w:color w:val="000000"/>
      <w:sz w:val="24"/>
      <w:szCs w:val="24"/>
    </w:rPr>
  </w:style>
  <w:style w:type="character" w:customStyle="1" w:styleId="DocumentMapChar">
    <w:name w:val="Document Map Char"/>
    <w:basedOn w:val="DefaultParagraphFont"/>
    <w:link w:val="DocumentMap"/>
    <w:semiHidden/>
    <w:rsid w:val="008903F7"/>
    <w:rPr>
      <w:rFonts w:ascii="Lucida Grande" w:hAnsi="Lucida Grande" w:cs="Lucida Grande"/>
      <w:sz w:val="24"/>
      <w:szCs w:val="24"/>
    </w:rPr>
  </w:style>
  <w:style w:type="paragraph" w:styleId="DocumentMap">
    <w:name w:val="Document Map"/>
    <w:basedOn w:val="Normal"/>
    <w:link w:val="DocumentMapChar"/>
    <w:semiHidden/>
    <w:unhideWhenUsed/>
    <w:rsid w:val="008903F7"/>
    <w:rPr>
      <w:rFonts w:ascii="Lucida Grande" w:hAnsi="Lucida Grande" w:cs="Lucida Grande"/>
      <w:sz w:val="24"/>
      <w:szCs w:val="24"/>
    </w:rPr>
  </w:style>
  <w:style w:type="paragraph" w:styleId="Title">
    <w:name w:val="Title"/>
    <w:basedOn w:val="Normal"/>
    <w:next w:val="Normal"/>
    <w:link w:val="TitleChar"/>
    <w:uiPriority w:val="10"/>
    <w:qFormat/>
    <w:rsid w:val="008903F7"/>
    <w:pPr>
      <w:keepNext/>
      <w:keepLines/>
      <w:contextualSpacing/>
      <w:jc w:val="center"/>
    </w:pPr>
    <w:rPr>
      <w:b/>
      <w:sz w:val="36"/>
    </w:rPr>
  </w:style>
  <w:style w:type="character" w:customStyle="1" w:styleId="TitleChar">
    <w:name w:val="Title Char"/>
    <w:basedOn w:val="DefaultParagraphFont"/>
    <w:link w:val="Title"/>
    <w:uiPriority w:val="10"/>
    <w:rsid w:val="008903F7"/>
    <w:rPr>
      <w:b/>
      <w:sz w:val="36"/>
    </w:rPr>
  </w:style>
  <w:style w:type="paragraph" w:styleId="Subtitle">
    <w:name w:val="Subtitle"/>
    <w:basedOn w:val="Normal"/>
    <w:next w:val="Normal"/>
    <w:link w:val="SubtitleChar"/>
    <w:qFormat/>
    <w:rsid w:val="008903F7"/>
    <w:pPr>
      <w:keepNext/>
      <w:keepLines/>
      <w:contextualSpacing/>
    </w:pPr>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8903F7"/>
    <w:rPr>
      <w:rFonts w:ascii="Trebuchet MS" w:eastAsia="Trebuchet MS" w:hAnsi="Trebuchet MS" w:cs="Trebuchet MS"/>
      <w:i/>
      <w:color w:val="666666"/>
      <w:sz w:val="26"/>
    </w:rPr>
  </w:style>
  <w:style w:type="paragraph" w:styleId="TOCHeading">
    <w:name w:val="TOC Heading"/>
    <w:basedOn w:val="Heading1"/>
    <w:next w:val="Normal"/>
    <w:uiPriority w:val="39"/>
    <w:unhideWhenUsed/>
    <w:qFormat/>
    <w:rsid w:val="008903F7"/>
    <w:pPr>
      <w:spacing w:before="480"/>
      <w:outlineLvl w:val="9"/>
    </w:pPr>
    <w:rPr>
      <w:rFonts w:ascii="Cambria" w:eastAsia="MS Gothic" w:hAnsi="Cambria" w:cs="Times New Roman"/>
      <w:bCs/>
      <w:color w:val="365F91"/>
      <w:szCs w:val="28"/>
      <w:lang w:eastAsia="ja-JP"/>
    </w:rPr>
  </w:style>
  <w:style w:type="paragraph" w:customStyle="1" w:styleId="10DDPPH1">
    <w:name w:val="10 DDPP H1"/>
    <w:basedOn w:val="Heading1"/>
    <w:link w:val="10DDPPH1Char"/>
    <w:qFormat/>
    <w:rsid w:val="008903F7"/>
    <w:pPr>
      <w:pageBreakBefore/>
      <w:numPr>
        <w:numId w:val="18"/>
      </w:numPr>
      <w:spacing w:before="960" w:after="120"/>
      <w:ind w:left="720" w:hanging="720"/>
    </w:pPr>
    <w:rPr>
      <w:rFonts w:ascii="HelveticaNeueLT Pro 95 Blk" w:hAnsi="HelveticaNeueLT Pro 95 Blk"/>
      <w:color w:val="005AAB"/>
      <w:sz w:val="36"/>
      <w:szCs w:val="28"/>
    </w:rPr>
  </w:style>
  <w:style w:type="character" w:customStyle="1" w:styleId="10DDPPH1Char">
    <w:name w:val="10 DDPP H1 Char"/>
    <w:link w:val="10DDPPH1"/>
    <w:rsid w:val="008903F7"/>
    <w:rPr>
      <w:rFonts w:ascii="HelveticaNeueLT Pro 95 Blk" w:eastAsiaTheme="majorEastAsia" w:hAnsi="HelveticaNeueLT Pro 95 Blk" w:cstheme="majorBidi"/>
      <w:b/>
      <w:color w:val="005AAB"/>
      <w:sz w:val="36"/>
      <w:szCs w:val="28"/>
      <w:lang w:val="en-US"/>
    </w:rPr>
  </w:style>
  <w:style w:type="paragraph" w:customStyle="1" w:styleId="03DDPPCredits">
    <w:name w:val="03 DDPP Credits"/>
    <w:basedOn w:val="NoSpacing"/>
    <w:link w:val="03DDPPCreditsChar"/>
    <w:qFormat/>
    <w:rsid w:val="008903F7"/>
    <w:pPr>
      <w:spacing w:line="276" w:lineRule="auto"/>
    </w:pPr>
    <w:rPr>
      <w:rFonts w:ascii="HelveticaNeueLT Pro 45 Lt" w:eastAsia="Times New Roman" w:hAnsi="HelveticaNeueLT Pro 45 Lt" w:cs="Helvetica"/>
      <w:sz w:val="20"/>
      <w:szCs w:val="21"/>
      <w:lang w:val="en-US" w:eastAsia="ja-JP"/>
    </w:rPr>
  </w:style>
  <w:style w:type="character" w:customStyle="1" w:styleId="03DDPPCreditsChar">
    <w:name w:val="03 DDPP Credits Char"/>
    <w:basedOn w:val="NoSpacingChar"/>
    <w:link w:val="03DDPPCredits"/>
    <w:rsid w:val="008903F7"/>
    <w:rPr>
      <w:rFonts w:ascii="HelveticaNeueLT Pro 45 Lt" w:eastAsia="Times New Roman" w:hAnsi="HelveticaNeueLT Pro 45 Lt" w:cs="Helvetica"/>
      <w:sz w:val="20"/>
      <w:szCs w:val="21"/>
      <w:lang w:val="en-US" w:eastAsia="ja-JP"/>
    </w:rPr>
  </w:style>
  <w:style w:type="paragraph" w:customStyle="1" w:styleId="60DDPPTabLabel">
    <w:name w:val="60 DDPP Tab Label"/>
    <w:basedOn w:val="40DDPPFigLabel"/>
    <w:link w:val="60DDPPTabLabelChar"/>
    <w:qFormat/>
    <w:rsid w:val="008903F7"/>
  </w:style>
  <w:style w:type="paragraph" w:customStyle="1" w:styleId="40DDPPFigLabel">
    <w:name w:val="40 DDPP Fig Label"/>
    <w:basedOn w:val="00DDPPNormal"/>
    <w:qFormat/>
    <w:rsid w:val="008903F7"/>
    <w:pPr>
      <w:keepNext/>
      <w:spacing w:before="240"/>
    </w:pPr>
    <w:rPr>
      <w:rFonts w:ascii="Arial Narrow" w:hAnsi="Arial Narrow"/>
      <w:b/>
      <w:color w:val="595959" w:themeColor="text1" w:themeTint="A6"/>
      <w:sz w:val="21"/>
    </w:rPr>
  </w:style>
  <w:style w:type="character" w:customStyle="1" w:styleId="60DDPPTabLabelChar">
    <w:name w:val="60 DDPP Tab Label Char"/>
    <w:link w:val="60DDPPTabLabel"/>
    <w:rsid w:val="008903F7"/>
    <w:rPr>
      <w:rFonts w:ascii="Arial Narrow" w:hAnsi="Arial Narrow"/>
      <w:b/>
      <w:color w:val="595959" w:themeColor="text1" w:themeTint="A6"/>
      <w:sz w:val="21"/>
    </w:rPr>
  </w:style>
  <w:style w:type="paragraph" w:customStyle="1" w:styleId="02DDPPTTCountry">
    <w:name w:val="02 DDPP TT Country"/>
    <w:basedOn w:val="Normal"/>
    <w:link w:val="02DDPPTTCountryChar"/>
    <w:qFormat/>
    <w:rsid w:val="008903F7"/>
    <w:pPr>
      <w:pageBreakBefore/>
      <w:spacing w:before="960" w:after="480"/>
      <w:contextualSpacing/>
    </w:pPr>
    <w:rPr>
      <w:rFonts w:ascii="HelveticaNeueLT Pro 65 Md" w:hAnsi="HelveticaNeueLT Pro 65 Md" w:cs="Helvetica"/>
      <w:b/>
      <w:sz w:val="48"/>
      <w:szCs w:val="30"/>
    </w:rPr>
  </w:style>
  <w:style w:type="character" w:customStyle="1" w:styleId="02DDPPTTCountryChar">
    <w:name w:val="02 DDPP TT Country Char"/>
    <w:basedOn w:val="DefaultParagraphFont"/>
    <w:link w:val="02DDPPTTCountry"/>
    <w:rsid w:val="008903F7"/>
    <w:rPr>
      <w:rFonts w:ascii="HelveticaNeueLT Pro 65 Md" w:hAnsi="HelveticaNeueLT Pro 65 Md" w:cs="Helvetica"/>
      <w:b/>
      <w:sz w:val="48"/>
      <w:szCs w:val="30"/>
    </w:rPr>
  </w:style>
  <w:style w:type="character" w:styleId="Emphasis">
    <w:name w:val="Emphasis"/>
    <w:basedOn w:val="DefaultParagraphFont"/>
    <w:uiPriority w:val="20"/>
    <w:qFormat/>
    <w:rsid w:val="008903F7"/>
    <w:rPr>
      <w:i/>
      <w:iCs/>
    </w:rPr>
  </w:style>
  <w:style w:type="paragraph" w:customStyle="1" w:styleId="11DDPPH2">
    <w:name w:val="11 DDPP H2"/>
    <w:basedOn w:val="10DDPPH1"/>
    <w:link w:val="11DDPPH2Char"/>
    <w:qFormat/>
    <w:rsid w:val="008903F7"/>
    <w:pPr>
      <w:pageBreakBefore w:val="0"/>
      <w:numPr>
        <w:ilvl w:val="1"/>
      </w:numPr>
      <w:spacing w:before="480"/>
      <w:ind w:left="720" w:hanging="720"/>
    </w:pPr>
    <w:rPr>
      <w:rFonts w:ascii="HelveticaNeueLT Pro 65 Md" w:hAnsi="HelveticaNeueLT Pro 65 Md"/>
      <w:sz w:val="25"/>
      <w:szCs w:val="25"/>
    </w:rPr>
  </w:style>
  <w:style w:type="character" w:customStyle="1" w:styleId="11DDPPH2Char">
    <w:name w:val="11 DDPP H2 Char"/>
    <w:basedOn w:val="10DDPPH1Char"/>
    <w:link w:val="11DDPPH2"/>
    <w:rsid w:val="008903F7"/>
    <w:rPr>
      <w:rFonts w:ascii="HelveticaNeueLT Pro 65 Md" w:eastAsiaTheme="majorEastAsia" w:hAnsi="HelveticaNeueLT Pro 65 Md" w:cstheme="majorBidi"/>
      <w:b/>
      <w:color w:val="005AAB"/>
      <w:sz w:val="25"/>
      <w:szCs w:val="25"/>
      <w:lang w:val="en-US"/>
    </w:rPr>
  </w:style>
  <w:style w:type="paragraph" w:customStyle="1" w:styleId="15DDPPL1">
    <w:name w:val="15 DDPP L1"/>
    <w:basedOn w:val="Normal"/>
    <w:link w:val="15DDPPL1Char"/>
    <w:qFormat/>
    <w:rsid w:val="008903F7"/>
    <w:pPr>
      <w:spacing w:before="120" w:after="0"/>
    </w:pPr>
    <w:rPr>
      <w:rFonts w:ascii="HelveticaNeueLT Pro 65 Md" w:hAnsi="HelveticaNeueLT Pro 65 Md"/>
      <w:b/>
      <w:color w:val="636466"/>
      <w:sz w:val="21"/>
      <w:szCs w:val="24"/>
    </w:rPr>
  </w:style>
  <w:style w:type="character" w:customStyle="1" w:styleId="15DDPPL1Char">
    <w:name w:val="15 DDPP L1 Char"/>
    <w:basedOn w:val="DefaultParagraphFont"/>
    <w:link w:val="15DDPPL1"/>
    <w:rsid w:val="008903F7"/>
    <w:rPr>
      <w:rFonts w:ascii="HelveticaNeueLT Pro 65 Md" w:hAnsi="HelveticaNeueLT Pro 65 Md"/>
      <w:b/>
      <w:color w:val="636466"/>
      <w:sz w:val="21"/>
      <w:szCs w:val="24"/>
    </w:rPr>
  </w:style>
  <w:style w:type="paragraph" w:customStyle="1" w:styleId="12DDPPH3">
    <w:name w:val="12 DDPP H3"/>
    <w:basedOn w:val="11DDPPH2"/>
    <w:link w:val="12DDPPH3Char"/>
    <w:qFormat/>
    <w:rsid w:val="008903F7"/>
    <w:pPr>
      <w:numPr>
        <w:ilvl w:val="2"/>
      </w:numPr>
      <w:ind w:left="720" w:hanging="720"/>
    </w:pPr>
  </w:style>
  <w:style w:type="character" w:customStyle="1" w:styleId="12DDPPH3Char">
    <w:name w:val="12 DDPP H3 Char"/>
    <w:basedOn w:val="11DDPPH2Char"/>
    <w:link w:val="12DDPPH3"/>
    <w:rsid w:val="008903F7"/>
    <w:rPr>
      <w:rFonts w:ascii="HelveticaNeueLT Pro 65 Md" w:eastAsiaTheme="majorEastAsia" w:hAnsi="HelveticaNeueLT Pro 65 Md" w:cstheme="majorBidi"/>
      <w:b/>
      <w:color w:val="005AAB"/>
      <w:sz w:val="25"/>
      <w:szCs w:val="25"/>
      <w:lang w:val="en-US"/>
    </w:rPr>
  </w:style>
  <w:style w:type="paragraph" w:customStyle="1" w:styleId="51DDPPFigOrTabSource">
    <w:name w:val="51 DDPP FigOrTab Source"/>
    <w:basedOn w:val="Normal"/>
    <w:link w:val="51DDPPFigOrTabSourceChar"/>
    <w:qFormat/>
    <w:rsid w:val="008903F7"/>
    <w:rPr>
      <w:rFonts w:ascii="Helvetica Neue" w:hAnsi="Helvetica Neue" w:cs="Helvetica"/>
      <w:i/>
      <w:sz w:val="16"/>
      <w:lang w:eastAsia="ja-JP"/>
    </w:rPr>
  </w:style>
  <w:style w:type="character" w:customStyle="1" w:styleId="51DDPPFigOrTabSourceChar">
    <w:name w:val="51 DDPP FigOrTab Source Char"/>
    <w:basedOn w:val="DefaultParagraphFont"/>
    <w:link w:val="51DDPPFigOrTabSource"/>
    <w:rsid w:val="008903F7"/>
    <w:rPr>
      <w:rFonts w:ascii="Helvetica Neue" w:hAnsi="Helvetica Neue" w:cs="Helvetica"/>
      <w:i/>
      <w:sz w:val="16"/>
      <w:lang w:eastAsia="ja-JP"/>
    </w:rPr>
  </w:style>
  <w:style w:type="paragraph" w:customStyle="1" w:styleId="Paragraphedeliste1">
    <w:name w:val="Paragraphe de liste1"/>
    <w:basedOn w:val="Normal"/>
    <w:uiPriority w:val="99"/>
    <w:rsid w:val="008903F7"/>
    <w:pPr>
      <w:ind w:left="720"/>
      <w:contextualSpacing/>
    </w:pPr>
  </w:style>
  <w:style w:type="character" w:customStyle="1" w:styleId="tgtcoll">
    <w:name w:val="tgtcoll"/>
    <w:uiPriority w:val="99"/>
    <w:rsid w:val="008903F7"/>
    <w:rPr>
      <w:rFonts w:cs="Times New Roman"/>
    </w:rPr>
  </w:style>
  <w:style w:type="paragraph" w:styleId="Quote">
    <w:name w:val="Quote"/>
    <w:basedOn w:val="Normal"/>
    <w:next w:val="Normal"/>
    <w:link w:val="QuoteChar"/>
    <w:uiPriority w:val="29"/>
    <w:qFormat/>
    <w:rsid w:val="008903F7"/>
    <w:rPr>
      <w:i/>
    </w:rPr>
  </w:style>
  <w:style w:type="character" w:customStyle="1" w:styleId="QuoteChar">
    <w:name w:val="Quote Char"/>
    <w:basedOn w:val="DefaultParagraphFont"/>
    <w:link w:val="Quote"/>
    <w:uiPriority w:val="29"/>
    <w:rsid w:val="008903F7"/>
    <w:rPr>
      <w:i/>
    </w:rPr>
  </w:style>
  <w:style w:type="paragraph" w:styleId="IntenseQuote">
    <w:name w:val="Intense Quote"/>
    <w:basedOn w:val="Normal"/>
    <w:next w:val="Normal"/>
    <w:link w:val="IntenseQuoteChar"/>
    <w:uiPriority w:val="30"/>
    <w:qFormat/>
    <w:rsid w:val="008903F7"/>
    <w:pPr>
      <w:ind w:left="720" w:right="720"/>
    </w:pPr>
    <w:rPr>
      <w:b/>
      <w:i/>
    </w:rPr>
  </w:style>
  <w:style w:type="character" w:customStyle="1" w:styleId="IntenseQuoteChar">
    <w:name w:val="Intense Quote Char"/>
    <w:basedOn w:val="DefaultParagraphFont"/>
    <w:link w:val="IntenseQuote"/>
    <w:uiPriority w:val="30"/>
    <w:rsid w:val="008903F7"/>
    <w:rPr>
      <w:b/>
      <w:i/>
    </w:rPr>
  </w:style>
  <w:style w:type="character" w:styleId="SubtleEmphasis">
    <w:name w:val="Subtle Emphasis"/>
    <w:uiPriority w:val="19"/>
    <w:qFormat/>
    <w:rsid w:val="008903F7"/>
    <w:rPr>
      <w:i/>
      <w:color w:val="5A5A5A" w:themeColor="text1" w:themeTint="A5"/>
    </w:rPr>
  </w:style>
  <w:style w:type="character" w:styleId="IntenseEmphasis">
    <w:name w:val="Intense Emphasis"/>
    <w:basedOn w:val="DefaultParagraphFont"/>
    <w:uiPriority w:val="21"/>
    <w:qFormat/>
    <w:rsid w:val="008903F7"/>
    <w:rPr>
      <w:b/>
      <w:i/>
      <w:sz w:val="24"/>
      <w:szCs w:val="24"/>
      <w:u w:val="single"/>
    </w:rPr>
  </w:style>
  <w:style w:type="character" w:styleId="SubtleReference">
    <w:name w:val="Subtle Reference"/>
    <w:basedOn w:val="DefaultParagraphFont"/>
    <w:uiPriority w:val="31"/>
    <w:qFormat/>
    <w:rsid w:val="008903F7"/>
    <w:rPr>
      <w:sz w:val="24"/>
      <w:szCs w:val="24"/>
      <w:u w:val="single"/>
    </w:rPr>
  </w:style>
  <w:style w:type="character" w:styleId="IntenseReference">
    <w:name w:val="Intense Reference"/>
    <w:basedOn w:val="DefaultParagraphFont"/>
    <w:uiPriority w:val="32"/>
    <w:qFormat/>
    <w:rsid w:val="008903F7"/>
    <w:rPr>
      <w:b/>
      <w:sz w:val="24"/>
      <w:u w:val="single"/>
    </w:rPr>
  </w:style>
  <w:style w:type="character" w:styleId="BookTitle">
    <w:name w:val="Book Title"/>
    <w:basedOn w:val="DefaultParagraphFont"/>
    <w:uiPriority w:val="33"/>
    <w:qFormat/>
    <w:rsid w:val="008903F7"/>
    <w:rPr>
      <w:rFonts w:asciiTheme="majorHAnsi" w:eastAsiaTheme="majorEastAsia" w:hAnsiTheme="majorHAnsi"/>
      <w:b/>
      <w:i/>
      <w:sz w:val="24"/>
      <w:szCs w:val="24"/>
    </w:rPr>
  </w:style>
  <w:style w:type="paragraph" w:customStyle="1" w:styleId="Text">
    <w:name w:val="Text"/>
    <w:basedOn w:val="Normal"/>
    <w:qFormat/>
    <w:rsid w:val="008903F7"/>
    <w:pPr>
      <w:ind w:firstLine="706"/>
      <w:jc w:val="both"/>
    </w:pPr>
  </w:style>
  <w:style w:type="paragraph" w:customStyle="1" w:styleId="01DDPPTTPart">
    <w:name w:val="01 DDPP TT Part"/>
    <w:basedOn w:val="Normal"/>
    <w:link w:val="01DDPPTTPartChar"/>
    <w:qFormat/>
    <w:rsid w:val="008903F7"/>
    <w:rPr>
      <w:rFonts w:ascii="HelveticaNeueLT Pro 65 Md" w:hAnsi="HelveticaNeueLT Pro 65 Md"/>
      <w:color w:val="005AAB"/>
      <w:sz w:val="52"/>
      <w:szCs w:val="21"/>
      <w:lang w:eastAsia="ja-JP"/>
    </w:rPr>
  </w:style>
  <w:style w:type="character" w:customStyle="1" w:styleId="01DDPPTTPartChar">
    <w:name w:val="01 DDPP TT Part Char"/>
    <w:basedOn w:val="DefaultParagraphFont"/>
    <w:link w:val="01DDPPTTPart"/>
    <w:rsid w:val="008903F7"/>
    <w:rPr>
      <w:rFonts w:ascii="HelveticaNeueLT Pro 65 Md" w:hAnsi="HelveticaNeueLT Pro 65 Md"/>
      <w:color w:val="005AAB"/>
      <w:sz w:val="52"/>
      <w:szCs w:val="21"/>
      <w:lang w:eastAsia="ja-JP"/>
    </w:rPr>
  </w:style>
  <w:style w:type="paragraph" w:customStyle="1" w:styleId="22DDPPListStrong">
    <w:name w:val="22 DDPP List Strong"/>
    <w:basedOn w:val="20DDPPList"/>
    <w:qFormat/>
    <w:rsid w:val="008903F7"/>
    <w:pPr>
      <w:numPr>
        <w:numId w:val="20"/>
      </w:numPr>
    </w:pPr>
  </w:style>
  <w:style w:type="paragraph" w:customStyle="1" w:styleId="20DDPPList">
    <w:name w:val="20 DDPP List"/>
    <w:basedOn w:val="Normal"/>
    <w:qFormat/>
    <w:rsid w:val="008903F7"/>
    <w:pPr>
      <w:numPr>
        <w:numId w:val="19"/>
      </w:numPr>
      <w:spacing w:after="0"/>
      <w:ind w:left="284" w:hanging="284"/>
      <w:jc w:val="both"/>
    </w:pPr>
    <w:rPr>
      <w:rFonts w:ascii="Arial" w:hAnsi="Arial"/>
      <w:sz w:val="20"/>
    </w:rPr>
  </w:style>
  <w:style w:type="paragraph" w:customStyle="1" w:styleId="21DDPPListNumbered">
    <w:name w:val="21 DDPP List Numbered"/>
    <w:basedOn w:val="20DDPPList"/>
    <w:qFormat/>
    <w:rsid w:val="008903F7"/>
    <w:pPr>
      <w:numPr>
        <w:numId w:val="21"/>
      </w:numPr>
    </w:pPr>
  </w:style>
  <w:style w:type="paragraph" w:customStyle="1" w:styleId="23DDPPListReferences">
    <w:name w:val="23 DDPP List References"/>
    <w:basedOn w:val="20DDPPList"/>
    <w:qFormat/>
    <w:rsid w:val="008903F7"/>
    <w:pPr>
      <w:numPr>
        <w:numId w:val="22"/>
      </w:numPr>
      <w:ind w:left="170" w:hanging="170"/>
      <w:jc w:val="left"/>
    </w:pPr>
  </w:style>
  <w:style w:type="paragraph" w:customStyle="1" w:styleId="61DDPPTabFirstRow">
    <w:name w:val="61 DDPP Tab First Row"/>
    <w:basedOn w:val="00DDPPNormal"/>
    <w:qFormat/>
    <w:rsid w:val="008903F7"/>
    <w:pPr>
      <w:jc w:val="center"/>
    </w:pPr>
    <w:rPr>
      <w:rFonts w:cs="Arial"/>
      <w:b/>
      <w:bCs/>
    </w:rPr>
  </w:style>
  <w:style w:type="paragraph" w:customStyle="1" w:styleId="63DDPPTabRow">
    <w:name w:val="63 DDPP Tab Row"/>
    <w:basedOn w:val="00DDPPNormal"/>
    <w:qFormat/>
    <w:rsid w:val="008903F7"/>
    <w:pPr>
      <w:jc w:val="center"/>
    </w:pPr>
    <w:rPr>
      <w:rFonts w:cs="Arial"/>
    </w:rPr>
  </w:style>
  <w:style w:type="paragraph" w:customStyle="1" w:styleId="62DDPPTabFirstColumn">
    <w:name w:val="62 DDPP Tab First Column"/>
    <w:basedOn w:val="00DDPPNormal"/>
    <w:qFormat/>
    <w:rsid w:val="008903F7"/>
    <w:pPr>
      <w:jc w:val="left"/>
    </w:pPr>
    <w:rPr>
      <w:rFonts w:cs="Arial"/>
      <w:b/>
    </w:rPr>
  </w:style>
  <w:style w:type="paragraph" w:customStyle="1" w:styleId="52DDPPFigOrTabNote">
    <w:name w:val="52 DDPP FigOrTab Note"/>
    <w:basedOn w:val="51DDPPFigOrTabSource"/>
    <w:qFormat/>
    <w:rsid w:val="008903F7"/>
    <w:rPr>
      <w:b/>
    </w:rPr>
  </w:style>
  <w:style w:type="paragraph" w:customStyle="1" w:styleId="41DDPPFigFigure">
    <w:name w:val="41 DDPP Fig Figure"/>
    <w:basedOn w:val="Normal"/>
    <w:qFormat/>
    <w:rsid w:val="008903F7"/>
    <w:pPr>
      <w:pBdr>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pBdr>
      <w:shd w:val="clear" w:color="auto" w:fill="F0F0F0"/>
      <w:spacing w:before="240" w:line="240" w:lineRule="auto"/>
      <w:jc w:val="center"/>
    </w:pPr>
    <w:rPr>
      <w:rFonts w:ascii="Garamond" w:eastAsia="MS Mincho" w:hAnsi="Garamond"/>
      <w:noProof/>
    </w:rPr>
  </w:style>
  <w:style w:type="character" w:customStyle="1" w:styleId="03DDPPPersonName">
    <w:name w:val="03 DDPP PersonName"/>
    <w:basedOn w:val="DefaultParagraphFont"/>
    <w:qFormat/>
    <w:rsid w:val="008903F7"/>
    <w:rPr>
      <w:b/>
    </w:rPr>
  </w:style>
  <w:style w:type="character" w:customStyle="1" w:styleId="22DDPPListStrongFirstWords">
    <w:name w:val="22 DDPP List Strong FirstWords"/>
    <w:basedOn w:val="DefaultParagraphFont"/>
    <w:qFormat/>
    <w:rsid w:val="008903F7"/>
    <w:rPr>
      <w:b/>
    </w:rPr>
  </w:style>
  <w:style w:type="paragraph" w:customStyle="1" w:styleId="PargrafodaLista1">
    <w:name w:val="Parágrafo da Lista1"/>
    <w:basedOn w:val="Normal"/>
    <w:rsid w:val="008903F7"/>
    <w:pPr>
      <w:ind w:left="720"/>
      <w:contextualSpacing/>
    </w:pPr>
    <w:rPr>
      <w:rFonts w:eastAsia="Calibri" w:cs="Times New Roman"/>
    </w:rPr>
  </w:style>
  <w:style w:type="paragraph" w:customStyle="1" w:styleId="PargrafodaLista2">
    <w:name w:val="Parágrafo da Lista2"/>
    <w:basedOn w:val="Normal"/>
    <w:rsid w:val="008903F7"/>
    <w:pPr>
      <w:ind w:left="720"/>
      <w:contextualSpacing/>
    </w:pPr>
    <w:rPr>
      <w:rFonts w:eastAsia="Times New Roman" w:cs="Times New Roman"/>
    </w:rPr>
  </w:style>
  <w:style w:type="paragraph" w:customStyle="1" w:styleId="ListParagraph1">
    <w:name w:val="List Paragraph1"/>
    <w:basedOn w:val="Normal"/>
    <w:rsid w:val="008903F7"/>
    <w:pPr>
      <w:ind w:left="720"/>
      <w:contextualSpacing/>
    </w:pPr>
    <w:rPr>
      <w:rFonts w:eastAsia="Calibri" w:cs="Times New Roman"/>
    </w:rPr>
  </w:style>
  <w:style w:type="character" w:customStyle="1" w:styleId="50DDPPFigOrTabInlineRef">
    <w:name w:val="50 DDPP FigOrTab InlineRef"/>
    <w:basedOn w:val="DefaultParagraphFont"/>
    <w:uiPriority w:val="1"/>
    <w:qFormat/>
    <w:rsid w:val="008903F7"/>
    <w:rPr>
      <w:b/>
      <w:color w:val="4472C4" w:themeColor="accent1"/>
    </w:rPr>
  </w:style>
  <w:style w:type="paragraph" w:customStyle="1" w:styleId="02DDPPTTOther">
    <w:name w:val="02 DDPP TT Other"/>
    <w:basedOn w:val="01DDPPTTPart"/>
    <w:qFormat/>
    <w:rsid w:val="008903F7"/>
    <w:pPr>
      <w:spacing w:before="480"/>
    </w:pPr>
    <w:rPr>
      <w:sz w:val="36"/>
      <w:lang w:val="en-US"/>
    </w:rPr>
  </w:style>
  <w:style w:type="character" w:customStyle="1" w:styleId="apple-converted-space">
    <w:name w:val="apple-converted-space"/>
    <w:basedOn w:val="DefaultParagraphFont"/>
    <w:rsid w:val="008903F7"/>
  </w:style>
  <w:style w:type="paragraph" w:styleId="BodyText">
    <w:name w:val="Body Text"/>
    <w:basedOn w:val="Normal"/>
    <w:link w:val="BodyTextChar"/>
    <w:semiHidden/>
    <w:rsid w:val="008903F7"/>
    <w:pPr>
      <w:spacing w:before="120" w:after="120" w:line="360" w:lineRule="auto"/>
    </w:pPr>
    <w:rPr>
      <w:rFonts w:ascii="Arial" w:eastAsia="Times New Roman" w:hAnsi="Arial" w:cs="Arial"/>
      <w:color w:val="000000"/>
      <w:sz w:val="24"/>
      <w:szCs w:val="24"/>
      <w:lang w:eastAsia="en-GB"/>
    </w:rPr>
  </w:style>
  <w:style w:type="character" w:customStyle="1" w:styleId="BodyTextChar">
    <w:name w:val="Body Text Char"/>
    <w:basedOn w:val="DefaultParagraphFont"/>
    <w:link w:val="BodyText"/>
    <w:semiHidden/>
    <w:rsid w:val="008903F7"/>
    <w:rPr>
      <w:rFonts w:ascii="Arial" w:eastAsia="Times New Roman" w:hAnsi="Arial" w:cs="Arial"/>
      <w:color w:val="000000"/>
      <w:sz w:val="24"/>
      <w:szCs w:val="24"/>
      <w:lang w:eastAsia="en-GB"/>
    </w:rPr>
  </w:style>
  <w:style w:type="paragraph" w:customStyle="1" w:styleId="Figure">
    <w:name w:val="Figure"/>
    <w:basedOn w:val="Normal"/>
    <w:rsid w:val="008903F7"/>
    <w:pPr>
      <w:spacing w:before="120" w:after="120" w:line="360" w:lineRule="auto"/>
    </w:pPr>
    <w:rPr>
      <w:rFonts w:ascii="Calibri" w:eastAsia="Times New Roman" w:hAnsi="Calibri" w:cs="Times New Roman"/>
      <w:sz w:val="24"/>
      <w:szCs w:val="24"/>
      <w:lang w:eastAsia="en-GB"/>
    </w:rPr>
  </w:style>
  <w:style w:type="paragraph" w:customStyle="1" w:styleId="Table">
    <w:name w:val="Table"/>
    <w:basedOn w:val="Normal"/>
    <w:rsid w:val="008903F7"/>
    <w:pPr>
      <w:spacing w:before="120" w:after="120" w:line="360" w:lineRule="auto"/>
    </w:pPr>
    <w:rPr>
      <w:rFonts w:ascii="Calibri" w:eastAsia="Times New Roman" w:hAnsi="Calibri" w:cs="Times New Roman"/>
      <w:sz w:val="24"/>
      <w:szCs w:val="24"/>
      <w:lang w:eastAsia="en-GB"/>
    </w:rPr>
  </w:style>
  <w:style w:type="character" w:customStyle="1" w:styleId="BodyText2Char">
    <w:name w:val="Body Text 2 Char"/>
    <w:basedOn w:val="DefaultParagraphFont"/>
    <w:link w:val="BodyText2"/>
    <w:semiHidden/>
    <w:rsid w:val="008903F7"/>
    <w:rPr>
      <w:rFonts w:ascii="Calibri" w:eastAsia="Times New Roman" w:hAnsi="Calibri" w:cs="Times New Roman"/>
      <w:sz w:val="24"/>
      <w:szCs w:val="24"/>
      <w:lang w:eastAsia="en-GB"/>
    </w:rPr>
  </w:style>
  <w:style w:type="paragraph" w:styleId="BodyText2">
    <w:name w:val="Body Text 2"/>
    <w:basedOn w:val="Normal"/>
    <w:link w:val="BodyText2Char"/>
    <w:semiHidden/>
    <w:rsid w:val="008903F7"/>
    <w:pPr>
      <w:spacing w:before="120" w:after="120" w:line="360" w:lineRule="auto"/>
      <w:ind w:left="1440" w:hanging="1440"/>
    </w:pPr>
    <w:rPr>
      <w:rFonts w:ascii="Calibri" w:eastAsia="Times New Roman" w:hAnsi="Calibri" w:cs="Times New Roman"/>
      <w:sz w:val="24"/>
      <w:szCs w:val="24"/>
      <w:lang w:eastAsia="en-GB"/>
    </w:rPr>
  </w:style>
  <w:style w:type="character" w:customStyle="1" w:styleId="BodyTextIndentChar">
    <w:name w:val="Body Text Indent Char"/>
    <w:basedOn w:val="DefaultParagraphFont"/>
    <w:rsid w:val="008903F7"/>
    <w:rPr>
      <w:rFonts w:ascii="Times New Roman" w:hAnsi="Times New Roman" w:cs="Times New Roman"/>
      <w:sz w:val="24"/>
      <w:szCs w:val="24"/>
    </w:rPr>
  </w:style>
  <w:style w:type="character" w:styleId="PlaceholderText">
    <w:name w:val="Placeholder Text"/>
    <w:basedOn w:val="DefaultParagraphFont"/>
    <w:rsid w:val="008903F7"/>
    <w:rPr>
      <w:rFonts w:ascii="Times New Roman" w:hAnsi="Times New Roman" w:cs="Times New Roman"/>
      <w:color w:val="808080"/>
    </w:rPr>
  </w:style>
  <w:style w:type="paragraph" w:customStyle="1" w:styleId="WW-BodyText2">
    <w:name w:val="WW-Body Text 2"/>
    <w:basedOn w:val="Normal"/>
    <w:rsid w:val="008903F7"/>
    <w:pPr>
      <w:suppressAutoHyphens/>
      <w:spacing w:before="120" w:after="120" w:line="480" w:lineRule="auto"/>
    </w:pPr>
    <w:rPr>
      <w:rFonts w:ascii="Calibri" w:eastAsia="Times New Roman" w:hAnsi="Calibri" w:cs="Times New Roman"/>
      <w:sz w:val="28"/>
      <w:szCs w:val="28"/>
      <w:lang w:val="en-US" w:eastAsia="he-IL" w:bidi="he-IL"/>
    </w:rPr>
  </w:style>
  <w:style w:type="paragraph" w:styleId="BodyText3">
    <w:name w:val="Body Text 3"/>
    <w:basedOn w:val="Normal"/>
    <w:link w:val="BodyText3Char"/>
    <w:unhideWhenUsed/>
    <w:rsid w:val="008903F7"/>
    <w:pPr>
      <w:spacing w:before="120" w:after="120" w:line="360" w:lineRule="auto"/>
    </w:pPr>
    <w:rPr>
      <w:rFonts w:ascii="Calibri" w:eastAsia="Times New Roman" w:hAnsi="Calibri" w:cs="Times New Roman"/>
      <w:sz w:val="16"/>
      <w:szCs w:val="16"/>
      <w:lang w:eastAsia="en-GB"/>
    </w:rPr>
  </w:style>
  <w:style w:type="character" w:customStyle="1" w:styleId="BodyText3Char">
    <w:name w:val="Body Text 3 Char"/>
    <w:basedOn w:val="DefaultParagraphFont"/>
    <w:link w:val="BodyText3"/>
    <w:rsid w:val="008903F7"/>
    <w:rPr>
      <w:rFonts w:ascii="Calibri" w:eastAsia="Times New Roman" w:hAnsi="Calibri" w:cs="Times New Roman"/>
      <w:sz w:val="16"/>
      <w:szCs w:val="16"/>
      <w:lang w:eastAsia="en-GB"/>
    </w:rPr>
  </w:style>
  <w:style w:type="paragraph" w:customStyle="1" w:styleId="Normalunderline">
    <w:name w:val="Normal underline"/>
    <w:basedOn w:val="Normal"/>
    <w:rsid w:val="008903F7"/>
    <w:pPr>
      <w:spacing w:before="120" w:after="120" w:line="360" w:lineRule="auto"/>
    </w:pPr>
    <w:rPr>
      <w:rFonts w:ascii="Calibri" w:eastAsia="Times New Roman" w:hAnsi="Calibri" w:cs="Times New Roman"/>
      <w:sz w:val="24"/>
      <w:szCs w:val="24"/>
      <w:u w:val="single"/>
      <w:lang w:eastAsia="en-GB"/>
    </w:rPr>
  </w:style>
  <w:style w:type="paragraph" w:customStyle="1" w:styleId="titlereport">
    <w:name w:val="title report"/>
    <w:basedOn w:val="Normal"/>
    <w:qFormat/>
    <w:rsid w:val="008903F7"/>
    <w:pPr>
      <w:spacing w:before="120" w:after="120" w:line="240" w:lineRule="auto"/>
    </w:pPr>
    <w:rPr>
      <w:rFonts w:ascii="Calibri" w:eastAsia="Times New Roman" w:hAnsi="Calibri" w:cs="Arial"/>
      <w:b/>
      <w:bCs/>
      <w:color w:val="808080"/>
      <w:kern w:val="32"/>
      <w:sz w:val="52"/>
      <w:szCs w:val="52"/>
      <w:lang w:eastAsia="en-GB"/>
    </w:rPr>
  </w:style>
  <w:style w:type="character" w:customStyle="1" w:styleId="NormalunderlineChar">
    <w:name w:val="Normal underline Char"/>
    <w:basedOn w:val="DefaultParagraphFont"/>
    <w:rsid w:val="008903F7"/>
    <w:rPr>
      <w:rFonts w:ascii="Verdana" w:hAnsi="Verdana"/>
      <w:u w:val="single"/>
      <w:lang w:val="en-GB" w:eastAsia="en-GB"/>
    </w:rPr>
  </w:style>
  <w:style w:type="paragraph" w:customStyle="1" w:styleId="titlesmall">
    <w:name w:val="title small"/>
    <w:basedOn w:val="Normal"/>
    <w:qFormat/>
    <w:rsid w:val="008903F7"/>
    <w:pPr>
      <w:spacing w:before="120" w:after="120" w:line="240" w:lineRule="auto"/>
    </w:pPr>
    <w:rPr>
      <w:rFonts w:ascii="Calibri" w:eastAsia="Times New Roman" w:hAnsi="Calibri" w:cs="Times New Roman"/>
      <w:bCs/>
      <w:color w:val="808080"/>
      <w:sz w:val="40"/>
      <w:szCs w:val="44"/>
      <w:lang w:eastAsia="en-GB"/>
    </w:rPr>
  </w:style>
  <w:style w:type="character" w:customStyle="1" w:styleId="titlereportChar">
    <w:name w:val="title report Char"/>
    <w:basedOn w:val="DefaultParagraphFont"/>
    <w:rsid w:val="008903F7"/>
    <w:rPr>
      <w:rFonts w:ascii="Verdana" w:hAnsi="Verdana" w:cs="Arial"/>
      <w:b/>
      <w:bCs/>
      <w:color w:val="808080"/>
      <w:kern w:val="32"/>
      <w:sz w:val="52"/>
      <w:szCs w:val="52"/>
      <w:lang w:val="en-GB" w:eastAsia="en-GB"/>
    </w:rPr>
  </w:style>
  <w:style w:type="character" w:customStyle="1" w:styleId="titlesmallChar">
    <w:name w:val="title small Char"/>
    <w:basedOn w:val="DefaultParagraphFont"/>
    <w:rsid w:val="008903F7"/>
    <w:rPr>
      <w:rFonts w:ascii="Verdana" w:hAnsi="Verdana"/>
      <w:bCs/>
      <w:color w:val="808080"/>
      <w:sz w:val="40"/>
      <w:szCs w:val="44"/>
      <w:lang w:val="en-GB" w:eastAsia="en-GB"/>
    </w:rPr>
  </w:style>
  <w:style w:type="paragraph" w:customStyle="1" w:styleId="Titlecol">
    <w:name w:val="Title col"/>
    <w:basedOn w:val="Normal"/>
    <w:qFormat/>
    <w:rsid w:val="008903F7"/>
    <w:pPr>
      <w:spacing w:before="120" w:after="120" w:line="240" w:lineRule="auto"/>
    </w:pPr>
    <w:rPr>
      <w:rFonts w:ascii="Calibri" w:eastAsia="Times New Roman" w:hAnsi="Calibri" w:cs="Times New Roman"/>
      <w:b/>
      <w:bCs/>
      <w:caps/>
      <w:color w:val="333399"/>
      <w:spacing w:val="40"/>
      <w:sz w:val="24"/>
      <w:szCs w:val="24"/>
      <w:lang w:eastAsia="en-GB"/>
    </w:rPr>
  </w:style>
  <w:style w:type="character" w:customStyle="1" w:styleId="NormalsingleChar">
    <w:name w:val="Normal single Char"/>
    <w:basedOn w:val="DefaultParagraphFont"/>
    <w:rsid w:val="008903F7"/>
    <w:rPr>
      <w:rFonts w:ascii="Verdana" w:hAnsi="Verdana"/>
      <w:lang w:val="en-GB" w:eastAsia="en-GB"/>
    </w:rPr>
  </w:style>
  <w:style w:type="paragraph" w:styleId="TableofFigures">
    <w:name w:val="table of figures"/>
    <w:basedOn w:val="Normal"/>
    <w:next w:val="Normal"/>
    <w:uiPriority w:val="99"/>
    <w:rsid w:val="008903F7"/>
    <w:pPr>
      <w:spacing w:before="120" w:after="120" w:line="360" w:lineRule="auto"/>
      <w:ind w:left="400" w:hanging="400"/>
    </w:pPr>
    <w:rPr>
      <w:rFonts w:ascii="Calibri" w:eastAsia="Times New Roman" w:hAnsi="Calibri" w:cs="Times New Roman"/>
      <w:sz w:val="24"/>
      <w:szCs w:val="24"/>
      <w:lang w:eastAsia="en-GB"/>
    </w:rPr>
  </w:style>
  <w:style w:type="character" w:customStyle="1" w:styleId="TitlecolChar">
    <w:name w:val="Title col Char"/>
    <w:basedOn w:val="DefaultParagraphFont"/>
    <w:rsid w:val="008903F7"/>
    <w:rPr>
      <w:rFonts w:ascii="Verdana" w:hAnsi="Verdana"/>
      <w:b/>
      <w:bCs/>
      <w:caps/>
      <w:color w:val="333399"/>
      <w:spacing w:val="40"/>
      <w:lang w:val="en-GB" w:eastAsia="en-GB"/>
    </w:rPr>
  </w:style>
  <w:style w:type="paragraph" w:customStyle="1" w:styleId="msolistparagraph0">
    <w:name w:val="msolistparagraph"/>
    <w:basedOn w:val="Normal"/>
    <w:rsid w:val="008903F7"/>
    <w:pPr>
      <w:spacing w:before="120" w:after="120" w:line="240" w:lineRule="auto"/>
      <w:ind w:left="720"/>
    </w:pPr>
    <w:rPr>
      <w:rFonts w:ascii="Times New Roman" w:eastAsia="Arial Unicode MS" w:hAnsi="Times New Roman" w:cs="Times New Roman"/>
      <w:sz w:val="24"/>
      <w:szCs w:val="24"/>
      <w:lang w:val="en-US"/>
    </w:rPr>
  </w:style>
  <w:style w:type="paragraph" w:customStyle="1" w:styleId="FormatvorlageBlockNach6ptZeilenabstandDoppelt">
    <w:name w:val="Formatvorlage Block Nach:  6 pt Zeilenabstand:  Doppelt"/>
    <w:basedOn w:val="Normal"/>
    <w:rsid w:val="008903F7"/>
    <w:pPr>
      <w:spacing w:before="120" w:after="120" w:line="240" w:lineRule="auto"/>
      <w:ind w:firstLine="851"/>
    </w:pPr>
    <w:rPr>
      <w:rFonts w:ascii="Times New Roman" w:eastAsia="Times New Roman" w:hAnsi="Times New Roman" w:cs="Times New Roman"/>
      <w:sz w:val="24"/>
      <w:szCs w:val="24"/>
      <w:lang w:val="de-DE" w:eastAsia="de-DE"/>
    </w:rPr>
  </w:style>
  <w:style w:type="character" w:customStyle="1" w:styleId="hide3">
    <w:name w:val="hide3"/>
    <w:basedOn w:val="DefaultParagraphFont"/>
    <w:rsid w:val="008903F7"/>
  </w:style>
  <w:style w:type="character" w:customStyle="1" w:styleId="highlight1">
    <w:name w:val="highlight1"/>
    <w:basedOn w:val="DefaultParagraphFont"/>
    <w:rsid w:val="008903F7"/>
    <w:rPr>
      <w:shd w:val="clear" w:color="auto" w:fill="FFFF66"/>
    </w:rPr>
  </w:style>
  <w:style w:type="paragraph" w:customStyle="1" w:styleId="TableContents">
    <w:name w:val="Table Contents"/>
    <w:basedOn w:val="Normal"/>
    <w:link w:val="TableContentsChar"/>
    <w:qFormat/>
    <w:rsid w:val="008903F7"/>
    <w:pPr>
      <w:spacing w:after="0" w:line="360" w:lineRule="auto"/>
    </w:pPr>
    <w:rPr>
      <w:rFonts w:ascii="Calibri" w:eastAsia="Calibri" w:hAnsi="Calibri" w:cs="Times New Roman"/>
      <w:sz w:val="16"/>
      <w:szCs w:val="16"/>
      <w:lang w:eastAsia="en-GB"/>
    </w:rPr>
  </w:style>
  <w:style w:type="character" w:customStyle="1" w:styleId="TableContentsChar">
    <w:name w:val="Table Contents Char"/>
    <w:basedOn w:val="DefaultParagraphFont"/>
    <w:link w:val="TableContents"/>
    <w:rsid w:val="008903F7"/>
    <w:rPr>
      <w:rFonts w:ascii="Calibri" w:eastAsia="Calibri" w:hAnsi="Calibri" w:cs="Times New Roman"/>
      <w:sz w:val="16"/>
      <w:szCs w:val="16"/>
      <w:lang w:eastAsia="en-GB"/>
    </w:rPr>
  </w:style>
  <w:style w:type="paragraph" w:customStyle="1" w:styleId="TableTitles">
    <w:name w:val="Table Titles"/>
    <w:basedOn w:val="TableContents"/>
    <w:link w:val="TableTitlesChar"/>
    <w:qFormat/>
    <w:rsid w:val="008903F7"/>
    <w:rPr>
      <w:b/>
    </w:rPr>
  </w:style>
  <w:style w:type="character" w:customStyle="1" w:styleId="TableTitlesChar">
    <w:name w:val="Table Titles Char"/>
    <w:basedOn w:val="TableContentsChar"/>
    <w:link w:val="TableTitles"/>
    <w:rsid w:val="008903F7"/>
    <w:rPr>
      <w:rFonts w:ascii="Calibri" w:eastAsia="Calibri" w:hAnsi="Calibri" w:cs="Times New Roman"/>
      <w:b/>
      <w:sz w:val="16"/>
      <w:szCs w:val="16"/>
      <w:lang w:eastAsia="en-GB"/>
    </w:rPr>
  </w:style>
  <w:style w:type="paragraph" w:customStyle="1" w:styleId="References">
    <w:name w:val="References"/>
    <w:basedOn w:val="Normal"/>
    <w:link w:val="ReferencesChar"/>
    <w:qFormat/>
    <w:rsid w:val="008903F7"/>
    <w:pPr>
      <w:spacing w:before="240" w:after="240" w:line="360" w:lineRule="auto"/>
      <w:ind w:left="720" w:hanging="720"/>
    </w:pPr>
    <w:rPr>
      <w:rFonts w:ascii="Calibri" w:eastAsia="Times New Roman" w:hAnsi="Calibri" w:cs="Times New Roman"/>
      <w:sz w:val="24"/>
      <w:szCs w:val="24"/>
      <w:lang w:val="en-US"/>
    </w:rPr>
  </w:style>
  <w:style w:type="character" w:customStyle="1" w:styleId="ReferencesChar">
    <w:name w:val="References Char"/>
    <w:basedOn w:val="DefaultParagraphFont"/>
    <w:link w:val="References"/>
    <w:rsid w:val="008903F7"/>
    <w:rPr>
      <w:rFonts w:ascii="Calibri" w:eastAsia="Times New Roman" w:hAnsi="Calibri" w:cs="Times New Roman"/>
      <w:sz w:val="24"/>
      <w:szCs w:val="24"/>
      <w:lang w:val="en-US"/>
    </w:rPr>
  </w:style>
  <w:style w:type="paragraph" w:customStyle="1" w:styleId="xl69">
    <w:name w:val="xl69"/>
    <w:basedOn w:val="Normal"/>
    <w:rsid w:val="008903F7"/>
    <w:pPr>
      <w:shd w:val="clear" w:color="000000" w:fill="FDE9D9"/>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3">
    <w:name w:val="xl63"/>
    <w:basedOn w:val="Normal"/>
    <w:rsid w:val="008903F7"/>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styleId="PlainText">
    <w:name w:val="Plain Text"/>
    <w:basedOn w:val="Normal"/>
    <w:link w:val="PlainTextChar"/>
    <w:uiPriority w:val="99"/>
    <w:unhideWhenUsed/>
    <w:rsid w:val="008903F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903F7"/>
    <w:rPr>
      <w:rFonts w:ascii="Consolas" w:hAnsi="Consolas"/>
      <w:sz w:val="21"/>
      <w:szCs w:val="21"/>
    </w:rPr>
  </w:style>
  <w:style w:type="paragraph" w:customStyle="1" w:styleId="NormalP">
    <w:name w:val="Normal P"/>
    <w:basedOn w:val="Normal"/>
    <w:autoRedefine/>
    <w:qFormat/>
    <w:rsid w:val="008903F7"/>
    <w:pPr>
      <w:spacing w:before="120" w:after="0" w:line="240" w:lineRule="auto"/>
      <w:jc w:val="both"/>
    </w:pPr>
    <w:rPr>
      <w:rFonts w:ascii="Arial" w:eastAsia="Times New Roman" w:hAnsi="Arial" w:cs="Arial"/>
      <w:sz w:val="20"/>
      <w:szCs w:val="20"/>
      <w:u w:val="single"/>
      <w:lang w:eastAsia="en-GB"/>
    </w:rPr>
  </w:style>
  <w:style w:type="paragraph" w:customStyle="1" w:styleId="Figures">
    <w:name w:val="Figure #s"/>
    <w:basedOn w:val="Normal"/>
    <w:rsid w:val="008903F7"/>
    <w:pPr>
      <w:tabs>
        <w:tab w:val="left" w:pos="910"/>
      </w:tabs>
      <w:spacing w:after="0" w:line="240" w:lineRule="exact"/>
      <w:jc w:val="center"/>
    </w:pPr>
    <w:rPr>
      <w:rFonts w:ascii="Times New Roman" w:eastAsia="Times New Roman" w:hAnsi="Times New Roman" w:cs="Times New Roman"/>
      <w:i/>
      <w:sz w:val="24"/>
      <w:szCs w:val="24"/>
    </w:rPr>
  </w:style>
  <w:style w:type="paragraph" w:customStyle="1" w:styleId="Numbering">
    <w:name w:val="Numbering"/>
    <w:basedOn w:val="Normal"/>
    <w:rsid w:val="008903F7"/>
    <w:pPr>
      <w:numPr>
        <w:numId w:val="23"/>
      </w:numPr>
      <w:tabs>
        <w:tab w:val="left" w:pos="680"/>
      </w:tabs>
      <w:spacing w:before="60" w:after="60" w:line="240" w:lineRule="exact"/>
      <w:jc w:val="both"/>
    </w:pPr>
    <w:rPr>
      <w:rFonts w:ascii="Times New Roman" w:eastAsia="Times New Roman" w:hAnsi="Times New Roman" w:cs="Times New Roman"/>
      <w:noProof/>
      <w:sz w:val="24"/>
      <w:szCs w:val="24"/>
    </w:rPr>
  </w:style>
  <w:style w:type="paragraph" w:styleId="Revision">
    <w:name w:val="Revision"/>
    <w:hidden/>
    <w:uiPriority w:val="99"/>
    <w:semiHidden/>
    <w:rsid w:val="009F19BD"/>
    <w:pPr>
      <w:spacing w:after="0" w:line="240" w:lineRule="auto"/>
    </w:pPr>
  </w:style>
  <w:style w:type="character" w:styleId="UnresolvedMention">
    <w:name w:val="Unresolved Mention"/>
    <w:basedOn w:val="DefaultParagraphFont"/>
    <w:uiPriority w:val="99"/>
    <w:semiHidden/>
    <w:unhideWhenUsed/>
    <w:rsid w:val="00F040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236353">
      <w:bodyDiv w:val="1"/>
      <w:marLeft w:val="0"/>
      <w:marRight w:val="0"/>
      <w:marTop w:val="0"/>
      <w:marBottom w:val="0"/>
      <w:divBdr>
        <w:top w:val="none" w:sz="0" w:space="0" w:color="auto"/>
        <w:left w:val="none" w:sz="0" w:space="0" w:color="auto"/>
        <w:bottom w:val="none" w:sz="0" w:space="0" w:color="auto"/>
        <w:right w:val="none" w:sz="0" w:space="0" w:color="auto"/>
      </w:divBdr>
    </w:div>
    <w:div w:id="1715695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tntcat.iiasa.ac.at/SspDb/dsd?Action=htmlpage&amp;page=welcome" TargetMode="External"/><Relationship Id="rId26" Type="http://schemas.openxmlformats.org/officeDocument/2006/relationships/image" Target="media/image18.jpg"/><Relationship Id="rId39" Type="http://schemas.openxmlformats.org/officeDocument/2006/relationships/oleObject" Target="embeddings/oleObject2.bin"/><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image" Target="media/image31.wmf"/><Relationship Id="rId47" Type="http://schemas.openxmlformats.org/officeDocument/2006/relationships/oleObject" Target="embeddings/oleObject6.bin"/><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1.gif"/><Relationship Id="rId11" Type="http://schemas.openxmlformats.org/officeDocument/2006/relationships/image" Target="media/image5.png"/><Relationship Id="rId24" Type="http://schemas.openxmlformats.org/officeDocument/2006/relationships/image" Target="media/image16.jpeg"/><Relationship Id="rId32" Type="http://schemas.openxmlformats.org/officeDocument/2006/relationships/image" Target="media/image24.gif"/><Relationship Id="rId37" Type="http://schemas.openxmlformats.org/officeDocument/2006/relationships/oleObject" Target="embeddings/oleObject1.bin"/><Relationship Id="rId40" Type="http://schemas.openxmlformats.org/officeDocument/2006/relationships/image" Target="media/image30.wmf"/><Relationship Id="rId45" Type="http://schemas.openxmlformats.org/officeDocument/2006/relationships/oleObject" Target="embeddings/oleObject5.bin"/><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5.jpeg"/><Relationship Id="rId28" Type="http://schemas.openxmlformats.org/officeDocument/2006/relationships/image" Target="media/image20.jpg"/><Relationship Id="rId36" Type="http://schemas.openxmlformats.org/officeDocument/2006/relationships/image" Target="media/image28.wmf"/><Relationship Id="rId49"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www.iamcdocumentation.eu/index.php/Model_Documentation_-_TIAM-UCL" TargetMode="External"/><Relationship Id="rId31" Type="http://schemas.openxmlformats.org/officeDocument/2006/relationships/image" Target="media/image23.gif"/><Relationship Id="rId44" Type="http://schemas.openxmlformats.org/officeDocument/2006/relationships/image" Target="media/image32.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jpg"/><Relationship Id="rId27" Type="http://schemas.openxmlformats.org/officeDocument/2006/relationships/image" Target="media/image19.jpg"/><Relationship Id="rId30" Type="http://schemas.openxmlformats.org/officeDocument/2006/relationships/image" Target="media/image22.gif"/><Relationship Id="rId35" Type="http://schemas.openxmlformats.org/officeDocument/2006/relationships/image" Target="media/image27.svg"/><Relationship Id="rId43" Type="http://schemas.openxmlformats.org/officeDocument/2006/relationships/oleObject" Target="embeddings/oleObject4.bin"/><Relationship Id="rId48" Type="http://schemas.openxmlformats.org/officeDocument/2006/relationships/fontTable" Target="fontTable.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jpg"/><Relationship Id="rId33" Type="http://schemas.openxmlformats.org/officeDocument/2006/relationships/image" Target="media/image25.gif"/><Relationship Id="rId38" Type="http://schemas.openxmlformats.org/officeDocument/2006/relationships/image" Target="media/image29.wmf"/><Relationship Id="rId46" Type="http://schemas.openxmlformats.org/officeDocument/2006/relationships/image" Target="media/image33.wmf"/><Relationship Id="rId20" Type="http://schemas.openxmlformats.org/officeDocument/2006/relationships/image" Target="media/image12.jpeg"/><Relationship Id="rId41" Type="http://schemas.openxmlformats.org/officeDocument/2006/relationships/oleObject" Target="embeddings/oleObject3.bin"/><Relationship Id="rId1" Type="http://schemas.openxmlformats.org/officeDocument/2006/relationships/numbering" Target="numbering.xml"/><Relationship Id="rId6"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s://iea-pvps.org/wp-content/uploads/2020/01/2018_iea-pvps_report_2018.pdf" TargetMode="External"/><Relationship Id="rId2" Type="http://schemas.openxmlformats.org/officeDocument/2006/relationships/hyperlink" Target="https://www.globalccsinstitute.com/resources/publications-reports-research/the-role-of-ccs-in-meeting-climate-policy-targets/" TargetMode="External"/><Relationship Id="rId1" Type="http://schemas.openxmlformats.org/officeDocument/2006/relationships/hyperlink" Target="https://www.lifestudy.ac.uk/bartlett/energy/research/themes/energy-systems/hydrogen/WP6_Dodds_Production.pdf" TargetMode="External"/><Relationship Id="rId6" Type="http://schemas.openxmlformats.org/officeDocument/2006/relationships/hyperlink" Target="https://iea-etsap.org/docs/Documentation_for_the_TIMES_Model-Part-II_July-2016.pdf" TargetMode="External"/><Relationship Id="rId5" Type="http://schemas.openxmlformats.org/officeDocument/2006/relationships/hyperlink" Target="https://iea-etsap.org/docs/Documentation_for_the_TIMES_Model-Part-II_July-2016.pdf" TargetMode="External"/><Relationship Id="rId4" Type="http://schemas.openxmlformats.org/officeDocument/2006/relationships/hyperlink" Target="https://d-nb.info/1027991858/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10311</Words>
  <Characters>58773</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2021-12-23T18:59:00Z</dcterms:created>
  <dcterms:modified xsi:type="dcterms:W3CDTF">2021-12-23T19:03:00Z</dcterms:modified>
</cp:coreProperties>
</file>