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2BF9" w:rsidRPr="000F4D74" w:rsidRDefault="00C92BF9" w:rsidP="00C92BF9">
      <w:pPr>
        <w:pStyle w:val="TableTitle"/>
        <w:rPr>
          <w:szCs w:val="24"/>
          <w:lang w:val="en-US"/>
        </w:rPr>
      </w:pPr>
      <w:r w:rsidRPr="000F4D74">
        <w:rPr>
          <w:b/>
          <w:szCs w:val="24"/>
          <w:lang w:val="en-US"/>
        </w:rPr>
        <w:t xml:space="preserve">Additional file 1: </w:t>
      </w:r>
      <w:r w:rsidRPr="000F4D74">
        <w:rPr>
          <w:szCs w:val="24"/>
          <w:lang w:val="en-US"/>
        </w:rPr>
        <w:t xml:space="preserve">STROBE Statement—Checklist of items that should be included in reports of </w:t>
      </w:r>
      <w:r w:rsidRPr="000F4D74">
        <w:rPr>
          <w:i/>
          <w:szCs w:val="24"/>
          <w:lang w:val="en-US"/>
        </w:rPr>
        <w:t>cohort studies</w:t>
      </w:r>
      <w:r w:rsidRPr="000F4D74">
        <w:rPr>
          <w:szCs w:val="24"/>
          <w:lang w:val="en-US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135"/>
        <w:gridCol w:w="700"/>
        <w:gridCol w:w="5143"/>
        <w:gridCol w:w="222"/>
        <w:gridCol w:w="222"/>
        <w:gridCol w:w="309"/>
      </w:tblGrid>
      <w:tr w:rsidR="00C92BF9" w:rsidRPr="000F4D74" w:rsidTr="00BB0C7E"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bookmarkStart w:id="0" w:name="bold3" w:colFirst="2" w:colLast="2"/>
            <w:bookmarkStart w:id="1" w:name="italic4" w:colFirst="2" w:colLast="2"/>
            <w:bookmarkStart w:id="2" w:name="italic3" w:colFirst="2" w:colLast="2"/>
            <w:bookmarkStart w:id="3" w:name="bold2" w:colFirst="2" w:colLast="2"/>
            <w:bookmarkStart w:id="4" w:name="italic2" w:colFirst="1" w:colLast="1"/>
            <w:bookmarkStart w:id="5" w:name="bold1" w:colFirst="1" w:colLast="1"/>
            <w:bookmarkStart w:id="6" w:name="italic1" w:colFirst="0" w:colLast="0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pStyle w:val="TableHeader"/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Item No</w:t>
            </w:r>
          </w:p>
        </w:tc>
        <w:tc>
          <w:tcPr>
            <w:tcW w:w="51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pStyle w:val="TableHeader"/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Recommendation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BF9" w:rsidRPr="000F4D74" w:rsidRDefault="00C92BF9" w:rsidP="00BB0C7E">
            <w:pPr>
              <w:pStyle w:val="TableHeader"/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92BF9" w:rsidRPr="000F4D74" w:rsidRDefault="00C92BF9" w:rsidP="00BB0C7E">
            <w:pPr>
              <w:pStyle w:val="TableHeader"/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pStyle w:val="TableHeader"/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tr w:rsidR="00C92BF9" w:rsidRPr="000F4D74" w:rsidTr="00BB0C7E">
        <w:tc>
          <w:tcPr>
            <w:tcW w:w="21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b/>
                <w:bCs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 xml:space="preserve"> </w:t>
            </w:r>
            <w:r w:rsidRPr="000F4D74">
              <w:rPr>
                <w:rFonts w:asciiTheme="majorHAnsi" w:hAnsiTheme="majorHAnsi" w:cstheme="majorHAnsi"/>
                <w:b/>
                <w:sz w:val="22"/>
                <w:szCs w:val="22"/>
                <w:lang w:val="en-US"/>
              </w:rPr>
              <w:t>Title and abstract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1</w:t>
            </w: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(</w:t>
            </w:r>
            <w:r w:rsidRPr="000F4D74">
              <w:rPr>
                <w:rFonts w:asciiTheme="majorHAnsi" w:hAnsiTheme="majorHAnsi" w:cstheme="majorHAnsi"/>
                <w:i/>
                <w:sz w:val="22"/>
                <w:szCs w:val="22"/>
                <w:lang w:val="en-US"/>
              </w:rPr>
              <w:t>a</w:t>
            </w: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) Indicate the study’s design with a commonly used term in the title or the abstract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0F4D74" w:rsidTr="00BB0C7E">
        <w:tc>
          <w:tcPr>
            <w:tcW w:w="21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  <w:lang w:val="en-US" w:eastAsia="en-US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</w:pP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bookmarkStart w:id="7" w:name="bold6"/>
            <w:bookmarkStart w:id="8" w:name="italic7"/>
            <w:bookmarkEnd w:id="7"/>
            <w:bookmarkEnd w:id="8"/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(</w:t>
            </w:r>
            <w:r w:rsidRPr="000F4D74">
              <w:rPr>
                <w:rFonts w:asciiTheme="majorHAnsi" w:hAnsiTheme="majorHAnsi" w:cstheme="majorHAnsi"/>
                <w:i/>
                <w:sz w:val="22"/>
                <w:szCs w:val="22"/>
                <w:lang w:val="en-US"/>
              </w:rPr>
              <w:t>b</w:t>
            </w: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) Provide in the abstract an informative and balanced summary of what was done and what was found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0F4D74" w:rsidTr="00BB0C7E"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pStyle w:val="TableSubHead"/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bookmarkStart w:id="9" w:name="bold7"/>
            <w:bookmarkStart w:id="10" w:name="italic8"/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Introduction</w:t>
            </w:r>
            <w:bookmarkEnd w:id="9"/>
            <w:bookmarkEnd w:id="10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pStyle w:val="TableSubHead"/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pStyle w:val="TableSubHead"/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pStyle w:val="TableSubHead"/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</w:tr>
      <w:tr w:rsidR="00C92BF9" w:rsidRPr="000F4D74" w:rsidTr="00BB0C7E"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  <w:bookmarkStart w:id="11" w:name="bold8"/>
            <w:bookmarkStart w:id="12" w:name="italic9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Background/</w:t>
            </w:r>
            <w:bookmarkStart w:id="13" w:name="bold9"/>
            <w:bookmarkStart w:id="14" w:name="italic10"/>
            <w:bookmarkEnd w:id="11"/>
            <w:bookmarkEnd w:id="12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rationale</w:t>
            </w:r>
            <w:bookmarkEnd w:id="13"/>
            <w:bookmarkEnd w:id="14"/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2</w:t>
            </w: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Explain the scientific background and rationale for the investigation being reported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0F4D74" w:rsidTr="00BB0C7E"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  <w:bookmarkStart w:id="15" w:name="bold10" w:colFirst="0" w:colLast="0"/>
            <w:bookmarkStart w:id="16" w:name="italic11" w:colFirst="0" w:colLast="0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Objectives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3</w:t>
            </w: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State specific objectives, including any prespecified hypotheses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0F4D74" w:rsidTr="00BB0C7E"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pStyle w:val="TableSubHead"/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bookmarkStart w:id="17" w:name="bold11"/>
            <w:bookmarkStart w:id="18" w:name="italic12"/>
            <w:bookmarkEnd w:id="15"/>
            <w:bookmarkEnd w:id="16"/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Methods</w:t>
            </w:r>
            <w:bookmarkEnd w:id="17"/>
            <w:bookmarkEnd w:id="18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pStyle w:val="TableSubHead"/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pStyle w:val="TableSubHead"/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pStyle w:val="TableSubHead"/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</w:tr>
      <w:tr w:rsidR="00C92BF9" w:rsidRPr="000F4D74" w:rsidTr="00BB0C7E"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  <w:bookmarkStart w:id="19" w:name="bold12" w:colFirst="0" w:colLast="0"/>
            <w:bookmarkStart w:id="20" w:name="italic13" w:colFirst="0" w:colLast="0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Study design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4</w:t>
            </w: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Present key elements of study design early in the paper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0F4D74" w:rsidTr="00BB0C7E"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  <w:bookmarkStart w:id="21" w:name="bold13" w:colFirst="0" w:colLast="0"/>
            <w:bookmarkStart w:id="22" w:name="italic14" w:colFirst="0" w:colLast="0"/>
            <w:bookmarkEnd w:id="19"/>
            <w:bookmarkEnd w:id="20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Setting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5</w:t>
            </w: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bookmarkEnd w:id="21"/>
      <w:bookmarkEnd w:id="22"/>
      <w:tr w:rsidR="00C92BF9" w:rsidRPr="000F4D74" w:rsidTr="00BB0C7E">
        <w:tc>
          <w:tcPr>
            <w:tcW w:w="21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Participants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6</w:t>
            </w: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(</w:t>
            </w:r>
            <w:r w:rsidRPr="000F4D74">
              <w:rPr>
                <w:rFonts w:asciiTheme="majorHAnsi" w:hAnsiTheme="majorHAnsi" w:cstheme="majorHAnsi"/>
                <w:i/>
                <w:sz w:val="22"/>
                <w:szCs w:val="22"/>
                <w:lang w:val="en-US"/>
              </w:rPr>
              <w:t>a</w:t>
            </w: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) Give the eligibility criteria, and the sources and methods of selection of participants. Describe methods of follow-up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BB0C7E" w:rsidTr="00BB0C7E">
        <w:tc>
          <w:tcPr>
            <w:tcW w:w="21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bCs/>
                <w:sz w:val="22"/>
                <w:szCs w:val="22"/>
                <w:lang w:val="en-US" w:eastAsia="en-US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</w:pP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i/>
                <w:sz w:val="22"/>
                <w:szCs w:val="22"/>
                <w:lang w:val="en-US"/>
              </w:rPr>
            </w:pPr>
            <w:bookmarkStart w:id="23" w:name="bold14"/>
            <w:bookmarkStart w:id="24" w:name="italic15"/>
            <w:bookmarkEnd w:id="23"/>
            <w:bookmarkEnd w:id="24"/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(</w:t>
            </w:r>
            <w:r w:rsidRPr="000F4D74">
              <w:rPr>
                <w:rFonts w:asciiTheme="majorHAnsi" w:hAnsiTheme="majorHAnsi" w:cstheme="majorHAnsi"/>
                <w:i/>
                <w:sz w:val="22"/>
                <w:szCs w:val="22"/>
                <w:lang w:val="en-US"/>
              </w:rPr>
              <w:t>b</w:t>
            </w: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)</w:t>
            </w:r>
            <w:r w:rsidRPr="000F4D74">
              <w:rPr>
                <w:rFonts w:asciiTheme="majorHAnsi" w:hAnsiTheme="majorHAnsi" w:cstheme="majorHAnsi"/>
                <w:b/>
                <w:bCs/>
                <w:sz w:val="22"/>
                <w:szCs w:val="22"/>
                <w:lang w:val="en-US"/>
              </w:rPr>
              <w:t xml:space="preserve"> </w:t>
            </w: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For matched studies, give matching criteria and number of exposed and unexposed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</w:tr>
      <w:tr w:rsidR="00C92BF9" w:rsidRPr="000F4D74" w:rsidTr="00BB0C7E"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  <w:bookmarkStart w:id="25" w:name="bold16" w:colFirst="0" w:colLast="0"/>
            <w:bookmarkStart w:id="26" w:name="italic17" w:colFirst="0" w:colLast="0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Variables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7</w:t>
            </w: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BB0C7E" w:rsidTr="00BB0C7E">
        <w:trPr>
          <w:trHeight w:val="294"/>
        </w:trPr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  <w:bookmarkStart w:id="27" w:name="bold17"/>
            <w:bookmarkStart w:id="28" w:name="italic18"/>
            <w:bookmarkEnd w:id="25"/>
            <w:bookmarkEnd w:id="26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Data sources/</w:t>
            </w:r>
            <w:bookmarkStart w:id="29" w:name="bold18"/>
            <w:bookmarkStart w:id="30" w:name="italic19"/>
            <w:bookmarkEnd w:id="27"/>
            <w:bookmarkEnd w:id="28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 xml:space="preserve"> measurement</w:t>
            </w:r>
            <w:bookmarkEnd w:id="29"/>
            <w:bookmarkEnd w:id="30"/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8</w:t>
            </w:r>
            <w:bookmarkStart w:id="31" w:name="bold19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*</w:t>
            </w:r>
            <w:bookmarkEnd w:id="31"/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i/>
                <w:sz w:val="22"/>
                <w:szCs w:val="22"/>
                <w:lang w:val="en-US"/>
              </w:rPr>
              <w:t xml:space="preserve"> </w:t>
            </w: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i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i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i/>
                <w:sz w:val="22"/>
                <w:szCs w:val="22"/>
                <w:lang w:val="en-US"/>
              </w:rPr>
            </w:pPr>
          </w:p>
        </w:tc>
      </w:tr>
      <w:tr w:rsidR="00C92BF9" w:rsidRPr="000F4D74" w:rsidTr="00BB0C7E"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bCs/>
                <w:color w:val="000000"/>
                <w:sz w:val="22"/>
                <w:szCs w:val="22"/>
                <w:lang w:val="en-US"/>
              </w:rPr>
            </w:pPr>
            <w:bookmarkStart w:id="32" w:name="bold20" w:colFirst="0" w:colLast="0"/>
            <w:bookmarkStart w:id="33" w:name="italic20" w:colFirst="0" w:colLast="0"/>
            <w:r w:rsidRPr="000F4D74">
              <w:rPr>
                <w:rFonts w:asciiTheme="majorHAnsi" w:hAnsiTheme="majorHAnsi" w:cstheme="majorHAnsi"/>
                <w:bCs/>
                <w:color w:val="000000"/>
                <w:sz w:val="22"/>
                <w:szCs w:val="22"/>
                <w:lang w:val="en-US"/>
              </w:rPr>
              <w:t>Bias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9</w:t>
            </w: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Describe any efforts to address potential sources of bias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x</w:t>
            </w:r>
          </w:p>
        </w:tc>
      </w:tr>
      <w:tr w:rsidR="00C92BF9" w:rsidRPr="000F4D74" w:rsidTr="00BB0C7E"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  <w:bookmarkStart w:id="34" w:name="bold21" w:colFirst="0" w:colLast="0"/>
            <w:bookmarkStart w:id="35" w:name="italic21" w:colFirst="0" w:colLast="0"/>
            <w:bookmarkEnd w:id="32"/>
            <w:bookmarkEnd w:id="33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Study size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10</w:t>
            </w: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Explain how the study size was arrived at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0F4D74" w:rsidTr="00BB0C7E"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  <w:bookmarkStart w:id="36" w:name="bold22"/>
            <w:bookmarkStart w:id="37" w:name="italic22"/>
            <w:bookmarkEnd w:id="34"/>
            <w:bookmarkEnd w:id="35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Quantitative</w:t>
            </w:r>
            <w:bookmarkStart w:id="38" w:name="bold23"/>
            <w:bookmarkStart w:id="39" w:name="italic23"/>
            <w:bookmarkEnd w:id="36"/>
            <w:bookmarkEnd w:id="37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 xml:space="preserve"> variables</w:t>
            </w:r>
            <w:bookmarkEnd w:id="38"/>
            <w:bookmarkEnd w:id="39"/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11</w:t>
            </w: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0F4D74" w:rsidTr="00BB0C7E">
        <w:tc>
          <w:tcPr>
            <w:tcW w:w="21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bookmarkStart w:id="40" w:name="italic24"/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Statistical</w:t>
            </w:r>
            <w:bookmarkStart w:id="41" w:name="italic25"/>
            <w:bookmarkEnd w:id="40"/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 xml:space="preserve"> methods</w:t>
            </w:r>
            <w:bookmarkEnd w:id="41"/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12</w:t>
            </w: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(</w:t>
            </w:r>
            <w:r w:rsidRPr="000F4D74">
              <w:rPr>
                <w:rFonts w:asciiTheme="majorHAnsi" w:hAnsiTheme="majorHAnsi" w:cstheme="majorHAnsi"/>
                <w:i/>
                <w:sz w:val="22"/>
                <w:szCs w:val="22"/>
                <w:lang w:val="en-US"/>
              </w:rPr>
              <w:t>a</w:t>
            </w: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) Describe all statistical methods, including those used to control for confounding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0F4D74" w:rsidTr="00BB0C7E">
        <w:tc>
          <w:tcPr>
            <w:tcW w:w="21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</w:pP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bookmarkStart w:id="42" w:name="bold24"/>
            <w:bookmarkStart w:id="43" w:name="italic26"/>
            <w:bookmarkEnd w:id="42"/>
            <w:bookmarkEnd w:id="43"/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(</w:t>
            </w:r>
            <w:r w:rsidRPr="000F4D74">
              <w:rPr>
                <w:rFonts w:asciiTheme="majorHAnsi" w:hAnsiTheme="majorHAnsi" w:cstheme="majorHAnsi"/>
                <w:i/>
                <w:sz w:val="22"/>
                <w:szCs w:val="22"/>
                <w:lang w:val="en-US"/>
              </w:rPr>
              <w:t>b</w:t>
            </w: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) Describe any methods used to examine subgroups and interactions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0F4D74" w:rsidTr="00BB0C7E">
        <w:tc>
          <w:tcPr>
            <w:tcW w:w="21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</w:pP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bookmarkStart w:id="44" w:name="bold25"/>
            <w:bookmarkStart w:id="45" w:name="italic27"/>
            <w:bookmarkEnd w:id="44"/>
            <w:bookmarkEnd w:id="45"/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(</w:t>
            </w:r>
            <w:r w:rsidRPr="000F4D74">
              <w:rPr>
                <w:rFonts w:asciiTheme="majorHAnsi" w:hAnsiTheme="majorHAnsi" w:cstheme="majorHAnsi"/>
                <w:i/>
                <w:sz w:val="22"/>
                <w:szCs w:val="22"/>
                <w:lang w:val="en-US"/>
              </w:rPr>
              <w:t>c</w:t>
            </w: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) Explain how missing data were addressed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BB0C7E" w:rsidTr="00BB0C7E">
        <w:tc>
          <w:tcPr>
            <w:tcW w:w="21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</w:pP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bookmarkStart w:id="46" w:name="bold26"/>
            <w:bookmarkStart w:id="47" w:name="italic28"/>
            <w:bookmarkEnd w:id="46"/>
            <w:bookmarkEnd w:id="47"/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(</w:t>
            </w:r>
            <w:r w:rsidRPr="000F4D74">
              <w:rPr>
                <w:rFonts w:asciiTheme="majorHAnsi" w:hAnsiTheme="majorHAnsi" w:cstheme="majorHAnsi"/>
                <w:i/>
                <w:sz w:val="22"/>
                <w:szCs w:val="22"/>
                <w:lang w:val="en-US"/>
              </w:rPr>
              <w:t>d</w:t>
            </w: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) If applicable, explain how loss to follow-up was addressed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</w:tr>
      <w:tr w:rsidR="00C92BF9" w:rsidRPr="00BB0C7E" w:rsidTr="00BB0C7E">
        <w:tc>
          <w:tcPr>
            <w:tcW w:w="21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</w:pP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bookmarkStart w:id="48" w:name="bold27"/>
            <w:bookmarkStart w:id="49" w:name="italic29"/>
            <w:bookmarkEnd w:id="48"/>
            <w:bookmarkEnd w:id="49"/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(</w:t>
            </w:r>
            <w:r w:rsidRPr="000F4D74">
              <w:rPr>
                <w:rFonts w:asciiTheme="majorHAnsi" w:hAnsiTheme="majorHAnsi" w:cstheme="majorHAnsi"/>
                <w:i/>
                <w:sz w:val="22"/>
                <w:szCs w:val="22"/>
                <w:u w:val="single"/>
                <w:lang w:val="en-US"/>
              </w:rPr>
              <w:t>e</w:t>
            </w: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) Describe any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</w:tr>
      <w:tr w:rsidR="00C92BF9" w:rsidRPr="000F4D74" w:rsidTr="00BB0C7E"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pStyle w:val="TableSubHead"/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bookmarkStart w:id="50" w:name="bold28"/>
            <w:bookmarkStart w:id="51" w:name="italic30"/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Results</w:t>
            </w:r>
            <w:bookmarkEnd w:id="50"/>
            <w:bookmarkEnd w:id="51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pStyle w:val="TableSubHead"/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pStyle w:val="TableSubHead"/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pStyle w:val="TableSubHead"/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</w:tr>
      <w:tr w:rsidR="00C92BF9" w:rsidRPr="000F4D74" w:rsidTr="00BB0C7E">
        <w:tc>
          <w:tcPr>
            <w:tcW w:w="21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  <w:bookmarkStart w:id="52" w:name="bold29"/>
            <w:bookmarkStart w:id="53" w:name="italic31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Participants</w:t>
            </w:r>
            <w:bookmarkEnd w:id="52"/>
            <w:bookmarkEnd w:id="53"/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13</w:t>
            </w:r>
            <w:bookmarkStart w:id="54" w:name="bold30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*</w:t>
            </w:r>
            <w:bookmarkEnd w:id="54"/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(a) 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0F4D74" w:rsidTr="00BB0C7E">
        <w:tc>
          <w:tcPr>
            <w:tcW w:w="21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bCs/>
                <w:sz w:val="22"/>
                <w:szCs w:val="22"/>
                <w:lang w:val="en-US" w:eastAsia="en-US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</w:pP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bookmarkStart w:id="55" w:name="bold31"/>
            <w:bookmarkStart w:id="56" w:name="italic32"/>
            <w:bookmarkEnd w:id="55"/>
            <w:bookmarkEnd w:id="56"/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(b) Give reasons for non-participation at each stage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0F4D74" w:rsidTr="00BB0C7E">
        <w:tc>
          <w:tcPr>
            <w:tcW w:w="21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bCs/>
                <w:sz w:val="22"/>
                <w:szCs w:val="22"/>
                <w:lang w:val="en-US" w:eastAsia="en-US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</w:pP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bookmarkStart w:id="57" w:name="bold32"/>
            <w:bookmarkStart w:id="58" w:name="italic33"/>
            <w:bookmarkStart w:id="59" w:name="OLE_LINK4"/>
            <w:bookmarkEnd w:id="57"/>
            <w:bookmarkEnd w:id="58"/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(c) Consider use of a flow diagram</w:t>
            </w:r>
            <w:bookmarkEnd w:id="59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0F4D74" w:rsidTr="00BB0C7E">
        <w:tc>
          <w:tcPr>
            <w:tcW w:w="21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  <w:bookmarkStart w:id="60" w:name="bold33"/>
            <w:bookmarkStart w:id="61" w:name="italic34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 xml:space="preserve">Descriptive </w:t>
            </w:r>
            <w:bookmarkStart w:id="62" w:name="bold34"/>
            <w:bookmarkStart w:id="63" w:name="italic35"/>
            <w:bookmarkEnd w:id="60"/>
            <w:bookmarkEnd w:id="61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data</w:t>
            </w:r>
            <w:bookmarkEnd w:id="62"/>
            <w:bookmarkEnd w:id="63"/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14</w:t>
            </w:r>
            <w:bookmarkStart w:id="64" w:name="bold35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*</w:t>
            </w:r>
            <w:bookmarkEnd w:id="64"/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(a) Give characteristics of study participants (eg demographic, clinical, social) and information on exposures and potential confounders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0F4D74" w:rsidTr="00BB0C7E">
        <w:tc>
          <w:tcPr>
            <w:tcW w:w="21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bCs/>
                <w:sz w:val="22"/>
                <w:szCs w:val="22"/>
                <w:lang w:val="en-US" w:eastAsia="en-US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</w:pP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bookmarkStart w:id="65" w:name="bold36"/>
            <w:bookmarkStart w:id="66" w:name="italic36"/>
            <w:bookmarkEnd w:id="65"/>
            <w:bookmarkEnd w:id="66"/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(b) Indicate number of participants with missing data for each variable of interest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0F4D74" w:rsidTr="00BB0C7E">
        <w:tc>
          <w:tcPr>
            <w:tcW w:w="21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bCs/>
                <w:sz w:val="22"/>
                <w:szCs w:val="22"/>
                <w:lang w:val="en-US" w:eastAsia="en-US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</w:pP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bookmarkStart w:id="67" w:name="bold37"/>
            <w:bookmarkStart w:id="68" w:name="italic37"/>
            <w:bookmarkEnd w:id="67"/>
            <w:bookmarkEnd w:id="68"/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(c) Summarise follow-up time (eg, average and total amount)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0F4D74" w:rsidTr="00BB0C7E">
        <w:trPr>
          <w:trHeight w:val="295"/>
        </w:trPr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  <w:bookmarkStart w:id="69" w:name="bold38" w:colFirst="0" w:colLast="0"/>
            <w:bookmarkStart w:id="70" w:name="italic38" w:colFirst="0" w:colLast="0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Outcome data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15</w:t>
            </w:r>
            <w:bookmarkStart w:id="71" w:name="bold39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*</w:t>
            </w:r>
            <w:bookmarkEnd w:id="71"/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Report numbers of outcome events or summary measures over time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0F4D74" w:rsidTr="00BB0C7E">
        <w:tc>
          <w:tcPr>
            <w:tcW w:w="21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Main results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16</w:t>
            </w: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(</w:t>
            </w:r>
            <w:r w:rsidRPr="000F4D74">
              <w:rPr>
                <w:rFonts w:asciiTheme="majorHAnsi" w:hAnsiTheme="majorHAnsi" w:cstheme="majorHAnsi"/>
                <w:i/>
                <w:sz w:val="22"/>
                <w:szCs w:val="22"/>
                <w:lang w:val="en-US"/>
              </w:rPr>
              <w:t>a</w:t>
            </w: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) Give unadjusted estimates and, if applicable, confounder-adjusted estimates and their precision (eg, 95% confidence interval). Make clear which confounders were adjusted for and why they were included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bookmarkEnd w:id="72"/>
      <w:bookmarkEnd w:id="73"/>
      <w:tr w:rsidR="00C92BF9" w:rsidRPr="000F4D74" w:rsidTr="00BB0C7E">
        <w:tc>
          <w:tcPr>
            <w:tcW w:w="21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bCs/>
                <w:sz w:val="22"/>
                <w:szCs w:val="22"/>
                <w:lang w:val="en-US" w:eastAsia="en-US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</w:pP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bookmarkStart w:id="74" w:name="italic41"/>
            <w:bookmarkStart w:id="75" w:name="bold42"/>
            <w:bookmarkEnd w:id="74"/>
            <w:bookmarkEnd w:id="75"/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(</w:t>
            </w:r>
            <w:r w:rsidRPr="000F4D74">
              <w:rPr>
                <w:rFonts w:asciiTheme="majorHAnsi" w:hAnsiTheme="majorHAnsi" w:cstheme="majorHAnsi"/>
                <w:i/>
                <w:sz w:val="22"/>
                <w:szCs w:val="22"/>
                <w:lang w:val="en-US"/>
              </w:rPr>
              <w:t>b</w:t>
            </w: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) Report category boundaries when continuous variables were categorized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BB0C7E" w:rsidTr="00BB0C7E">
        <w:tc>
          <w:tcPr>
            <w:tcW w:w="21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bCs/>
                <w:sz w:val="22"/>
                <w:szCs w:val="22"/>
                <w:lang w:val="en-US" w:eastAsia="en-US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92BF9" w:rsidRPr="000F4D74" w:rsidRDefault="00C92BF9" w:rsidP="00BB0C7E">
            <w:pPr>
              <w:rPr>
                <w:rFonts w:asciiTheme="majorHAnsi" w:hAnsiTheme="majorHAnsi" w:cstheme="majorHAnsi"/>
                <w:sz w:val="22"/>
                <w:szCs w:val="22"/>
                <w:lang w:val="en-US" w:eastAsia="en-US"/>
              </w:rPr>
            </w:pP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bookmarkStart w:id="76" w:name="italic42"/>
            <w:bookmarkStart w:id="77" w:name="bold43"/>
            <w:bookmarkEnd w:id="76"/>
            <w:bookmarkEnd w:id="77"/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(</w:t>
            </w:r>
            <w:r w:rsidRPr="000F4D74">
              <w:rPr>
                <w:rFonts w:asciiTheme="majorHAnsi" w:hAnsiTheme="majorHAnsi" w:cstheme="majorHAnsi"/>
                <w:i/>
                <w:sz w:val="22"/>
                <w:szCs w:val="22"/>
                <w:lang w:val="en-US"/>
              </w:rPr>
              <w:t>c</w:t>
            </w: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) If relevant, consider translating estimates of relative risk into absolute risk for a meaningful time period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</w:tr>
      <w:tr w:rsidR="00C92BF9" w:rsidRPr="00BB0C7E" w:rsidTr="00BB0C7E"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  <w:bookmarkStart w:id="78" w:name="italic43"/>
            <w:bookmarkStart w:id="79" w:name="bold44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Other analyses</w:t>
            </w:r>
            <w:bookmarkEnd w:id="78"/>
            <w:bookmarkEnd w:id="79"/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17</w:t>
            </w: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Report other analyses done—eg analyses of subgroups and interactions, and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</w:tr>
      <w:tr w:rsidR="00C92BF9" w:rsidRPr="000F4D74" w:rsidTr="00BB0C7E"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pStyle w:val="TableSubHead"/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bookmarkStart w:id="80" w:name="italic44"/>
            <w:bookmarkStart w:id="81" w:name="bold45"/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Discussion</w:t>
            </w:r>
            <w:bookmarkEnd w:id="80"/>
            <w:bookmarkEnd w:id="81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pStyle w:val="TableSubHead"/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pStyle w:val="TableSubHead"/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pStyle w:val="TableSubHead"/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</w:tr>
      <w:tr w:rsidR="00C92BF9" w:rsidRPr="000F4D74" w:rsidTr="00BB0C7E"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  <w:bookmarkStart w:id="82" w:name="italic45" w:colFirst="0" w:colLast="0"/>
            <w:bookmarkStart w:id="83" w:name="bold46" w:colFirst="0" w:colLast="0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Key results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18</w:t>
            </w: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Summarise key results with reference to study objectives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0F4D74" w:rsidTr="00BB0C7E"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Limitations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19</w:t>
            </w: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0F4D74" w:rsidTr="00BB0C7E"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Interpretation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20</w:t>
            </w: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0F4D74" w:rsidTr="00BB0C7E"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Generalisability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21</w:t>
            </w: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Discuss the generalisability (external validity) of the study results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tr w:rsidR="00C92BF9" w:rsidRPr="000F4D74" w:rsidTr="00BB0C7E"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pStyle w:val="TableSubHead"/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bookmarkStart w:id="90" w:name="italic49"/>
            <w:bookmarkStart w:id="91" w:name="bold50"/>
            <w:bookmarkEnd w:id="88"/>
            <w:bookmarkEnd w:id="89"/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Other information</w:t>
            </w:r>
            <w:bookmarkEnd w:id="90"/>
            <w:bookmarkEnd w:id="91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pStyle w:val="TableSubHead"/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pStyle w:val="TableSubHead"/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pStyle w:val="TableSubHead"/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</w:tr>
      <w:tr w:rsidR="00C92BF9" w:rsidRPr="000F4D74" w:rsidTr="00BB0C7E"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</w:pPr>
            <w:bookmarkStart w:id="92" w:name="bold51" w:colFirst="0" w:colLast="0"/>
            <w:bookmarkStart w:id="93" w:name="italic50" w:colFirst="0" w:colLast="0"/>
            <w:r w:rsidRPr="000F4D74">
              <w:rPr>
                <w:rFonts w:asciiTheme="majorHAnsi" w:hAnsiTheme="majorHAnsi" w:cstheme="majorHAnsi"/>
                <w:bCs/>
                <w:sz w:val="22"/>
                <w:szCs w:val="22"/>
                <w:lang w:val="en-US"/>
              </w:rPr>
              <w:t>Funding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jc w:val="center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22</w:t>
            </w:r>
          </w:p>
        </w:tc>
        <w:tc>
          <w:tcPr>
            <w:tcW w:w="5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2BF9" w:rsidRPr="000F4D74" w:rsidRDefault="00C92BF9" w:rsidP="00BB0C7E">
            <w:pPr>
              <w:tabs>
                <w:tab w:val="left" w:pos="5400"/>
              </w:tabs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 w:rsidRPr="000F4D74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x</w:t>
            </w:r>
          </w:p>
        </w:tc>
      </w:tr>
      <w:bookmarkEnd w:id="92"/>
      <w:bookmarkEnd w:id="93"/>
    </w:tbl>
    <w:p w:rsidR="00C92BF9" w:rsidRPr="000F4D74" w:rsidRDefault="00C92BF9" w:rsidP="00C92BF9">
      <w:pPr>
        <w:pStyle w:val="TableNote"/>
        <w:tabs>
          <w:tab w:val="left" w:pos="5400"/>
        </w:tabs>
        <w:rPr>
          <w:bCs/>
          <w:sz w:val="20"/>
          <w:lang w:val="en-US"/>
        </w:rPr>
      </w:pPr>
    </w:p>
    <w:p w:rsidR="00C92BF9" w:rsidRPr="000F4D74" w:rsidRDefault="00C92BF9" w:rsidP="00C92BF9">
      <w:pPr>
        <w:pStyle w:val="TableNote"/>
        <w:tabs>
          <w:tab w:val="left" w:pos="5400"/>
        </w:tabs>
        <w:rPr>
          <w:rFonts w:asciiTheme="majorHAnsi" w:hAnsiTheme="majorHAnsi" w:cstheme="majorHAnsi"/>
          <w:sz w:val="22"/>
          <w:szCs w:val="22"/>
          <w:lang w:val="en-US"/>
        </w:rPr>
      </w:pPr>
      <w:r w:rsidRPr="000F4D74">
        <w:rPr>
          <w:rFonts w:asciiTheme="majorHAnsi" w:hAnsiTheme="majorHAnsi" w:cstheme="majorHAnsi"/>
          <w:bCs/>
          <w:sz w:val="22"/>
          <w:szCs w:val="22"/>
          <w:lang w:val="en-US"/>
        </w:rPr>
        <w:t>*</w:t>
      </w:r>
      <w:r w:rsidRPr="000F4D74">
        <w:rPr>
          <w:rFonts w:asciiTheme="majorHAnsi" w:hAnsiTheme="majorHAnsi" w:cstheme="majorHAnsi"/>
          <w:sz w:val="22"/>
          <w:szCs w:val="22"/>
          <w:lang w:val="en-US"/>
        </w:rPr>
        <w:t>Give information separately for exposed and unexposed groups.</w:t>
      </w:r>
    </w:p>
    <w:p w:rsidR="00C92BF9" w:rsidRPr="000F4D74" w:rsidRDefault="00C92BF9" w:rsidP="00C92BF9">
      <w:pPr>
        <w:pStyle w:val="TableNote"/>
        <w:tabs>
          <w:tab w:val="left" w:pos="5400"/>
        </w:tabs>
        <w:rPr>
          <w:sz w:val="20"/>
          <w:lang w:val="en-US"/>
        </w:rPr>
      </w:pPr>
    </w:p>
    <w:p w:rsidR="00C92BF9" w:rsidRPr="000F4D74" w:rsidRDefault="00C92BF9" w:rsidP="00C92BF9">
      <w:pPr>
        <w:pStyle w:val="TableNote"/>
        <w:tabs>
          <w:tab w:val="left" w:pos="5400"/>
        </w:tabs>
        <w:rPr>
          <w:sz w:val="20"/>
          <w:lang w:val="en-US"/>
        </w:rPr>
      </w:pPr>
    </w:p>
    <w:p w:rsidR="00C92BF9" w:rsidRPr="000F4D74" w:rsidRDefault="00C92BF9" w:rsidP="00C92BF9">
      <w:pPr>
        <w:pStyle w:val="p"/>
        <w:spacing w:before="166" w:beforeAutospacing="0" w:after="166" w:afterAutospacing="0" w:line="480" w:lineRule="auto"/>
        <w:jc w:val="both"/>
        <w:rPr>
          <w:rFonts w:ascii="Calibri" w:hAnsi="Calibri" w:cs="Calibri"/>
          <w:b/>
          <w:sz w:val="22"/>
          <w:szCs w:val="22"/>
          <w:lang w:val="en-US"/>
        </w:rPr>
      </w:pPr>
    </w:p>
    <w:p w:rsidR="00C92BF9" w:rsidRPr="000F4D74" w:rsidRDefault="00C92BF9" w:rsidP="00C92BF9">
      <w:pPr>
        <w:pStyle w:val="p"/>
        <w:spacing w:before="166" w:beforeAutospacing="0" w:after="166" w:afterAutospacing="0" w:line="480" w:lineRule="auto"/>
        <w:jc w:val="both"/>
        <w:rPr>
          <w:rFonts w:ascii="Calibri" w:hAnsi="Calibri" w:cs="Calibri"/>
          <w:b/>
          <w:sz w:val="22"/>
          <w:szCs w:val="22"/>
          <w:lang w:val="en-US"/>
        </w:rPr>
      </w:pPr>
    </w:p>
    <w:p w:rsidR="00C92BF9" w:rsidRPr="000F4D74" w:rsidRDefault="00C92BF9" w:rsidP="00C92BF9">
      <w:pPr>
        <w:pStyle w:val="p"/>
        <w:spacing w:before="166" w:beforeAutospacing="0" w:after="166" w:afterAutospacing="0" w:line="480" w:lineRule="auto"/>
        <w:jc w:val="both"/>
        <w:rPr>
          <w:rFonts w:ascii="Calibri" w:hAnsi="Calibri" w:cs="Calibri"/>
          <w:b/>
          <w:sz w:val="22"/>
          <w:szCs w:val="22"/>
          <w:lang w:val="en-US"/>
        </w:rPr>
      </w:pPr>
    </w:p>
    <w:p w:rsidR="00C92BF9" w:rsidRPr="000F4D74" w:rsidRDefault="00C92BF9" w:rsidP="00C92BF9">
      <w:pPr>
        <w:pStyle w:val="p"/>
        <w:spacing w:before="166" w:beforeAutospacing="0" w:after="166" w:afterAutospacing="0" w:line="480" w:lineRule="auto"/>
        <w:jc w:val="both"/>
        <w:rPr>
          <w:lang w:val="en-US"/>
        </w:rPr>
      </w:pPr>
      <w:r w:rsidRPr="000F4D74">
        <w:rPr>
          <w:b/>
          <w:lang w:val="en-US"/>
        </w:rPr>
        <w:lastRenderedPageBreak/>
        <w:t>Additional file 2:</w:t>
      </w:r>
      <w:r w:rsidRPr="000F4D74">
        <w:rPr>
          <w:lang w:val="en-US"/>
        </w:rPr>
        <w:t xml:space="preserve"> definition of exploratory outcomes</w:t>
      </w:r>
    </w:p>
    <w:p w:rsidR="00C92BF9" w:rsidRPr="000F4D74" w:rsidRDefault="00C92BF9" w:rsidP="00C92BF9">
      <w:pPr>
        <w:pStyle w:val="p"/>
        <w:spacing w:before="166" w:beforeAutospacing="0" w:after="166" w:afterAutospacing="0" w:line="480" w:lineRule="auto"/>
        <w:ind w:firstLine="708"/>
        <w:jc w:val="both"/>
        <w:rPr>
          <w:bCs/>
          <w:lang w:val="en-US"/>
        </w:rPr>
      </w:pPr>
      <w:r w:rsidRPr="000F4D74">
        <w:rPr>
          <w:bCs/>
          <w:u w:val="single"/>
          <w:lang w:val="en-US"/>
        </w:rPr>
        <w:t>Weaning of renal replacement therapy at day 30</w:t>
      </w:r>
      <w:r w:rsidRPr="000F4D74">
        <w:rPr>
          <w:bCs/>
          <w:lang w:val="en-US"/>
        </w:rPr>
        <w:t>: at least 7 days without any form of acute renal replacement therapy or weaning of renal replacement therapy attested by a nephrologist in charge of the patient.</w:t>
      </w:r>
    </w:p>
    <w:p w:rsidR="00C92BF9" w:rsidRPr="000F4D74" w:rsidRDefault="00C92BF9" w:rsidP="00C92BF9">
      <w:pPr>
        <w:pStyle w:val="p"/>
        <w:spacing w:before="166" w:beforeAutospacing="0" w:after="166" w:afterAutospacing="0" w:line="480" w:lineRule="auto"/>
        <w:ind w:firstLine="708"/>
        <w:jc w:val="both"/>
        <w:rPr>
          <w:lang w:val="en-US"/>
        </w:rPr>
      </w:pPr>
      <w:r>
        <w:rPr>
          <w:bCs/>
          <w:u w:val="single"/>
          <w:lang w:val="en-US"/>
        </w:rPr>
        <w:t>Number of v</w:t>
      </w:r>
      <w:r w:rsidRPr="000F4D74">
        <w:rPr>
          <w:bCs/>
          <w:u w:val="single"/>
          <w:lang w:val="en-US"/>
        </w:rPr>
        <w:t>entilator</w:t>
      </w:r>
      <w:r>
        <w:rPr>
          <w:bCs/>
          <w:u w:val="single"/>
          <w:lang w:val="en-US"/>
        </w:rPr>
        <w:t>-</w:t>
      </w:r>
      <w:r w:rsidRPr="000F4D74">
        <w:rPr>
          <w:bCs/>
          <w:u w:val="single"/>
          <w:lang w:val="en-US"/>
        </w:rPr>
        <w:t>free days at day 30</w:t>
      </w:r>
      <w:r w:rsidRPr="000F4D74">
        <w:rPr>
          <w:bCs/>
          <w:lang w:val="en-US"/>
        </w:rPr>
        <w:t xml:space="preserve">: </w:t>
      </w:r>
      <w:r w:rsidRPr="000F4D74">
        <w:rPr>
          <w:lang w:val="en-US"/>
        </w:rPr>
        <w:t xml:space="preserve">the total number within 30 days after inclusion of </w:t>
      </w:r>
      <w:r>
        <w:rPr>
          <w:lang w:val="en-US"/>
        </w:rPr>
        <w:t xml:space="preserve">ventilator-free </w:t>
      </w:r>
      <w:r w:rsidRPr="000F4D74">
        <w:rPr>
          <w:lang w:val="en-US"/>
        </w:rPr>
        <w:t xml:space="preserve">days </w:t>
      </w:r>
      <w:r>
        <w:rPr>
          <w:lang w:val="en-US"/>
        </w:rPr>
        <w:t xml:space="preserve">spent </w:t>
      </w:r>
      <w:r w:rsidRPr="000F4D74">
        <w:rPr>
          <w:lang w:val="en-US"/>
        </w:rPr>
        <w:t xml:space="preserve">alive after definitive weaning invasive mechanical ventilation (cuffed endotracheal tube). </w:t>
      </w:r>
    </w:p>
    <w:p w:rsidR="00C92BF9" w:rsidRPr="000F4D74" w:rsidRDefault="00C92BF9" w:rsidP="00C92BF9">
      <w:pPr>
        <w:pStyle w:val="p"/>
        <w:spacing w:before="166" w:beforeAutospacing="0" w:after="166" w:afterAutospacing="0" w:line="480" w:lineRule="auto"/>
        <w:ind w:firstLine="708"/>
        <w:jc w:val="both"/>
        <w:rPr>
          <w:bCs/>
          <w:lang w:val="en-US"/>
        </w:rPr>
      </w:pPr>
      <w:r>
        <w:rPr>
          <w:bCs/>
          <w:u w:val="single"/>
          <w:lang w:val="en-US"/>
        </w:rPr>
        <w:t>Number of r</w:t>
      </w:r>
      <w:r w:rsidRPr="000F4D74">
        <w:rPr>
          <w:bCs/>
          <w:u w:val="single"/>
          <w:lang w:val="en-US"/>
        </w:rPr>
        <w:t>enal replacement therapy</w:t>
      </w:r>
      <w:r>
        <w:rPr>
          <w:bCs/>
          <w:u w:val="single"/>
          <w:lang w:val="en-US"/>
        </w:rPr>
        <w:t>-</w:t>
      </w:r>
      <w:r w:rsidRPr="000F4D74">
        <w:rPr>
          <w:bCs/>
          <w:u w:val="single"/>
          <w:lang w:val="en-US"/>
        </w:rPr>
        <w:t>free days at day 30</w:t>
      </w:r>
      <w:r w:rsidRPr="000F4D74">
        <w:rPr>
          <w:bCs/>
          <w:lang w:val="en-US"/>
        </w:rPr>
        <w:t xml:space="preserve">: </w:t>
      </w:r>
      <w:r w:rsidRPr="000F4D74">
        <w:rPr>
          <w:lang w:val="en-US"/>
        </w:rPr>
        <w:t xml:space="preserve">the total number within 30 days after inclusion of </w:t>
      </w:r>
      <w:r>
        <w:rPr>
          <w:lang w:val="en-US"/>
        </w:rPr>
        <w:t xml:space="preserve">renal replacement therapy-free </w:t>
      </w:r>
      <w:r w:rsidRPr="000F4D74">
        <w:rPr>
          <w:lang w:val="en-US"/>
        </w:rPr>
        <w:t xml:space="preserve">days </w:t>
      </w:r>
      <w:r>
        <w:rPr>
          <w:lang w:val="en-US"/>
        </w:rPr>
        <w:t xml:space="preserve">spent </w:t>
      </w:r>
      <w:r w:rsidRPr="000F4D74">
        <w:rPr>
          <w:lang w:val="en-US"/>
        </w:rPr>
        <w:t xml:space="preserve">alive after definitive weaning of renal replacement therapy </w:t>
      </w:r>
      <w:r>
        <w:rPr>
          <w:lang w:val="en-US"/>
        </w:rPr>
        <w:t>(</w:t>
      </w:r>
      <w:r w:rsidRPr="000F4D74">
        <w:rPr>
          <w:lang w:val="en-US"/>
        </w:rPr>
        <w:t>any form of acute or chronic intermittent or continuous renal replacement therapy</w:t>
      </w:r>
      <w:r>
        <w:rPr>
          <w:lang w:val="en-US"/>
        </w:rPr>
        <w:t>)</w:t>
      </w:r>
      <w:r w:rsidRPr="000F4D74">
        <w:rPr>
          <w:lang w:val="en-US"/>
        </w:rPr>
        <w:t>.</w:t>
      </w:r>
    </w:p>
    <w:p w:rsidR="00C92BF9" w:rsidRPr="000F4D74" w:rsidRDefault="00C92BF9" w:rsidP="00C92BF9">
      <w:pPr>
        <w:pStyle w:val="p"/>
        <w:spacing w:before="166" w:beforeAutospacing="0" w:after="166" w:afterAutospacing="0" w:line="480" w:lineRule="auto"/>
        <w:ind w:firstLine="708"/>
        <w:jc w:val="both"/>
        <w:rPr>
          <w:bCs/>
          <w:lang w:val="en-US"/>
        </w:rPr>
      </w:pPr>
      <w:r>
        <w:rPr>
          <w:bCs/>
          <w:u w:val="single"/>
          <w:lang w:val="en-US"/>
        </w:rPr>
        <w:t>Number of n</w:t>
      </w:r>
      <w:r w:rsidRPr="000F4D74">
        <w:rPr>
          <w:bCs/>
          <w:u w:val="single"/>
          <w:lang w:val="en-US"/>
        </w:rPr>
        <w:t>orepinephrine</w:t>
      </w:r>
      <w:r>
        <w:rPr>
          <w:bCs/>
          <w:u w:val="single"/>
          <w:lang w:val="en-US"/>
        </w:rPr>
        <w:t>-</w:t>
      </w:r>
      <w:r w:rsidRPr="000F4D74">
        <w:rPr>
          <w:bCs/>
          <w:u w:val="single"/>
          <w:lang w:val="en-US"/>
        </w:rPr>
        <w:t>free days at day 30</w:t>
      </w:r>
      <w:r w:rsidRPr="000F4D74">
        <w:rPr>
          <w:bCs/>
          <w:lang w:val="en-US"/>
        </w:rPr>
        <w:t xml:space="preserve">: </w:t>
      </w:r>
      <w:r w:rsidRPr="000F4D74">
        <w:rPr>
          <w:lang w:val="en-US"/>
        </w:rPr>
        <w:t xml:space="preserve">the total number within 30 days after inclusion of </w:t>
      </w:r>
      <w:r>
        <w:rPr>
          <w:lang w:val="en-US"/>
        </w:rPr>
        <w:t xml:space="preserve">norepinephrine-free </w:t>
      </w:r>
      <w:r w:rsidRPr="000F4D74">
        <w:rPr>
          <w:lang w:val="en-US"/>
        </w:rPr>
        <w:t xml:space="preserve">days </w:t>
      </w:r>
      <w:r>
        <w:rPr>
          <w:lang w:val="en-US"/>
        </w:rPr>
        <w:t xml:space="preserve">spent </w:t>
      </w:r>
      <w:r w:rsidRPr="000F4D74">
        <w:rPr>
          <w:lang w:val="en-US"/>
        </w:rPr>
        <w:t>alive after definitive weaning of infusion of any vasopressor (norepinephrine, epinephrine, phenylephrine, vasopressin analogues).</w:t>
      </w:r>
    </w:p>
    <w:p w:rsidR="00C92BF9" w:rsidRPr="000F4D74" w:rsidRDefault="00C92BF9" w:rsidP="00C92BF9">
      <w:pPr>
        <w:pStyle w:val="p"/>
        <w:spacing w:before="166" w:beforeAutospacing="0" w:after="166" w:afterAutospacing="0" w:line="480" w:lineRule="auto"/>
        <w:ind w:firstLine="708"/>
        <w:jc w:val="both"/>
        <w:rPr>
          <w:lang w:val="en-US"/>
        </w:rPr>
      </w:pPr>
      <w:r>
        <w:rPr>
          <w:bCs/>
          <w:u w:val="single"/>
          <w:lang w:val="en-US"/>
        </w:rPr>
        <w:t>Number of o</w:t>
      </w:r>
      <w:r w:rsidRPr="000F4D74">
        <w:rPr>
          <w:bCs/>
          <w:u w:val="single"/>
          <w:lang w:val="en-US"/>
        </w:rPr>
        <w:t>rgan failure</w:t>
      </w:r>
      <w:r>
        <w:rPr>
          <w:bCs/>
          <w:u w:val="single"/>
          <w:lang w:val="en-US"/>
        </w:rPr>
        <w:t>-</w:t>
      </w:r>
      <w:r w:rsidRPr="000F4D74">
        <w:rPr>
          <w:bCs/>
          <w:u w:val="single"/>
          <w:lang w:val="en-US"/>
        </w:rPr>
        <w:t>free days at day 30</w:t>
      </w:r>
      <w:r w:rsidRPr="000F4D74">
        <w:rPr>
          <w:bCs/>
          <w:lang w:val="en-US"/>
        </w:rPr>
        <w:t xml:space="preserve">: </w:t>
      </w:r>
      <w:r w:rsidRPr="000F4D74">
        <w:rPr>
          <w:lang w:val="en-US"/>
        </w:rPr>
        <w:t xml:space="preserve">the total number within 30 days after inclusion of </w:t>
      </w:r>
      <w:r>
        <w:rPr>
          <w:lang w:val="en-US"/>
        </w:rPr>
        <w:t xml:space="preserve">organ failure-free </w:t>
      </w:r>
      <w:r w:rsidRPr="000F4D74">
        <w:rPr>
          <w:lang w:val="en-US"/>
        </w:rPr>
        <w:t>days</w:t>
      </w:r>
      <w:r>
        <w:rPr>
          <w:lang w:val="en-US"/>
        </w:rPr>
        <w:t xml:space="preserve"> spent</w:t>
      </w:r>
      <w:r w:rsidRPr="000F4D74">
        <w:rPr>
          <w:lang w:val="en-US"/>
        </w:rPr>
        <w:t xml:space="preserve"> alive after definitive weaning of all the 3 life supporting interventions: 1) invasive mechanical ventilation</w:t>
      </w:r>
      <w:r>
        <w:rPr>
          <w:lang w:val="en-US"/>
        </w:rPr>
        <w:t>,</w:t>
      </w:r>
      <w:r w:rsidRPr="000F4D74">
        <w:rPr>
          <w:lang w:val="en-US"/>
        </w:rPr>
        <w:t xml:space="preserve"> 2) infusion of any vasopressor (norepinephrine, epinephrine, phenylephrine, vasopressin analogues)</w:t>
      </w:r>
      <w:r>
        <w:rPr>
          <w:lang w:val="en-US"/>
        </w:rPr>
        <w:t>;</w:t>
      </w:r>
      <w:r w:rsidRPr="000F4D74">
        <w:rPr>
          <w:lang w:val="en-US"/>
        </w:rPr>
        <w:t xml:space="preserve"> 3) renal replacement therapy </w:t>
      </w:r>
      <w:r>
        <w:rPr>
          <w:lang w:val="en-US"/>
        </w:rPr>
        <w:t>(</w:t>
      </w:r>
      <w:r w:rsidRPr="000F4D74">
        <w:rPr>
          <w:lang w:val="en-US"/>
        </w:rPr>
        <w:t>any form of acute or chronic intermittent or continuous renal replacement therapy</w:t>
      </w:r>
      <w:r>
        <w:rPr>
          <w:lang w:val="en-US"/>
        </w:rPr>
        <w:t>)</w:t>
      </w:r>
      <w:r w:rsidRPr="000F4D74">
        <w:rPr>
          <w:lang w:val="en-US"/>
        </w:rPr>
        <w:t xml:space="preserve">. </w:t>
      </w:r>
    </w:p>
    <w:p w:rsidR="00C92BF9" w:rsidRPr="000F4D74" w:rsidRDefault="00C92BF9" w:rsidP="00C92BF9">
      <w:pPr>
        <w:pStyle w:val="p"/>
        <w:spacing w:before="166" w:beforeAutospacing="0" w:after="166" w:afterAutospacing="0" w:line="480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:rsidR="00C92BF9" w:rsidRPr="000F4D74" w:rsidRDefault="00C92BF9" w:rsidP="00C92BF9">
      <w:pPr>
        <w:rPr>
          <w:rFonts w:ascii="Calibri" w:hAnsi="Calibri" w:cs="Calibri"/>
          <w:sz w:val="22"/>
          <w:szCs w:val="22"/>
          <w:u w:val="single"/>
          <w:lang w:val="en-US"/>
        </w:rPr>
      </w:pPr>
    </w:p>
    <w:p w:rsidR="00C92BF9" w:rsidRPr="000F4D74" w:rsidRDefault="00C92BF9" w:rsidP="00C92BF9">
      <w:pPr>
        <w:rPr>
          <w:rFonts w:ascii="Calibri" w:hAnsi="Calibri" w:cs="Calibri"/>
          <w:sz w:val="22"/>
          <w:szCs w:val="22"/>
          <w:u w:val="single"/>
          <w:lang w:val="en-US"/>
        </w:rPr>
      </w:pPr>
    </w:p>
    <w:p w:rsidR="00C92BF9" w:rsidRPr="000F4D74" w:rsidRDefault="00C92BF9" w:rsidP="00C92BF9">
      <w:pPr>
        <w:rPr>
          <w:rFonts w:ascii="Calibri" w:hAnsi="Calibri" w:cs="Calibri"/>
          <w:sz w:val="22"/>
          <w:szCs w:val="22"/>
          <w:u w:val="single"/>
          <w:lang w:val="en-US"/>
        </w:rPr>
      </w:pPr>
    </w:p>
    <w:p w:rsidR="00C92BF9" w:rsidRPr="000F4D74" w:rsidRDefault="00C92BF9" w:rsidP="00C92BF9">
      <w:pPr>
        <w:rPr>
          <w:rFonts w:ascii="Calibri" w:hAnsi="Calibri" w:cs="Calibri"/>
          <w:sz w:val="22"/>
          <w:szCs w:val="22"/>
          <w:u w:val="single"/>
          <w:lang w:val="en-US"/>
        </w:rPr>
      </w:pPr>
    </w:p>
    <w:p w:rsidR="00C92BF9" w:rsidRPr="000F4D74" w:rsidRDefault="00C92BF9" w:rsidP="00C92BF9">
      <w:pPr>
        <w:rPr>
          <w:rFonts w:ascii="Calibri" w:hAnsi="Calibri" w:cs="Calibri"/>
          <w:sz w:val="22"/>
          <w:szCs w:val="22"/>
          <w:u w:val="single"/>
          <w:lang w:val="en-US"/>
        </w:rPr>
      </w:pPr>
    </w:p>
    <w:p w:rsidR="00C92BF9" w:rsidRDefault="00C92BF9" w:rsidP="00C92BF9">
      <w:pPr>
        <w:rPr>
          <w:rFonts w:ascii="Calibri" w:hAnsi="Calibri" w:cs="Calibri"/>
          <w:sz w:val="22"/>
          <w:szCs w:val="22"/>
          <w:u w:val="single"/>
          <w:lang w:val="en-US"/>
        </w:rPr>
      </w:pPr>
    </w:p>
    <w:p w:rsidR="00C92BF9" w:rsidRPr="000F4D74" w:rsidRDefault="00C92BF9" w:rsidP="00C92BF9">
      <w:pPr>
        <w:rPr>
          <w:rFonts w:ascii="Times New Roman" w:hAnsi="Times New Roman" w:cs="Times New Roman"/>
          <w:b/>
          <w:lang w:val="en-US"/>
        </w:rPr>
      </w:pPr>
      <w:bookmarkStart w:id="94" w:name="_GoBack"/>
      <w:bookmarkEnd w:id="94"/>
      <w:r w:rsidRPr="000F4D74">
        <w:rPr>
          <w:rFonts w:ascii="Times New Roman" w:hAnsi="Times New Roman" w:cs="Times New Roman"/>
          <w:b/>
          <w:lang w:val="en-US"/>
        </w:rPr>
        <w:lastRenderedPageBreak/>
        <w:t>Additional file 3: unadjusted results</w:t>
      </w:r>
    </w:p>
    <w:p w:rsidR="00C92BF9" w:rsidRPr="000F4D74" w:rsidRDefault="00C92BF9" w:rsidP="00C92BF9">
      <w:pPr>
        <w:rPr>
          <w:rFonts w:ascii="Times New Roman" w:hAnsi="Times New Roman" w:cs="Times New Roman"/>
          <w:b/>
          <w:lang w:val="en-US"/>
        </w:rPr>
      </w:pPr>
    </w:p>
    <w:p w:rsidR="00C92BF9" w:rsidRPr="000F4D74" w:rsidRDefault="00C92BF9" w:rsidP="00C92BF9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u w:val="single"/>
          <w:lang w:val="en-US"/>
        </w:rPr>
      </w:pPr>
      <w:r w:rsidRPr="000F4D74">
        <w:rPr>
          <w:rFonts w:ascii="Times New Roman" w:eastAsia="Times New Roman" w:hAnsi="Times New Roman" w:cs="Times New Roman"/>
          <w:color w:val="000000"/>
          <w:u w:val="single"/>
          <w:lang w:val="en-US"/>
        </w:rPr>
        <w:t xml:space="preserve">Fluid balance unadjusted related outcomes </w:t>
      </w:r>
    </w:p>
    <w:tbl>
      <w:tblPr>
        <w:tblStyle w:val="Grilledutableau"/>
        <w:tblW w:w="8882" w:type="dxa"/>
        <w:tblLook w:val="04A0" w:firstRow="1" w:lastRow="0" w:firstColumn="1" w:lastColumn="0" w:noHBand="0" w:noVBand="1"/>
      </w:tblPr>
      <w:tblGrid>
        <w:gridCol w:w="4106"/>
        <w:gridCol w:w="1985"/>
        <w:gridCol w:w="1874"/>
        <w:gridCol w:w="917"/>
      </w:tblGrid>
      <w:tr w:rsidR="00C92BF9" w:rsidRPr="000F4D74" w:rsidTr="00BB0C7E">
        <w:trPr>
          <w:trHeight w:val="330"/>
        </w:trPr>
        <w:tc>
          <w:tcPr>
            <w:tcW w:w="4106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</w:p>
        </w:tc>
        <w:tc>
          <w:tcPr>
            <w:tcW w:w="1985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Control group</w:t>
            </w:r>
          </w:p>
        </w:tc>
        <w:tc>
          <w:tcPr>
            <w:tcW w:w="1874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Early dry group</w:t>
            </w:r>
          </w:p>
        </w:tc>
        <w:tc>
          <w:tcPr>
            <w:tcW w:w="917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P value</w:t>
            </w:r>
          </w:p>
        </w:tc>
      </w:tr>
      <w:tr w:rsidR="00C92BF9" w:rsidRPr="000F4D74" w:rsidTr="00BB0C7E">
        <w:trPr>
          <w:trHeight w:val="226"/>
        </w:trPr>
        <w:tc>
          <w:tcPr>
            <w:tcW w:w="4106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CCFB at day 5 or discharge (mL)</w:t>
            </w:r>
          </w:p>
        </w:tc>
        <w:tc>
          <w:tcPr>
            <w:tcW w:w="1985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-4746 [-10047</w:t>
            </w:r>
            <w: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 xml:space="preserve"> -</w:t>
            </w: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 xml:space="preserve"> -1756]</w:t>
            </w:r>
          </w:p>
        </w:tc>
        <w:tc>
          <w:tcPr>
            <w:tcW w:w="1874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-4732 [-10413</w:t>
            </w:r>
            <w: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 xml:space="preserve"> -</w:t>
            </w: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 xml:space="preserve"> -2413]</w:t>
            </w:r>
          </w:p>
        </w:tc>
        <w:tc>
          <w:tcPr>
            <w:tcW w:w="917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0.64</w:t>
            </w:r>
          </w:p>
        </w:tc>
      </w:tr>
      <w:tr w:rsidR="00C92BF9" w:rsidRPr="000F4D74" w:rsidTr="00BB0C7E">
        <w:trPr>
          <w:trHeight w:val="214"/>
        </w:trPr>
        <w:tc>
          <w:tcPr>
            <w:tcW w:w="4106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WCFB at day 5 or discharge (kg)</w:t>
            </w:r>
          </w:p>
        </w:tc>
        <w:tc>
          <w:tcPr>
            <w:tcW w:w="1985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-4.5 [-8.8</w:t>
            </w:r>
            <w: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 xml:space="preserve"> -</w:t>
            </w: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 xml:space="preserve"> -1.6]</w:t>
            </w:r>
          </w:p>
        </w:tc>
        <w:tc>
          <w:tcPr>
            <w:tcW w:w="1874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-6.5 [-13.4</w:t>
            </w:r>
            <w: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 xml:space="preserve"> -</w:t>
            </w: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 xml:space="preserve"> -1.9]</w:t>
            </w:r>
          </w:p>
        </w:tc>
        <w:tc>
          <w:tcPr>
            <w:tcW w:w="917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0.14</w:t>
            </w:r>
          </w:p>
        </w:tc>
      </w:tr>
      <w:tr w:rsidR="00C92BF9" w:rsidRPr="000F4D74" w:rsidTr="00BB0C7E">
        <w:trPr>
          <w:trHeight w:val="214"/>
        </w:trPr>
        <w:tc>
          <w:tcPr>
            <w:tcW w:w="4106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Total intakes at day 5 or discharge (mL)</w:t>
            </w:r>
          </w:p>
        </w:tc>
        <w:tc>
          <w:tcPr>
            <w:tcW w:w="1985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7356 [4987</w:t>
            </w:r>
            <w: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-</w:t>
            </w: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9937]</w:t>
            </w:r>
          </w:p>
        </w:tc>
        <w:tc>
          <w:tcPr>
            <w:tcW w:w="1874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7289 [6272</w:t>
            </w:r>
            <w: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-</w:t>
            </w: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10623]</w:t>
            </w:r>
          </w:p>
        </w:tc>
        <w:tc>
          <w:tcPr>
            <w:tcW w:w="917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0.45</w:t>
            </w:r>
          </w:p>
        </w:tc>
      </w:tr>
      <w:tr w:rsidR="00C92BF9" w:rsidRPr="000F4D74" w:rsidTr="00BB0C7E">
        <w:trPr>
          <w:trHeight w:val="226"/>
        </w:trPr>
        <w:tc>
          <w:tcPr>
            <w:tcW w:w="4106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Total outputs at day 5 or discharge (mL)</w:t>
            </w:r>
          </w:p>
        </w:tc>
        <w:tc>
          <w:tcPr>
            <w:tcW w:w="1985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11831 [9205</w:t>
            </w:r>
            <w: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-</w:t>
            </w: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15308]</w:t>
            </w:r>
          </w:p>
        </w:tc>
        <w:tc>
          <w:tcPr>
            <w:tcW w:w="1874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13603 [10910</w:t>
            </w:r>
            <w: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-</w:t>
            </w: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16780]</w:t>
            </w:r>
          </w:p>
        </w:tc>
        <w:tc>
          <w:tcPr>
            <w:tcW w:w="917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0.22</w:t>
            </w:r>
          </w:p>
        </w:tc>
      </w:tr>
      <w:tr w:rsidR="00C92BF9" w:rsidRPr="000F4D74" w:rsidTr="00BB0C7E">
        <w:trPr>
          <w:trHeight w:val="214"/>
        </w:trPr>
        <w:tc>
          <w:tcPr>
            <w:tcW w:w="4106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Daily UFnet during CRRT between inclusion and day 5 or discharge (mL/kg/d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ay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)</w:t>
            </w:r>
          </w:p>
        </w:tc>
        <w:tc>
          <w:tcPr>
            <w:tcW w:w="1985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24 [16</w:t>
            </w:r>
            <w: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-</w:t>
            </w: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33]</w:t>
            </w:r>
          </w:p>
        </w:tc>
        <w:tc>
          <w:tcPr>
            <w:tcW w:w="1874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30 [22</w:t>
            </w:r>
            <w: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-</w:t>
            </w: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39]</w:t>
            </w:r>
          </w:p>
        </w:tc>
        <w:tc>
          <w:tcPr>
            <w:tcW w:w="917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0.04</w:t>
            </w:r>
          </w:p>
        </w:tc>
      </w:tr>
      <w:tr w:rsidR="00C92BF9" w:rsidRPr="000F4D74" w:rsidTr="00BB0C7E">
        <w:trPr>
          <w:trHeight w:val="214"/>
        </w:trPr>
        <w:tc>
          <w:tcPr>
            <w:tcW w:w="4106" w:type="dxa"/>
          </w:tcPr>
          <w:p w:rsidR="00C92BF9" w:rsidRPr="000F4D74" w:rsidRDefault="00C92BF9" w:rsidP="00BB0C7E">
            <w:pPr>
              <w:rPr>
                <w:rFonts w:eastAsia="Times New Roman" w:cstheme="minorHAnsi"/>
                <w:color w:val="000000"/>
                <w:sz w:val="18"/>
                <w:szCs w:val="18"/>
                <w:highlight w:val="yellow"/>
              </w:rPr>
            </w:pP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Daily diuresis between inclusion and day 5 or discharge (mL/kg/d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ay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)</w:t>
            </w:r>
          </w:p>
        </w:tc>
        <w:tc>
          <w:tcPr>
            <w:tcW w:w="1985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9 [2</w:t>
            </w:r>
            <w: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-</w:t>
            </w: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18]</w:t>
            </w:r>
          </w:p>
        </w:tc>
        <w:tc>
          <w:tcPr>
            <w:tcW w:w="1874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3 [1</w:t>
            </w:r>
            <w: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-</w:t>
            </w: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9]</w:t>
            </w:r>
          </w:p>
        </w:tc>
        <w:tc>
          <w:tcPr>
            <w:tcW w:w="917" w:type="dxa"/>
            <w:tcBorders>
              <w:bottom w:val="single" w:sz="4" w:space="0" w:color="auto"/>
            </w:tcBorders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0.04</w:t>
            </w:r>
          </w:p>
        </w:tc>
      </w:tr>
      <w:tr w:rsidR="00C92BF9" w:rsidRPr="000F4D74" w:rsidTr="00BB0C7E">
        <w:trPr>
          <w:trHeight w:val="226"/>
        </w:trPr>
        <w:tc>
          <w:tcPr>
            <w:tcW w:w="4106" w:type="dxa"/>
            <w:tcBorders>
              <w:bottom w:val="single" w:sz="4" w:space="0" w:color="auto"/>
            </w:tcBorders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Plasma protein concentration variation between inclusion and day 5 or discharge (%)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2 [-7</w:t>
            </w:r>
            <w: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 xml:space="preserve"> -</w:t>
            </w: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 xml:space="preserve"> 13]</w:t>
            </w:r>
          </w:p>
        </w:tc>
        <w:tc>
          <w:tcPr>
            <w:tcW w:w="1874" w:type="dxa"/>
            <w:tcBorders>
              <w:bottom w:val="single" w:sz="4" w:space="0" w:color="auto"/>
            </w:tcBorders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10 [-4</w:t>
            </w:r>
            <w: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 xml:space="preserve"> -</w:t>
            </w: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 xml:space="preserve"> 19]</w:t>
            </w:r>
          </w:p>
        </w:tc>
        <w:tc>
          <w:tcPr>
            <w:tcW w:w="917" w:type="dxa"/>
            <w:tcBorders>
              <w:bottom w:val="single" w:sz="4" w:space="0" w:color="auto"/>
            </w:tcBorders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0.06</w:t>
            </w:r>
          </w:p>
        </w:tc>
      </w:tr>
    </w:tbl>
    <w:p w:rsidR="00C92BF9" w:rsidRPr="000F4D74" w:rsidRDefault="00C92BF9" w:rsidP="00C92BF9">
      <w:pPr>
        <w:spacing w:line="480" w:lineRule="auto"/>
        <w:jc w:val="both"/>
        <w:rPr>
          <w:rFonts w:ascii="Calibri" w:hAnsi="Calibri" w:cs="Calibri"/>
          <w:color w:val="000000" w:themeColor="text1"/>
          <w:kern w:val="24"/>
          <w:sz w:val="22"/>
          <w:szCs w:val="22"/>
          <w:u w:val="single"/>
          <w:lang w:val="en-US"/>
        </w:rPr>
      </w:pPr>
    </w:p>
    <w:p w:rsidR="00C92BF9" w:rsidRPr="000F4D74" w:rsidRDefault="00C92BF9" w:rsidP="00C92BF9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kern w:val="24"/>
          <w:u w:val="single"/>
          <w:lang w:val="en-US"/>
        </w:rPr>
      </w:pPr>
      <w:r>
        <w:rPr>
          <w:rFonts w:ascii="Times New Roman" w:hAnsi="Times New Roman" w:cs="Times New Roman"/>
          <w:i/>
          <w:iCs/>
          <w:lang w:val="en-US"/>
        </w:rPr>
        <w:t>Data</w:t>
      </w:r>
      <w:r w:rsidRPr="000F4D74">
        <w:rPr>
          <w:rFonts w:ascii="Times New Roman" w:hAnsi="Times New Roman" w:cs="Times New Roman"/>
          <w:i/>
          <w:iCs/>
          <w:lang w:val="en-US"/>
        </w:rPr>
        <w:t xml:space="preserve"> are </w:t>
      </w:r>
      <w:r>
        <w:rPr>
          <w:rFonts w:ascii="Times New Roman" w:hAnsi="Times New Roman" w:cs="Times New Roman"/>
          <w:i/>
          <w:iCs/>
          <w:lang w:val="en-US"/>
        </w:rPr>
        <w:t xml:space="preserve">expressed as </w:t>
      </w:r>
      <w:r w:rsidRPr="000F4D74">
        <w:rPr>
          <w:rFonts w:ascii="Times New Roman" w:eastAsia="Times New Roman" w:hAnsi="Times New Roman" w:cs="Times New Roman"/>
          <w:i/>
          <w:color w:val="000000"/>
          <w:lang w:val="en-US"/>
        </w:rPr>
        <w:t>median [interquartile range]. CCFD: computerised cumulative fluid balance; CRRT: continuous renal replacement therapy; UFnet: net ultra-filtration; WCFD: weight related cumulative fluid balance.</w:t>
      </w:r>
    </w:p>
    <w:p w:rsidR="00C92BF9" w:rsidRPr="000F4D74" w:rsidRDefault="00C92BF9" w:rsidP="00C92BF9">
      <w:pPr>
        <w:rPr>
          <w:rFonts w:ascii="Calibri" w:hAnsi="Calibri" w:cs="Calibri"/>
          <w:b/>
          <w:sz w:val="22"/>
          <w:szCs w:val="22"/>
          <w:lang w:val="en-US"/>
        </w:rPr>
      </w:pPr>
    </w:p>
    <w:p w:rsidR="00C92BF9" w:rsidRPr="000F4D74" w:rsidRDefault="00C92BF9" w:rsidP="00C92BF9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kern w:val="24"/>
          <w:u w:val="single"/>
          <w:lang w:val="en-US"/>
        </w:rPr>
      </w:pPr>
      <w:r w:rsidRPr="000F4D74">
        <w:rPr>
          <w:rFonts w:ascii="Times New Roman" w:hAnsi="Times New Roman" w:cs="Times New Roman"/>
          <w:color w:val="000000" w:themeColor="text1"/>
          <w:kern w:val="24"/>
          <w:u w:val="single"/>
          <w:lang w:val="en-US"/>
        </w:rPr>
        <w:t>Hemodynamic tolerance of deresuscitation between day 1 and day 5 or discharge</w:t>
      </w:r>
    </w:p>
    <w:tbl>
      <w:tblPr>
        <w:tblStyle w:val="Grilledutableau"/>
        <w:tblW w:w="8882" w:type="dxa"/>
        <w:tblLook w:val="04A0" w:firstRow="1" w:lastRow="0" w:firstColumn="1" w:lastColumn="0" w:noHBand="0" w:noVBand="1"/>
      </w:tblPr>
      <w:tblGrid>
        <w:gridCol w:w="4531"/>
        <w:gridCol w:w="1701"/>
        <w:gridCol w:w="1733"/>
        <w:gridCol w:w="917"/>
      </w:tblGrid>
      <w:tr w:rsidR="00C92BF9" w:rsidRPr="000F4D74" w:rsidTr="00BB0C7E">
        <w:trPr>
          <w:trHeight w:val="305"/>
        </w:trPr>
        <w:tc>
          <w:tcPr>
            <w:tcW w:w="4531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</w:p>
        </w:tc>
        <w:tc>
          <w:tcPr>
            <w:tcW w:w="1701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Control group</w:t>
            </w:r>
          </w:p>
        </w:tc>
        <w:tc>
          <w:tcPr>
            <w:tcW w:w="1733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Early dry group</w:t>
            </w:r>
          </w:p>
        </w:tc>
        <w:tc>
          <w:tcPr>
            <w:tcW w:w="917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P value</w:t>
            </w:r>
          </w:p>
        </w:tc>
      </w:tr>
      <w:tr w:rsidR="00C92BF9" w:rsidRPr="000F4D74" w:rsidTr="00BB0C7E">
        <w:trPr>
          <w:trHeight w:val="226"/>
        </w:trPr>
        <w:tc>
          <w:tcPr>
            <w:tcW w:w="4531" w:type="dxa"/>
          </w:tcPr>
          <w:p w:rsidR="00C92BF9" w:rsidRPr="000F4D74" w:rsidRDefault="00C92BF9" w:rsidP="00BB0C7E">
            <w:pPr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Maximal arterial lactate 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level (mmol/L)</w:t>
            </w:r>
          </w:p>
        </w:tc>
        <w:tc>
          <w:tcPr>
            <w:tcW w:w="1701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2.2 [1.6</w:t>
            </w:r>
            <w: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-</w:t>
            </w: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3.5]</w:t>
            </w:r>
          </w:p>
        </w:tc>
        <w:tc>
          <w:tcPr>
            <w:tcW w:w="1733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1.8 [1.5</w:t>
            </w:r>
            <w: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-</w:t>
            </w: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2.6]</w:t>
            </w:r>
          </w:p>
        </w:tc>
        <w:tc>
          <w:tcPr>
            <w:tcW w:w="917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0.19</w:t>
            </w:r>
          </w:p>
        </w:tc>
      </w:tr>
      <w:tr w:rsidR="00C92BF9" w:rsidRPr="000F4D74" w:rsidTr="00BB0C7E">
        <w:trPr>
          <w:trHeight w:val="226"/>
        </w:trPr>
        <w:tc>
          <w:tcPr>
            <w:tcW w:w="4531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Maximal norepinephrine dose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(µg/kg/min)</w:t>
            </w:r>
          </w:p>
        </w:tc>
        <w:tc>
          <w:tcPr>
            <w:tcW w:w="1701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0.4 [0.1</w:t>
            </w:r>
            <w: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-</w:t>
            </w: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0.9]</w:t>
            </w:r>
          </w:p>
        </w:tc>
        <w:tc>
          <w:tcPr>
            <w:tcW w:w="1733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0.4 [0.2</w:t>
            </w:r>
            <w: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-</w:t>
            </w: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0.8]</w:t>
            </w:r>
          </w:p>
        </w:tc>
        <w:tc>
          <w:tcPr>
            <w:tcW w:w="917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0.81</w:t>
            </w:r>
          </w:p>
        </w:tc>
      </w:tr>
      <w:tr w:rsidR="00C92BF9" w:rsidRPr="000F4D74" w:rsidTr="00BB0C7E">
        <w:trPr>
          <w:trHeight w:val="214"/>
        </w:trPr>
        <w:tc>
          <w:tcPr>
            <w:tcW w:w="4531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Maximal vasoactive inotropic score</w:t>
            </w:r>
          </w:p>
        </w:tc>
        <w:tc>
          <w:tcPr>
            <w:tcW w:w="1701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43 [16</w:t>
            </w:r>
            <w: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-</w:t>
            </w: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86]</w:t>
            </w:r>
          </w:p>
        </w:tc>
        <w:tc>
          <w:tcPr>
            <w:tcW w:w="1733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43 [23</w:t>
            </w:r>
            <w: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-</w:t>
            </w: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85]</w:t>
            </w:r>
          </w:p>
        </w:tc>
        <w:tc>
          <w:tcPr>
            <w:tcW w:w="917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0.84</w:t>
            </w:r>
          </w:p>
        </w:tc>
      </w:tr>
    </w:tbl>
    <w:p w:rsidR="00C92BF9" w:rsidRPr="000F4D74" w:rsidRDefault="00C92BF9" w:rsidP="00C92BF9">
      <w:pPr>
        <w:pStyle w:val="p"/>
        <w:spacing w:before="166" w:beforeAutospacing="0" w:after="166" w:afterAutospacing="0" w:line="480" w:lineRule="auto"/>
        <w:jc w:val="both"/>
        <w:rPr>
          <w:b/>
          <w:lang w:val="en-US"/>
        </w:rPr>
      </w:pPr>
      <w:r>
        <w:rPr>
          <w:i/>
          <w:iCs/>
          <w:lang w:val="en-US"/>
        </w:rPr>
        <w:t>Data</w:t>
      </w:r>
      <w:r w:rsidRPr="000F4D74">
        <w:rPr>
          <w:i/>
          <w:iCs/>
          <w:lang w:val="en-US"/>
        </w:rPr>
        <w:t xml:space="preserve"> are </w:t>
      </w:r>
      <w:r>
        <w:rPr>
          <w:i/>
          <w:iCs/>
          <w:lang w:val="en-US"/>
        </w:rPr>
        <w:t>expressed as</w:t>
      </w:r>
      <w:r w:rsidRPr="000F4D74">
        <w:rPr>
          <w:i/>
          <w:iCs/>
          <w:lang w:val="en-US"/>
        </w:rPr>
        <w:t xml:space="preserve"> </w:t>
      </w:r>
      <w:r w:rsidRPr="000F4D74">
        <w:rPr>
          <w:rFonts w:eastAsia="Times New Roman"/>
          <w:i/>
          <w:color w:val="000000"/>
          <w:lang w:val="en-US"/>
        </w:rPr>
        <w:t>or median [interquartile range].</w:t>
      </w:r>
    </w:p>
    <w:p w:rsidR="00C92BF9" w:rsidRPr="000F4D74" w:rsidRDefault="00C92BF9" w:rsidP="00C92BF9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kern w:val="24"/>
          <w:lang w:val="en-US"/>
        </w:rPr>
      </w:pPr>
    </w:p>
    <w:p w:rsidR="00C92BF9" w:rsidRPr="000F4D74" w:rsidRDefault="00C92BF9" w:rsidP="00C92BF9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u w:val="single"/>
          <w:lang w:val="en-US"/>
        </w:rPr>
      </w:pPr>
      <w:r w:rsidRPr="000F4D74">
        <w:rPr>
          <w:rFonts w:ascii="Times New Roman" w:hAnsi="Times New Roman" w:cs="Times New Roman"/>
          <w:color w:val="000000" w:themeColor="text1"/>
          <w:kern w:val="24"/>
          <w:u w:val="single"/>
          <w:lang w:val="en-US"/>
        </w:rPr>
        <w:t>Unadjusted exploratory outcomes</w:t>
      </w:r>
    </w:p>
    <w:tbl>
      <w:tblPr>
        <w:tblStyle w:val="Grilledutableau"/>
        <w:tblW w:w="8882" w:type="dxa"/>
        <w:tblLook w:val="04A0" w:firstRow="1" w:lastRow="0" w:firstColumn="1" w:lastColumn="0" w:noHBand="0" w:noVBand="1"/>
      </w:tblPr>
      <w:tblGrid>
        <w:gridCol w:w="4531"/>
        <w:gridCol w:w="1701"/>
        <w:gridCol w:w="1733"/>
        <w:gridCol w:w="917"/>
      </w:tblGrid>
      <w:tr w:rsidR="00C92BF9" w:rsidRPr="000F4D74" w:rsidTr="00BB0C7E">
        <w:trPr>
          <w:trHeight w:val="305"/>
        </w:trPr>
        <w:tc>
          <w:tcPr>
            <w:tcW w:w="4531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</w:p>
        </w:tc>
        <w:tc>
          <w:tcPr>
            <w:tcW w:w="1701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Control group</w:t>
            </w:r>
          </w:p>
        </w:tc>
        <w:tc>
          <w:tcPr>
            <w:tcW w:w="1733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Early dry group</w:t>
            </w:r>
          </w:p>
        </w:tc>
        <w:tc>
          <w:tcPr>
            <w:tcW w:w="917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P value</w:t>
            </w:r>
          </w:p>
        </w:tc>
      </w:tr>
      <w:tr w:rsidR="00C92BF9" w:rsidRPr="000F4D74" w:rsidTr="00BB0C7E">
        <w:trPr>
          <w:trHeight w:val="226"/>
        </w:trPr>
        <w:tc>
          <w:tcPr>
            <w:tcW w:w="4531" w:type="dxa"/>
          </w:tcPr>
          <w:p w:rsidR="00C92BF9" w:rsidRPr="000F4D74" w:rsidRDefault="00C92BF9" w:rsidP="00BB0C7E">
            <w:pPr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SOFA score variation between inclusion and day 5 or discharge</w:t>
            </w:r>
          </w:p>
        </w:tc>
        <w:tc>
          <w:tcPr>
            <w:tcW w:w="1701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-2 (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±5)</w:t>
            </w:r>
          </w:p>
        </w:tc>
        <w:tc>
          <w:tcPr>
            <w:tcW w:w="1733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-3 (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±4)</w:t>
            </w:r>
          </w:p>
        </w:tc>
        <w:tc>
          <w:tcPr>
            <w:tcW w:w="917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0.41</w:t>
            </w:r>
          </w:p>
        </w:tc>
      </w:tr>
      <w:tr w:rsidR="00C92BF9" w:rsidRPr="000F4D74" w:rsidTr="00BB0C7E">
        <w:trPr>
          <w:trHeight w:val="214"/>
        </w:trPr>
        <w:tc>
          <w:tcPr>
            <w:tcW w:w="4531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Number of patients weaned off me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chanical ventilation at day 7</w:t>
            </w:r>
          </w:p>
        </w:tc>
        <w:tc>
          <w:tcPr>
            <w:tcW w:w="1701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 xml:space="preserve">23 (59) </w:t>
            </w:r>
          </w:p>
        </w:tc>
        <w:tc>
          <w:tcPr>
            <w:tcW w:w="1733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19 (50)</w:t>
            </w:r>
          </w:p>
        </w:tc>
        <w:tc>
          <w:tcPr>
            <w:tcW w:w="917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0.57</w:t>
            </w:r>
          </w:p>
        </w:tc>
      </w:tr>
      <w:tr w:rsidR="00C92BF9" w:rsidRPr="000F4D74" w:rsidTr="00BB0C7E">
        <w:trPr>
          <w:trHeight w:val="214"/>
        </w:trPr>
        <w:tc>
          <w:tcPr>
            <w:tcW w:w="4531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Number of patients weaned off r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enal replacement therapy at day 30</w:t>
            </w:r>
          </w:p>
        </w:tc>
        <w:tc>
          <w:tcPr>
            <w:tcW w:w="1701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22 (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78</w:t>
            </w: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)</w:t>
            </w:r>
          </w:p>
        </w:tc>
        <w:tc>
          <w:tcPr>
            <w:tcW w:w="1733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 xml:space="preserve">13 (54) </w:t>
            </w:r>
          </w:p>
        </w:tc>
        <w:tc>
          <w:tcPr>
            <w:tcW w:w="917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0.12</w:t>
            </w:r>
          </w:p>
        </w:tc>
      </w:tr>
      <w:tr w:rsidR="00C92BF9" w:rsidRPr="000F4D74" w:rsidTr="00BB0C7E">
        <w:trPr>
          <w:trHeight w:val="226"/>
        </w:trPr>
        <w:tc>
          <w:tcPr>
            <w:tcW w:w="4531" w:type="dxa"/>
            <w:shd w:val="clear" w:color="auto" w:fill="auto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Number of dead patients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at day 30</w:t>
            </w:r>
          </w:p>
        </w:tc>
        <w:tc>
          <w:tcPr>
            <w:tcW w:w="1701" w:type="dxa"/>
            <w:shd w:val="clear" w:color="auto" w:fill="auto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 xml:space="preserve">19 (42) </w:t>
            </w:r>
          </w:p>
        </w:tc>
        <w:tc>
          <w:tcPr>
            <w:tcW w:w="1733" w:type="dxa"/>
            <w:shd w:val="clear" w:color="auto" w:fill="auto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18 (43))</w:t>
            </w:r>
          </w:p>
        </w:tc>
        <w:tc>
          <w:tcPr>
            <w:tcW w:w="917" w:type="dxa"/>
            <w:shd w:val="clear" w:color="auto" w:fill="auto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1</w:t>
            </w:r>
          </w:p>
        </w:tc>
      </w:tr>
      <w:tr w:rsidR="00C92BF9" w:rsidRPr="000F4D74" w:rsidTr="00BB0C7E">
        <w:trPr>
          <w:trHeight w:val="214"/>
        </w:trPr>
        <w:tc>
          <w:tcPr>
            <w:tcW w:w="4531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Number of v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entilator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-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free days at day 30</w:t>
            </w:r>
          </w:p>
        </w:tc>
        <w:tc>
          <w:tcPr>
            <w:tcW w:w="1701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14 (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±14)</w:t>
            </w:r>
          </w:p>
        </w:tc>
        <w:tc>
          <w:tcPr>
            <w:tcW w:w="1733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11 (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±13)</w:t>
            </w:r>
          </w:p>
        </w:tc>
        <w:tc>
          <w:tcPr>
            <w:tcW w:w="917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0.28</w:t>
            </w:r>
          </w:p>
        </w:tc>
      </w:tr>
      <w:tr w:rsidR="00C92BF9" w:rsidRPr="000F4D74" w:rsidTr="00BB0C7E">
        <w:trPr>
          <w:trHeight w:val="214"/>
        </w:trPr>
        <w:tc>
          <w:tcPr>
            <w:tcW w:w="4531" w:type="dxa"/>
          </w:tcPr>
          <w:p w:rsidR="00C92BF9" w:rsidRPr="000F4D74" w:rsidRDefault="00C92BF9" w:rsidP="00BB0C7E">
            <w:pPr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Number of n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orepinephrine free days at day 30</w:t>
            </w:r>
          </w:p>
        </w:tc>
        <w:tc>
          <w:tcPr>
            <w:tcW w:w="1701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13 (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±13)</w:t>
            </w:r>
          </w:p>
        </w:tc>
        <w:tc>
          <w:tcPr>
            <w:tcW w:w="1733" w:type="dxa"/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8 (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±12)</w:t>
            </w:r>
          </w:p>
        </w:tc>
        <w:tc>
          <w:tcPr>
            <w:tcW w:w="917" w:type="dxa"/>
            <w:tcBorders>
              <w:bottom w:val="single" w:sz="4" w:space="0" w:color="auto"/>
            </w:tcBorders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0.08</w:t>
            </w:r>
          </w:p>
        </w:tc>
      </w:tr>
      <w:tr w:rsidR="00C92BF9" w:rsidRPr="000F4D74" w:rsidTr="00BB0C7E">
        <w:trPr>
          <w:trHeight w:val="226"/>
        </w:trPr>
        <w:tc>
          <w:tcPr>
            <w:tcW w:w="4531" w:type="dxa"/>
            <w:tcBorders>
              <w:bottom w:val="single" w:sz="4" w:space="0" w:color="auto"/>
            </w:tcBorders>
          </w:tcPr>
          <w:p w:rsidR="00C92BF9" w:rsidRPr="000F4D74" w:rsidRDefault="00C92BF9" w:rsidP="00BB0C7E">
            <w:pPr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Number of r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enal replacement therapy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-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free days at day 30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12 (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±13)</w:t>
            </w:r>
          </w:p>
        </w:tc>
        <w:tc>
          <w:tcPr>
            <w:tcW w:w="1733" w:type="dxa"/>
            <w:tcBorders>
              <w:bottom w:val="single" w:sz="4" w:space="0" w:color="auto"/>
            </w:tcBorders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8 (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±8)</w:t>
            </w:r>
          </w:p>
        </w:tc>
        <w:tc>
          <w:tcPr>
            <w:tcW w:w="917" w:type="dxa"/>
            <w:tcBorders>
              <w:bottom w:val="single" w:sz="4" w:space="0" w:color="auto"/>
            </w:tcBorders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0.14</w:t>
            </w:r>
          </w:p>
        </w:tc>
      </w:tr>
      <w:tr w:rsidR="00C92BF9" w:rsidRPr="000F4D74" w:rsidTr="00BB0C7E">
        <w:trPr>
          <w:trHeight w:val="226"/>
        </w:trPr>
        <w:tc>
          <w:tcPr>
            <w:tcW w:w="4531" w:type="dxa"/>
            <w:tcBorders>
              <w:bottom w:val="single" w:sz="4" w:space="0" w:color="auto"/>
            </w:tcBorders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Number of o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rgan failure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-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free days at day 30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10 (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±12)</w:t>
            </w:r>
          </w:p>
        </w:tc>
        <w:tc>
          <w:tcPr>
            <w:tcW w:w="1733" w:type="dxa"/>
            <w:tcBorders>
              <w:bottom w:val="single" w:sz="4" w:space="0" w:color="auto"/>
            </w:tcBorders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6 (</w:t>
            </w:r>
            <w:r w:rsidRPr="000F4D74">
              <w:rPr>
                <w:rFonts w:eastAsia="Times New Roman" w:cstheme="minorHAnsi"/>
                <w:color w:val="000000"/>
                <w:sz w:val="18"/>
                <w:szCs w:val="18"/>
              </w:rPr>
              <w:t>±10)</w:t>
            </w:r>
          </w:p>
        </w:tc>
        <w:tc>
          <w:tcPr>
            <w:tcW w:w="917" w:type="dxa"/>
            <w:tcBorders>
              <w:bottom w:val="single" w:sz="4" w:space="0" w:color="auto"/>
            </w:tcBorders>
          </w:tcPr>
          <w:p w:rsidR="00C92BF9" w:rsidRPr="000F4D74" w:rsidRDefault="00C92BF9" w:rsidP="00BB0C7E">
            <w:pPr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</w:pPr>
            <w:r w:rsidRPr="000F4D74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0.09</w:t>
            </w:r>
          </w:p>
        </w:tc>
      </w:tr>
    </w:tbl>
    <w:p w:rsidR="00C92BF9" w:rsidRDefault="00C92BF9" w:rsidP="00C92BF9">
      <w:pPr>
        <w:pStyle w:val="p"/>
        <w:spacing w:before="166" w:beforeAutospacing="0" w:after="166" w:afterAutospacing="0" w:line="480" w:lineRule="auto"/>
        <w:jc w:val="both"/>
        <w:rPr>
          <w:rFonts w:eastAsia="Times New Roman"/>
          <w:i/>
          <w:color w:val="000000"/>
          <w:lang w:val="en-US"/>
        </w:rPr>
      </w:pPr>
      <w:r>
        <w:rPr>
          <w:i/>
          <w:iCs/>
          <w:lang w:val="en-US"/>
        </w:rPr>
        <w:t>Data</w:t>
      </w:r>
      <w:r w:rsidRPr="000F4D74">
        <w:rPr>
          <w:i/>
          <w:iCs/>
          <w:lang w:val="en-US"/>
        </w:rPr>
        <w:t xml:space="preserve"> are </w:t>
      </w:r>
      <w:r>
        <w:rPr>
          <w:i/>
          <w:iCs/>
          <w:lang w:val="en-US"/>
        </w:rPr>
        <w:t xml:space="preserve">expressed as </w:t>
      </w:r>
      <w:r w:rsidRPr="000F4D74">
        <w:rPr>
          <w:i/>
          <w:iCs/>
          <w:lang w:val="en-US"/>
        </w:rPr>
        <w:t>count (percentage)</w:t>
      </w:r>
      <w:r>
        <w:rPr>
          <w:i/>
          <w:iCs/>
          <w:lang w:val="en-US"/>
        </w:rPr>
        <w:t xml:space="preserve"> or</w:t>
      </w:r>
      <w:r w:rsidRPr="000F4D74">
        <w:rPr>
          <w:i/>
          <w:iCs/>
          <w:lang w:val="en-US"/>
        </w:rPr>
        <w:t xml:space="preserve"> mean </w:t>
      </w:r>
      <w:r w:rsidRPr="000F4D74">
        <w:rPr>
          <w:i/>
          <w:iCs/>
          <w:color w:val="000000" w:themeColor="text1"/>
          <w:kern w:val="24"/>
          <w:lang w:val="en-US"/>
        </w:rPr>
        <w:t>(</w:t>
      </w:r>
      <w:r w:rsidRPr="000F4D74">
        <w:rPr>
          <w:rFonts w:eastAsia="Times New Roman"/>
          <w:i/>
          <w:color w:val="000000"/>
          <w:lang w:val="en-US"/>
        </w:rPr>
        <w:t>±standard deviation).</w:t>
      </w:r>
    </w:p>
    <w:p w:rsidR="00C92BF9" w:rsidRPr="000F4D74" w:rsidRDefault="00C92BF9" w:rsidP="00C92BF9">
      <w:pPr>
        <w:pStyle w:val="p"/>
        <w:spacing w:before="166" w:beforeAutospacing="0" w:after="166" w:afterAutospacing="0" w:line="480" w:lineRule="auto"/>
        <w:jc w:val="both"/>
        <w:rPr>
          <w:b/>
          <w:lang w:val="en-US"/>
        </w:rPr>
      </w:pPr>
      <w:r>
        <w:rPr>
          <w:rFonts w:eastAsia="Times New Roman"/>
          <w:i/>
          <w:color w:val="000000"/>
          <w:lang w:val="en-US"/>
        </w:rPr>
        <w:t>SOFA: sepsis organ failure assessment.</w:t>
      </w:r>
    </w:p>
    <w:p w:rsidR="00C92BF9" w:rsidRPr="000F4D74" w:rsidRDefault="00C92BF9" w:rsidP="00C92BF9">
      <w:pPr>
        <w:spacing w:line="480" w:lineRule="auto"/>
        <w:jc w:val="both"/>
        <w:rPr>
          <w:rFonts w:ascii="Calibri" w:hAnsi="Calibri" w:cs="Calibri"/>
          <w:b/>
          <w:sz w:val="22"/>
          <w:szCs w:val="22"/>
          <w:lang w:val="en-US"/>
        </w:rPr>
      </w:pPr>
    </w:p>
    <w:p w:rsidR="00C92BF9" w:rsidRPr="000F4D74" w:rsidRDefault="00C92BF9" w:rsidP="00C92BF9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0F4D74">
        <w:rPr>
          <w:rFonts w:ascii="Times New Roman" w:hAnsi="Times New Roman" w:cs="Times New Roman"/>
          <w:b/>
          <w:lang w:val="en-US"/>
        </w:rPr>
        <w:t>Additional file 4:</w:t>
      </w:r>
      <w:r w:rsidRPr="000F4D74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Number of m</w:t>
      </w:r>
      <w:r w:rsidRPr="000F4D74">
        <w:rPr>
          <w:rFonts w:ascii="Times New Roman" w:hAnsi="Times New Roman" w:cs="Times New Roman"/>
          <w:lang w:val="en-US"/>
        </w:rPr>
        <w:t>issing values per variable</w:t>
      </w:r>
    </w:p>
    <w:tbl>
      <w:tblPr>
        <w:tblStyle w:val="Grilledutableau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7083"/>
        <w:gridCol w:w="1973"/>
      </w:tblGrid>
      <w:tr w:rsidR="00C92BF9" w:rsidRPr="000F4D74" w:rsidTr="00BB0C7E">
        <w:tc>
          <w:tcPr>
            <w:tcW w:w="7083" w:type="dxa"/>
            <w:tcBorders>
              <w:top w:val="single" w:sz="4" w:space="0" w:color="auto"/>
              <w:bottom w:val="single" w:sz="4" w:space="0" w:color="auto"/>
            </w:tcBorders>
          </w:tcPr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Variables</w:t>
            </w:r>
          </w:p>
        </w:tc>
        <w:tc>
          <w:tcPr>
            <w:tcW w:w="1973" w:type="dxa"/>
            <w:tcBorders>
              <w:top w:val="single" w:sz="4" w:space="0" w:color="auto"/>
              <w:bottom w:val="single" w:sz="4" w:space="0" w:color="auto"/>
            </w:tcBorders>
          </w:tcPr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Missing values</w:t>
            </w:r>
          </w:p>
        </w:tc>
      </w:tr>
      <w:tr w:rsidR="00C92BF9" w:rsidRPr="000F4D74" w:rsidTr="00BB0C7E">
        <w:tc>
          <w:tcPr>
            <w:tcW w:w="7083" w:type="dxa"/>
            <w:tcBorders>
              <w:top w:val="single" w:sz="4" w:space="0" w:color="auto"/>
            </w:tcBorders>
          </w:tcPr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Age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Dry weight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Height</w:t>
            </w:r>
          </w:p>
        </w:tc>
        <w:tc>
          <w:tcPr>
            <w:tcW w:w="1973" w:type="dxa"/>
            <w:tcBorders>
              <w:top w:val="single" w:sz="4" w:space="0" w:color="auto"/>
            </w:tcBorders>
          </w:tcPr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</w:tc>
      </w:tr>
      <w:tr w:rsidR="00C92BF9" w:rsidRPr="000F4D74" w:rsidTr="00BB0C7E">
        <w:tc>
          <w:tcPr>
            <w:tcW w:w="7083" w:type="dxa"/>
          </w:tcPr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Admission category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SOFA score at baseline</w:t>
            </w:r>
          </w:p>
        </w:tc>
        <w:tc>
          <w:tcPr>
            <w:tcW w:w="1973" w:type="dxa"/>
          </w:tcPr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</w:tc>
      </w:tr>
      <w:tr w:rsidR="00C92BF9" w:rsidRPr="000F4D74" w:rsidTr="00BB0C7E">
        <w:tc>
          <w:tcPr>
            <w:tcW w:w="7083" w:type="dxa"/>
          </w:tcPr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Computerised cumulative fluid balance at baseline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Shock category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Duration between CRRT initiation and inclusion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Usual glomerular filtration rate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Arterial lactate at baseline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COVID</w:t>
            </w:r>
            <w:r>
              <w:rPr>
                <w:rFonts w:ascii="Calibri" w:hAnsi="Calibri" w:cs="Calibri"/>
              </w:rPr>
              <w:t>-</w:t>
            </w:r>
            <w:r w:rsidRPr="000F4D74">
              <w:rPr>
                <w:rFonts w:ascii="Calibri" w:hAnsi="Calibri" w:cs="Calibri"/>
              </w:rPr>
              <w:t>19 status</w:t>
            </w:r>
          </w:p>
        </w:tc>
        <w:tc>
          <w:tcPr>
            <w:tcW w:w="1973" w:type="dxa"/>
          </w:tcPr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23 (26)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13 (15)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 (1)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</w:tc>
      </w:tr>
      <w:tr w:rsidR="00C92BF9" w:rsidRPr="000F4D74" w:rsidTr="00BB0C7E">
        <w:tc>
          <w:tcPr>
            <w:tcW w:w="7083" w:type="dxa"/>
          </w:tcPr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Mechanical ventilation status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Arrhythmia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Regional anticoagulation type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Urea at CRRT initiation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Creatinine CRRT initiation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pH at CRRT initiation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Diuresis at CRRT initiation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Diuresis at baseline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Milrinone dose at baseline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Norepinephrine dose at baseline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Dobutamine dose at baseline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Central venous pressure at baseline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  <w:vertAlign w:val="subscript"/>
              </w:rPr>
            </w:pPr>
            <w:r w:rsidRPr="000F4D74">
              <w:rPr>
                <w:rFonts w:ascii="Calibri" w:hAnsi="Calibri" w:cs="Calibri"/>
              </w:rPr>
              <w:t>Weight at baseline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Weight related cumulative fluid balance at baseline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Weight at day 1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Weight at day 2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Weight at day 3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Weight at day 4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Weight at day 5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Weight at day 5 or discharge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Total inputs at baseline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Total inputs at day 1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Total inputs at day 2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Total inputs at day 3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Total inputs at day 4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Total inputs at day 5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Total inputs at day 5 or discharge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Total outputs at baseline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Total outputs at day 1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Total outputs at day 2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Total outputs at day 3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lastRenderedPageBreak/>
              <w:t>Total outputs at day 4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Total outputs at day 5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Total outputs at day 5 or discharge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Diuresis at day 1</w:t>
            </w:r>
          </w:p>
        </w:tc>
        <w:tc>
          <w:tcPr>
            <w:tcW w:w="1973" w:type="dxa"/>
          </w:tcPr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lastRenderedPageBreak/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13 (15)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3 (3)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3 (3)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8 (9)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11 (13)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13 (15)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21 (24)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20 (23)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16 (18)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23 (26)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 (1)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2 (2.3)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5 (6)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9 (10)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23 (26)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 (1)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2 (2.3)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lastRenderedPageBreak/>
              <w:t>5 (6)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9 (10)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</w:tc>
      </w:tr>
      <w:tr w:rsidR="00C92BF9" w:rsidRPr="000F4D74" w:rsidTr="00BB0C7E">
        <w:tc>
          <w:tcPr>
            <w:tcW w:w="7083" w:type="dxa"/>
          </w:tcPr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lastRenderedPageBreak/>
              <w:t>Diuresis at day 2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Diuresis at day 3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Diuresis at day 4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Net ultra-filtration before inclusion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  <w:vertAlign w:val="subscript"/>
              </w:rPr>
            </w:pPr>
            <w:r w:rsidRPr="000F4D74">
              <w:rPr>
                <w:rFonts w:ascii="Calibri" w:hAnsi="Calibri" w:cs="Calibri"/>
              </w:rPr>
              <w:t>Net ultrafiltration at day 1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  <w:vertAlign w:val="subscript"/>
              </w:rPr>
            </w:pPr>
            <w:r w:rsidRPr="000F4D74">
              <w:rPr>
                <w:rFonts w:ascii="Calibri" w:hAnsi="Calibri" w:cs="Calibri"/>
              </w:rPr>
              <w:t>Net ultrafiltration at day 1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  <w:vertAlign w:val="subscript"/>
              </w:rPr>
            </w:pPr>
            <w:r w:rsidRPr="000F4D74">
              <w:rPr>
                <w:rFonts w:ascii="Calibri" w:hAnsi="Calibri" w:cs="Calibri"/>
              </w:rPr>
              <w:t>Net ultrafiltration at day 1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  <w:vertAlign w:val="subscript"/>
              </w:rPr>
            </w:pPr>
            <w:r w:rsidRPr="000F4D74">
              <w:rPr>
                <w:rFonts w:ascii="Calibri" w:hAnsi="Calibri" w:cs="Calibri"/>
              </w:rPr>
              <w:t>Net ultrafiltration at day 1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  <w:vertAlign w:val="subscript"/>
              </w:rPr>
            </w:pPr>
            <w:r w:rsidRPr="000F4D74">
              <w:rPr>
                <w:rFonts w:ascii="Calibri" w:hAnsi="Calibri" w:cs="Calibri"/>
              </w:rPr>
              <w:t>Net ultrafiltration at day 1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Per CRRT net ultra-filtration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Norepinephrine at day 1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Norepinephrine at day 2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Norepinephrine at day 3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Norepinephrine at day 4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Norepinephrine at day 5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Norepinephrine at day 5 or discharge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Milrinone at day 1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Milrinone at day 2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Milrinone at day 3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Milrinone at day 4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Milrinone at day 5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Milrinone at day 5 or discharge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  <w:vertAlign w:val="subscript"/>
              </w:rPr>
            </w:pPr>
            <w:r w:rsidRPr="000F4D74">
              <w:rPr>
                <w:rFonts w:ascii="Calibri" w:hAnsi="Calibri" w:cs="Calibri"/>
              </w:rPr>
              <w:t>Dobutamine at day 1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  <w:vertAlign w:val="subscript"/>
              </w:rPr>
            </w:pPr>
            <w:r w:rsidRPr="000F4D74">
              <w:rPr>
                <w:rFonts w:ascii="Calibri" w:hAnsi="Calibri" w:cs="Calibri"/>
              </w:rPr>
              <w:t>Dobutamine at day 2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  <w:vertAlign w:val="subscript"/>
              </w:rPr>
            </w:pPr>
            <w:r w:rsidRPr="000F4D74">
              <w:rPr>
                <w:rFonts w:ascii="Calibri" w:hAnsi="Calibri" w:cs="Calibri"/>
              </w:rPr>
              <w:t>Dobutamine at day 3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  <w:vertAlign w:val="subscript"/>
              </w:rPr>
            </w:pPr>
            <w:r w:rsidRPr="000F4D74">
              <w:rPr>
                <w:rFonts w:ascii="Calibri" w:hAnsi="Calibri" w:cs="Calibri"/>
              </w:rPr>
              <w:t>Dobutamine at day 4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  <w:vertAlign w:val="subscript"/>
              </w:rPr>
            </w:pPr>
            <w:r w:rsidRPr="000F4D74">
              <w:rPr>
                <w:rFonts w:ascii="Calibri" w:hAnsi="Calibri" w:cs="Calibri"/>
              </w:rPr>
              <w:t>Dobutamine at day 5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  <w:vertAlign w:val="subscript"/>
              </w:rPr>
            </w:pPr>
            <w:r w:rsidRPr="000F4D74">
              <w:rPr>
                <w:rFonts w:ascii="Calibri" w:hAnsi="Calibri" w:cs="Calibri"/>
              </w:rPr>
              <w:t>Dobutamine at day 5 or discharge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Plasma protein concentration</w:t>
            </w:r>
            <w:r w:rsidRPr="000F4D74">
              <w:rPr>
                <w:rFonts w:ascii="Calibri" w:hAnsi="Calibri" w:cs="Calibri"/>
              </w:rPr>
              <w:t xml:space="preserve"> at baseline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Plasma protein concentration</w:t>
            </w:r>
            <w:r w:rsidRPr="000F4D74">
              <w:rPr>
                <w:rFonts w:ascii="Calibri" w:hAnsi="Calibri" w:cs="Calibri"/>
              </w:rPr>
              <w:t xml:space="preserve"> at day 1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Plasma protein concentration</w:t>
            </w:r>
            <w:r w:rsidRPr="000F4D74">
              <w:rPr>
                <w:rFonts w:ascii="Calibri" w:hAnsi="Calibri" w:cs="Calibri"/>
              </w:rPr>
              <w:t xml:space="preserve"> at day 2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Plasma protein concentration</w:t>
            </w:r>
            <w:r w:rsidRPr="000F4D74">
              <w:rPr>
                <w:rFonts w:ascii="Calibri" w:hAnsi="Calibri" w:cs="Calibri"/>
              </w:rPr>
              <w:t xml:space="preserve"> at day 3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Plasma protein concentration</w:t>
            </w:r>
            <w:r w:rsidRPr="000F4D74">
              <w:rPr>
                <w:rFonts w:ascii="Calibri" w:hAnsi="Calibri" w:cs="Calibri"/>
              </w:rPr>
              <w:t xml:space="preserve"> at day 4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Plasma protein concentration</w:t>
            </w:r>
            <w:r w:rsidRPr="000F4D74">
              <w:rPr>
                <w:rFonts w:ascii="Calibri" w:hAnsi="Calibri" w:cs="Calibri"/>
              </w:rPr>
              <w:t xml:space="preserve"> at day 5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Plasma protein concentration</w:t>
            </w:r>
            <w:r w:rsidRPr="000F4D74">
              <w:rPr>
                <w:rFonts w:ascii="Calibri" w:hAnsi="Calibri" w:cs="Calibri"/>
              </w:rPr>
              <w:t xml:space="preserve"> at day 5 or discharge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Central venous pressure at day 1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Central venous pressure at day 2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Central venous pressure at day 3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Central venous pressure at day 4</w:t>
            </w:r>
          </w:p>
        </w:tc>
        <w:tc>
          <w:tcPr>
            <w:tcW w:w="1973" w:type="dxa"/>
          </w:tcPr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 (1)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2 (2.3)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5 (6)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9 (10)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 (1)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10 (11)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22 (25)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29 (33)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2 (2)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3 (3)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7 (8)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9 (10)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2 (2)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3 (3)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6 (7)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8 (9)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2 (2)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3 (3)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6 (7)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8 (9)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 (3)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 (1)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5 (6)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5 (6)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11 (13)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14 (16)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13 (15)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14 (16)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14 (16)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16 (18)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16 (18)</w:t>
            </w:r>
          </w:p>
        </w:tc>
      </w:tr>
      <w:tr w:rsidR="00C92BF9" w:rsidRPr="000F4D74" w:rsidTr="00BB0C7E">
        <w:trPr>
          <w:trHeight w:val="387"/>
        </w:trPr>
        <w:tc>
          <w:tcPr>
            <w:tcW w:w="7083" w:type="dxa"/>
          </w:tcPr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Central venous pressure at day 5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Central venous pressure at day 5 or discharge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SOFA score at day 1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SOFA score at day 3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lastRenderedPageBreak/>
              <w:t>SOFA score at day 5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SOFA score at day 5 or discharge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  <w:vertAlign w:val="subscript"/>
              </w:rPr>
            </w:pPr>
            <w:r w:rsidRPr="000F4D74">
              <w:rPr>
                <w:rFonts w:ascii="Calibri" w:hAnsi="Calibri" w:cs="Calibri"/>
              </w:rPr>
              <w:t>Creatinine at day 30 (in alive patients)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Vital status at day 30 (in alive patients)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Renal replacement therapy weaning at day 30 (in alive patients)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Mechanical ventilation status at day 7 (in alive patients)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Computerised cumulative fluid balance at day 5 or discharge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Weight related cumulative fluid balance at day 5 or discharge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Plasma protein concentration</w:t>
            </w:r>
            <w:r w:rsidRPr="000F4D74">
              <w:rPr>
                <w:rFonts w:ascii="Calibri" w:hAnsi="Calibri" w:cs="Calibri"/>
              </w:rPr>
              <w:t xml:space="preserve"> variation at day 5 or discharge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Central venous pressure variation at day 5 or discharge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SOFA score variation at day 5 or discharge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Vascular inotropic score at day 5 or discharge</w:t>
            </w:r>
          </w:p>
        </w:tc>
        <w:tc>
          <w:tcPr>
            <w:tcW w:w="1973" w:type="dxa"/>
          </w:tcPr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lastRenderedPageBreak/>
              <w:t>28 (32)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20 (23)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 (1)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3 (3)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lastRenderedPageBreak/>
              <w:t>13 (15)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9 (10)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23 (47)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 (0)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19 (22)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14 (16)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23 (26)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9 (10)</w:t>
            </w:r>
          </w:p>
          <w:p w:rsidR="00C92BF9" w:rsidRPr="000F4D74" w:rsidRDefault="00C92BF9" w:rsidP="00BB0C7E">
            <w:pPr>
              <w:jc w:val="both"/>
              <w:rPr>
                <w:rFonts w:ascii="Calibri" w:hAnsi="Calibri" w:cs="Calibri"/>
              </w:rPr>
            </w:pPr>
            <w:r w:rsidRPr="000F4D74">
              <w:rPr>
                <w:rFonts w:ascii="Calibri" w:hAnsi="Calibri" w:cs="Calibri"/>
              </w:rPr>
              <w:t>0</w:t>
            </w:r>
          </w:p>
        </w:tc>
      </w:tr>
    </w:tbl>
    <w:p w:rsidR="00C92BF9" w:rsidRPr="000F4D74" w:rsidRDefault="00C92BF9" w:rsidP="00C92BF9">
      <w:pPr>
        <w:spacing w:line="480" w:lineRule="auto"/>
        <w:jc w:val="both"/>
        <w:rPr>
          <w:rFonts w:ascii="Calibri" w:hAnsi="Calibri" w:cs="Calibri"/>
          <w:i/>
          <w:iCs/>
          <w:sz w:val="22"/>
          <w:szCs w:val="22"/>
          <w:lang w:val="en-US"/>
        </w:rPr>
      </w:pPr>
    </w:p>
    <w:p w:rsidR="00C92BF9" w:rsidRPr="000F4D74" w:rsidRDefault="00C92BF9" w:rsidP="00C92BF9">
      <w:pPr>
        <w:spacing w:line="480" w:lineRule="auto"/>
        <w:jc w:val="both"/>
        <w:rPr>
          <w:rFonts w:ascii="Times New Roman" w:hAnsi="Times New Roman" w:cs="Times New Roman"/>
          <w:i/>
          <w:lang w:val="en-US"/>
        </w:rPr>
      </w:pPr>
      <w:r>
        <w:rPr>
          <w:rFonts w:ascii="Times New Roman" w:hAnsi="Times New Roman" w:cs="Times New Roman"/>
          <w:i/>
          <w:iCs/>
          <w:lang w:val="en-US"/>
        </w:rPr>
        <w:t>Data</w:t>
      </w:r>
      <w:r w:rsidRPr="000F4D74">
        <w:rPr>
          <w:rFonts w:ascii="Times New Roman" w:hAnsi="Times New Roman" w:cs="Times New Roman"/>
          <w:i/>
          <w:iCs/>
          <w:lang w:val="en-US"/>
        </w:rPr>
        <w:t xml:space="preserve"> are </w:t>
      </w:r>
      <w:r>
        <w:rPr>
          <w:rFonts w:ascii="Times New Roman" w:hAnsi="Times New Roman" w:cs="Times New Roman"/>
          <w:i/>
          <w:iCs/>
          <w:lang w:val="en-US"/>
        </w:rPr>
        <w:t xml:space="preserve">expressed as </w:t>
      </w:r>
      <w:r w:rsidRPr="000F4D74">
        <w:rPr>
          <w:rFonts w:ascii="Times New Roman" w:hAnsi="Times New Roman" w:cs="Times New Roman"/>
          <w:i/>
          <w:iCs/>
          <w:lang w:val="en-US"/>
        </w:rPr>
        <w:t>count (percentage)</w:t>
      </w:r>
      <w:r>
        <w:rPr>
          <w:rFonts w:ascii="Times New Roman" w:hAnsi="Times New Roman" w:cs="Times New Roman"/>
          <w:i/>
          <w:iCs/>
          <w:lang w:val="en-US"/>
        </w:rPr>
        <w:t>.</w:t>
      </w:r>
      <w:r w:rsidRPr="000F4D74">
        <w:rPr>
          <w:rFonts w:ascii="Times New Roman" w:hAnsi="Times New Roman" w:cs="Times New Roman"/>
          <w:i/>
          <w:iCs/>
          <w:lang w:val="en-US"/>
        </w:rPr>
        <w:t xml:space="preserve"> CRRT: continuous renal replacement therapy; SOFA: sepsis organ failure assessment.</w:t>
      </w:r>
    </w:p>
    <w:p w:rsidR="00C92BF9" w:rsidRPr="000F4D74" w:rsidRDefault="00C92BF9" w:rsidP="00C92BF9">
      <w:pPr>
        <w:rPr>
          <w:rFonts w:ascii="Calibri" w:hAnsi="Calibri" w:cs="Calibri"/>
          <w:b/>
          <w:sz w:val="22"/>
          <w:szCs w:val="22"/>
          <w:lang w:val="en-US"/>
        </w:rPr>
      </w:pPr>
    </w:p>
    <w:p w:rsidR="00C92BF9" w:rsidRPr="000F4D74" w:rsidRDefault="00C92BF9" w:rsidP="00C92BF9">
      <w:pPr>
        <w:pStyle w:val="TableTitle"/>
        <w:rPr>
          <w:rFonts w:ascii="Calibri" w:hAnsi="Calibri" w:cs="Calibri"/>
          <w:b/>
          <w:sz w:val="22"/>
          <w:szCs w:val="22"/>
          <w:lang w:val="en-US"/>
        </w:rPr>
      </w:pPr>
    </w:p>
    <w:p w:rsidR="00C92BF9" w:rsidRPr="000F4D74" w:rsidRDefault="00C92BF9" w:rsidP="00C92BF9">
      <w:pPr>
        <w:rPr>
          <w:lang w:val="en-US"/>
        </w:rPr>
      </w:pPr>
    </w:p>
    <w:p w:rsidR="00C92BF9" w:rsidRPr="000F4D74" w:rsidRDefault="00C92BF9" w:rsidP="00C92BF9">
      <w:pPr>
        <w:pStyle w:val="TableTitle"/>
        <w:rPr>
          <w:rFonts w:ascii="Calibri" w:hAnsi="Calibri" w:cs="Calibri"/>
          <w:b/>
          <w:sz w:val="22"/>
          <w:szCs w:val="22"/>
          <w:lang w:val="en-US"/>
        </w:rPr>
      </w:pPr>
    </w:p>
    <w:p w:rsidR="006153EE" w:rsidRDefault="006153EE"/>
    <w:sectPr w:rsidR="006153EE" w:rsidSect="0091653E">
      <w:footerReference w:type="default" r:id="rId4"/>
      <w:pgSz w:w="11900" w:h="16840"/>
      <w:pgMar w:top="1417" w:right="1417" w:bottom="1417" w:left="1417" w:header="708" w:footer="708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85327286"/>
      <w:docPartObj>
        <w:docPartGallery w:val="Page Numbers (Bottom of Page)"/>
        <w:docPartUnique/>
      </w:docPartObj>
    </w:sdtPr>
    <w:sdtEndPr/>
    <w:sdtContent>
      <w:p w:rsidR="00BD32C9" w:rsidRDefault="00C92BF9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BD32C9" w:rsidRDefault="00C92BF9">
    <w:pPr>
      <w:pStyle w:val="Pieddepage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BF9"/>
    <w:rsid w:val="006153EE"/>
    <w:rsid w:val="00C92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4A944"/>
  <w15:chartTrackingRefBased/>
  <w15:docId w15:val="{BB83BDFC-71EE-49A5-8591-78C9DD991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2BF9"/>
    <w:pPr>
      <w:spacing w:after="0" w:line="240" w:lineRule="auto"/>
    </w:pPr>
    <w:rPr>
      <w:rFonts w:eastAsiaTheme="minorEastAsia"/>
      <w:sz w:val="24"/>
      <w:szCs w:val="24"/>
      <w:lang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C92BF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92BF9"/>
    <w:rPr>
      <w:rFonts w:eastAsiaTheme="minorEastAsia"/>
      <w:sz w:val="24"/>
      <w:szCs w:val="24"/>
      <w:lang w:eastAsia="zh-CN"/>
    </w:rPr>
  </w:style>
  <w:style w:type="paragraph" w:customStyle="1" w:styleId="p">
    <w:name w:val="p"/>
    <w:basedOn w:val="Normal"/>
    <w:rsid w:val="00C92BF9"/>
    <w:pPr>
      <w:spacing w:before="100" w:beforeAutospacing="1" w:after="100" w:afterAutospacing="1"/>
    </w:pPr>
    <w:rPr>
      <w:rFonts w:ascii="Times New Roman" w:hAnsi="Times New Roman" w:cs="Times New Roman"/>
    </w:rPr>
  </w:style>
  <w:style w:type="table" w:styleId="Grilledutableau">
    <w:name w:val="Table Grid"/>
    <w:basedOn w:val="TableauNormal"/>
    <w:uiPriority w:val="39"/>
    <w:rsid w:val="00C92BF9"/>
    <w:pPr>
      <w:widowControl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Note">
    <w:name w:val="TableNote"/>
    <w:basedOn w:val="Normal"/>
    <w:rsid w:val="00C92BF9"/>
    <w:pPr>
      <w:spacing w:line="300" w:lineRule="exact"/>
    </w:pPr>
    <w:rPr>
      <w:rFonts w:ascii="Times New Roman" w:eastAsia="Times New Roman" w:hAnsi="Times New Roman" w:cs="Times New Roman"/>
      <w:szCs w:val="20"/>
      <w:lang w:val="en-GB" w:eastAsia="en-US"/>
    </w:rPr>
  </w:style>
  <w:style w:type="paragraph" w:customStyle="1" w:styleId="TableTitle">
    <w:name w:val="TableTitle"/>
    <w:basedOn w:val="Normal"/>
    <w:rsid w:val="00C92BF9"/>
    <w:pPr>
      <w:spacing w:line="300" w:lineRule="exact"/>
    </w:pPr>
    <w:rPr>
      <w:rFonts w:ascii="Times New Roman" w:eastAsia="Times New Roman" w:hAnsi="Times New Roman" w:cs="Times New Roman"/>
      <w:szCs w:val="20"/>
      <w:lang w:val="en-GB" w:eastAsia="en-US"/>
    </w:rPr>
  </w:style>
  <w:style w:type="paragraph" w:customStyle="1" w:styleId="TableHeader">
    <w:name w:val="TableHeader"/>
    <w:basedOn w:val="Normal"/>
    <w:rsid w:val="00C92BF9"/>
    <w:pPr>
      <w:spacing w:before="120"/>
    </w:pPr>
    <w:rPr>
      <w:rFonts w:ascii="Times New Roman" w:eastAsia="Times New Roman" w:hAnsi="Times New Roman" w:cs="Times New Roman"/>
      <w:b/>
      <w:szCs w:val="20"/>
      <w:lang w:val="en-GB" w:eastAsia="en-US"/>
    </w:rPr>
  </w:style>
  <w:style w:type="paragraph" w:customStyle="1" w:styleId="TableSubHead">
    <w:name w:val="TableSubHead"/>
    <w:basedOn w:val="TableHeader"/>
    <w:rsid w:val="00C92B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1782</Words>
  <Characters>9801</Characters>
  <Application>Microsoft Office Word</Application>
  <DocSecurity>0</DocSecurity>
  <Lines>81</Lines>
  <Paragraphs>23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Hospices Civils de LYON</Company>
  <LinksUpToDate>false</LinksUpToDate>
  <CharactersWithSpaces>11560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RUSTE, Martin</dc:creator>
  <cp:keywords/>
  <dc:description/>
  <cp:lastModifiedBy>RUSTE, Martin</cp:lastModifiedBy>
  <cp:revision>1</cp:revision>
  <dcterms:created xsi:type="dcterms:W3CDTF">2022-03-03T19:20:00Z</dcterms:created>
  <dcterms:modified xsi:type="dcterms:W3CDTF">2022-03-03T19:21:00Z</dcterms:modified>
</cp:coreProperties>
</file>