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38DC4" w14:textId="77777777" w:rsidR="003D2F50" w:rsidRDefault="003D2F50" w:rsidP="003D2F50">
      <w:pPr>
        <w:rPr>
          <w:b/>
        </w:rPr>
      </w:pPr>
      <w:r>
        <w:rPr>
          <w:b/>
        </w:rPr>
        <w:t>Supplementary Figures and figure legends</w:t>
      </w:r>
    </w:p>
    <w:p w14:paraId="7312787C" w14:textId="77777777" w:rsidR="003D2F50" w:rsidRDefault="003D2F50" w:rsidP="003D2F50">
      <w:pPr>
        <w:rPr>
          <w:b/>
        </w:rPr>
      </w:pPr>
    </w:p>
    <w:p w14:paraId="26A5168C" w14:textId="77777777" w:rsidR="003D2F50" w:rsidRDefault="003D2F50" w:rsidP="003D2F50">
      <w:pPr>
        <w:rPr>
          <w:b/>
        </w:rPr>
      </w:pPr>
      <w:r>
        <w:rPr>
          <w:b/>
          <w:noProof/>
        </w:rPr>
        <w:drawing>
          <wp:inline distT="0" distB="0" distL="0" distR="0" wp14:anchorId="18AA0C0A" wp14:editId="4E9C9434">
            <wp:extent cx="5943600" cy="327258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ID_TCELL_Storyboard (4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53"/>
                    <a:stretch/>
                  </pic:blipFill>
                  <pic:spPr bwMode="auto">
                    <a:xfrm>
                      <a:off x="0" y="0"/>
                      <a:ext cx="5943600" cy="327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EC91C" w14:textId="77777777" w:rsidR="003D2F50" w:rsidRDefault="003D2F50" w:rsidP="003D2F50">
      <w:pPr>
        <w:rPr>
          <w:b/>
        </w:rPr>
      </w:pPr>
    </w:p>
    <w:p w14:paraId="1D55FF41" w14:textId="77777777" w:rsidR="003D2F50" w:rsidRDefault="003D2F50" w:rsidP="003D2F50">
      <w:pPr>
        <w:rPr>
          <w:b/>
        </w:rPr>
      </w:pPr>
      <w:r>
        <w:rPr>
          <w:b/>
        </w:rPr>
        <w:t xml:space="preserve">Supplementary Figure 1 </w:t>
      </w:r>
    </w:p>
    <w:p w14:paraId="072E306A" w14:textId="77777777" w:rsidR="003D2F50" w:rsidRDefault="003D2F50" w:rsidP="003D2F50">
      <w:pPr>
        <w:rPr>
          <w:b/>
        </w:rPr>
      </w:pPr>
      <w:r>
        <w:rPr>
          <w:b/>
        </w:rPr>
        <w:t xml:space="preserve">A) </w:t>
      </w:r>
      <w:r>
        <w:t xml:space="preserve">Scatterplot displaying the relationship between the neutralization titer values (ID50, y-axis) and the symptom duration of the subjects (x-axis) stratified by the gender of the subjects. There is no significant correlation for both </w:t>
      </w:r>
      <w:proofErr w:type="spellStart"/>
      <w:proofErr w:type="gramStart"/>
      <w:r>
        <w:t>genders.</w:t>
      </w:r>
      <w:r>
        <w:rPr>
          <w:b/>
        </w:rPr>
        <w:t>B</w:t>
      </w:r>
      <w:proofErr w:type="spellEnd"/>
      <w:proofErr w:type="gramEnd"/>
      <w:r>
        <w:rPr>
          <w:b/>
        </w:rPr>
        <w:t xml:space="preserve">) </w:t>
      </w:r>
      <w:r>
        <w:t xml:space="preserve">Scatterplot displaying the relationship between the neutralization titer values (ID50, y-axis) and the age of the subjects (x-axis) stratified by the gender of the subjects. There is no significant correlation for both genders. </w:t>
      </w:r>
    </w:p>
    <w:p w14:paraId="12041725" w14:textId="77777777" w:rsidR="003D2F50" w:rsidRDefault="003D2F50" w:rsidP="003D2F50">
      <w:pPr>
        <w:rPr>
          <w:b/>
        </w:rPr>
      </w:pPr>
    </w:p>
    <w:p w14:paraId="41F8A89A" w14:textId="77777777" w:rsidR="003D2F50" w:rsidRDefault="003D2F50" w:rsidP="003D2F50">
      <w:pPr>
        <w:rPr>
          <w:b/>
        </w:rPr>
      </w:pPr>
      <w:r>
        <w:rPr>
          <w:b/>
        </w:rPr>
        <w:br w:type="page"/>
      </w:r>
    </w:p>
    <w:p w14:paraId="7B6904B1" w14:textId="77777777" w:rsidR="003D2F50" w:rsidRDefault="003D2F50" w:rsidP="003D2F5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7EE6E0C" wp14:editId="4100B66C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ID_TCELL_Storyboard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F7F6" w14:textId="77777777" w:rsidR="003D2F50" w:rsidRDefault="003D2F50" w:rsidP="003D2F50">
      <w:pPr>
        <w:rPr>
          <w:b/>
        </w:rPr>
      </w:pPr>
    </w:p>
    <w:p w14:paraId="3F663D02" w14:textId="77777777" w:rsidR="003D2F50" w:rsidRDefault="003D2F50" w:rsidP="003D2F50">
      <w:pPr>
        <w:rPr>
          <w:b/>
        </w:rPr>
      </w:pPr>
    </w:p>
    <w:p w14:paraId="503F48BF" w14:textId="77777777" w:rsidR="003D2F50" w:rsidRDefault="003D2F50" w:rsidP="003D2F50">
      <w:pPr>
        <w:rPr>
          <w:b/>
        </w:rPr>
      </w:pPr>
      <w:r>
        <w:rPr>
          <w:b/>
        </w:rPr>
        <w:lastRenderedPageBreak/>
        <w:t>Supplementary Figure 2</w:t>
      </w:r>
    </w:p>
    <w:p w14:paraId="26D6AB1E" w14:textId="77777777" w:rsidR="003D2F50" w:rsidRDefault="003D2F50" w:rsidP="003D2F50">
      <w:r>
        <w:rPr>
          <w:b/>
        </w:rPr>
        <w:t xml:space="preserve">A) </w:t>
      </w:r>
      <w:r>
        <w:t xml:space="preserve">A plot of concentrations of IFN-γ, IL-2 and TNF measured in the supernatants of PBMCs re-stimulated with either spike or nucleoprotein. On the x-axis, subject PBMC samples are stratified based upon presence of a previous infection with SARS CoV-2 (Yes/No) and the sex of the subject (Male/Female). </w:t>
      </w:r>
      <w:r>
        <w:rPr>
          <w:b/>
        </w:rPr>
        <w:t xml:space="preserve">B) </w:t>
      </w:r>
      <w:r>
        <w:t xml:space="preserve">Concentrations of the most differential and significant cytokines induced by SARS CoV-2 spike and nucleoprotein </w:t>
      </w:r>
      <w:proofErr w:type="gramStart"/>
      <w:r>
        <w:t>peptides;  IL</w:t>
      </w:r>
      <w:proofErr w:type="gramEnd"/>
      <w:r>
        <w:t xml:space="preserve">-2, IL-5, IL-17A, TNF and IFN-γ. Control samples were treated with peptide vehicle only (water). Representative of 3 replicates per sample. Data in (A) and (B) is representative of 85 individuals.  </w:t>
      </w:r>
      <w:r>
        <w:rPr>
          <w:rFonts w:ascii="Arial Unicode MS" w:eastAsia="Arial Unicode MS" w:hAnsi="Arial Unicode MS" w:cs="Arial Unicode MS"/>
        </w:rPr>
        <w:t xml:space="preserve">*P ≤ 0.05, **P ≤ 0.01, ***P ≤ 0.001, ****P ≤ 0.0001; one-way ANOVA, Kruskal-Wallis test. </w:t>
      </w:r>
    </w:p>
    <w:p w14:paraId="146F6EAD" w14:textId="77777777" w:rsidR="003D2F50" w:rsidRDefault="003D2F50" w:rsidP="003D2F50">
      <w:r>
        <w:rPr>
          <w:b/>
        </w:rPr>
        <w:t xml:space="preserve">C) </w:t>
      </w:r>
      <w:r>
        <w:t xml:space="preserve">Plots showing concentrations of known SARS CoV-2 responding cytokines IL-2, IFN-γ, and TNF after re-stimulation with spike and nucleoprotein peptide pools on frozen PBMCs from 7 healthy humans subjects from summer 2019 pre-pandemic. </w:t>
      </w:r>
      <w:r>
        <w:rPr>
          <w:b/>
        </w:rPr>
        <w:t xml:space="preserve">D) </w:t>
      </w:r>
      <w:r>
        <w:t xml:space="preserve">Plots displaying concentration of IL-10 in pre-pandemic PBMCs (from C) and COVID-recovered PBMCs (from B) after restimulation with the spike and nucleoprotein peptide pools. </w:t>
      </w:r>
      <w:r>
        <w:rPr>
          <w:b/>
        </w:rPr>
        <w:t xml:space="preserve">E) </w:t>
      </w:r>
      <w:r>
        <w:rPr>
          <w:rFonts w:ascii="Arial Unicode MS" w:eastAsia="Arial Unicode MS" w:hAnsi="Arial Unicode MS" w:cs="Arial Unicode MS"/>
        </w:rPr>
        <w:t>Box-plots displaying the distribution of IL10, IL17A, IL6, and IL</w:t>
      </w:r>
      <w:proofErr w:type="gramStart"/>
      <w:r>
        <w:rPr>
          <w:rFonts w:ascii="Arial Unicode MS" w:eastAsia="Arial Unicode MS" w:hAnsi="Arial Unicode MS" w:cs="Arial Unicode MS"/>
        </w:rPr>
        <w:t>9  level</w:t>
      </w:r>
      <w:proofErr w:type="gramEnd"/>
      <w:r>
        <w:rPr>
          <w:rFonts w:ascii="Arial Unicode MS" w:eastAsia="Arial Unicode MS" w:hAnsi="Arial Unicode MS" w:cs="Arial Unicode MS"/>
        </w:rPr>
        <w:t xml:space="preserve"> fold changes upon spike and nucleoprotein stimulation, stratified by the infection status of the patients (red infected, blue non infected). Brackets indicate statistical significance using a one-sided non-parametric Wilcoxon test with *P ≤ 0.05, **P ≤ 0.01, ***P ≤ 0.001, ****P ≤ 0.0001 and n/s indicating no statistical significance.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F) </w:t>
      </w:r>
      <w:r>
        <w:t xml:space="preserve">Scatterplots displaying the correlation between log2 fold change values of TNF after spike </w:t>
      </w:r>
      <w:r>
        <w:rPr>
          <w:b/>
        </w:rPr>
        <w:t>(F)</w:t>
      </w:r>
      <w:r>
        <w:t xml:space="preserve"> or nucleoprotein </w:t>
      </w:r>
      <w:r>
        <w:rPr>
          <w:b/>
        </w:rPr>
        <w:t xml:space="preserve">(G) </w:t>
      </w:r>
      <w:r>
        <w:t>restimulation corrected for subject age and sample type (fresh or frozen) (y- axis) and symptom duration (days, x-axis) for male (top row, purple) and female (bottom row, green) subjects stratified by their infection status.</w:t>
      </w:r>
    </w:p>
    <w:p w14:paraId="11F58EFC" w14:textId="77777777" w:rsidR="003D2F50" w:rsidRDefault="003D2F50" w:rsidP="003D2F50">
      <w:pPr>
        <w:rPr>
          <w:b/>
          <w:sz w:val="24"/>
          <w:szCs w:val="24"/>
        </w:rPr>
      </w:pPr>
    </w:p>
    <w:p w14:paraId="147B0C80" w14:textId="77777777" w:rsidR="003D2F50" w:rsidRDefault="003D2F50" w:rsidP="003D2F50">
      <w:pPr>
        <w:rPr>
          <w:b/>
        </w:rPr>
      </w:pPr>
      <w:r>
        <w:rPr>
          <w:b/>
        </w:rPr>
        <w:br w:type="page"/>
      </w:r>
    </w:p>
    <w:p w14:paraId="4F9B51C2" w14:textId="77777777" w:rsidR="003D2F50" w:rsidRDefault="003D2F50" w:rsidP="003D2F5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36334EF" wp14:editId="1FF29DA7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VID_TCELL_Storyboard (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4F5A" w14:textId="77777777" w:rsidR="003D2F50" w:rsidRDefault="003D2F50" w:rsidP="003D2F50">
      <w:pPr>
        <w:rPr>
          <w:b/>
        </w:rPr>
      </w:pPr>
    </w:p>
    <w:p w14:paraId="4B9CFB4C" w14:textId="77777777" w:rsidR="003D2F50" w:rsidRDefault="003D2F50" w:rsidP="003D2F50">
      <w:pPr>
        <w:rPr>
          <w:b/>
        </w:rPr>
      </w:pPr>
    </w:p>
    <w:p w14:paraId="60617703" w14:textId="77777777" w:rsidR="003D2F50" w:rsidRDefault="003D2F50" w:rsidP="003D2F5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996C791" wp14:editId="6872CC7B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VID_TCELL_Storyboard (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9738" w14:textId="77777777" w:rsidR="003D2F50" w:rsidRDefault="003D2F50" w:rsidP="003D2F50">
      <w:pPr>
        <w:rPr>
          <w:b/>
        </w:rPr>
      </w:pPr>
    </w:p>
    <w:p w14:paraId="54F8ECC0" w14:textId="77777777" w:rsidR="003D2F50" w:rsidRDefault="003D2F50" w:rsidP="003D2F50">
      <w:pPr>
        <w:rPr>
          <w:b/>
        </w:rPr>
      </w:pPr>
    </w:p>
    <w:p w14:paraId="6C9F5E6F" w14:textId="77777777" w:rsidR="003D2F50" w:rsidRDefault="003D2F50" w:rsidP="003D2F50">
      <w:pPr>
        <w:rPr>
          <w:b/>
        </w:rPr>
      </w:pPr>
      <w:r>
        <w:rPr>
          <w:b/>
        </w:rPr>
        <w:lastRenderedPageBreak/>
        <w:t>Supplementary Figure 3</w:t>
      </w:r>
    </w:p>
    <w:p w14:paraId="38F6BC9D" w14:textId="77777777" w:rsidR="003D2F50" w:rsidRDefault="003D2F50" w:rsidP="003D2F50">
      <w:pPr>
        <w:rPr>
          <w:b/>
        </w:rPr>
      </w:pPr>
      <w:r>
        <w:rPr>
          <w:b/>
        </w:rPr>
        <w:t>A)</w:t>
      </w:r>
      <w:r>
        <w:t xml:space="preserve">  Bar plot displaying the number of </w:t>
      </w:r>
      <w:proofErr w:type="gramStart"/>
      <w:r>
        <w:t>spike</w:t>
      </w:r>
      <w:proofErr w:type="gramEnd"/>
      <w:r>
        <w:t xml:space="preserve"> restimulated, nucleoprotein restimulated and PBMC CD4+ and CD8+ cells of each of the 17 donors. </w:t>
      </w:r>
      <w:r>
        <w:rPr>
          <w:b/>
        </w:rPr>
        <w:t xml:space="preserve">B) </w:t>
      </w:r>
      <w:r>
        <w:t xml:space="preserve">Dot plot displaying the expression levels of top 5 marker genes of 24 transcriptome clusters. </w:t>
      </w:r>
      <w:r>
        <w:rPr>
          <w:b/>
        </w:rPr>
        <w:t xml:space="preserve">C) </w:t>
      </w:r>
      <w:r>
        <w:t xml:space="preserve">Bar plot displaying the distribution of the percentages of the 24 transcriptome clusters in CD4+ and CD8+ T cells. </w:t>
      </w:r>
      <w:r>
        <w:rPr>
          <w:b/>
        </w:rPr>
        <w:t xml:space="preserve">D) </w:t>
      </w:r>
      <w:r>
        <w:t xml:space="preserve">Bar plot displaying the percentages </w:t>
      </w:r>
      <w:proofErr w:type="gramStart"/>
      <w:r>
        <w:t>of  CD</w:t>
      </w:r>
      <w:proofErr w:type="gramEnd"/>
      <w:r>
        <w:t xml:space="preserve">4+ and CD8+ cells in the 24 transcriptome clusters. </w:t>
      </w:r>
      <w:r>
        <w:rPr>
          <w:b/>
        </w:rPr>
        <w:t>E)</w:t>
      </w:r>
      <w:r>
        <w:t xml:space="preserve"> Uniform manifold approximation and projection (UMAP) plot displaying CD4+ annotated T cells, cells are colored based on the clusters they belong to. </w:t>
      </w:r>
      <w:r>
        <w:rPr>
          <w:b/>
        </w:rPr>
        <w:t>F)</w:t>
      </w:r>
      <w:r>
        <w:t xml:space="preserve"> UMAP plot displaying CD4+ annotated T cells, cells are colored based on their </w:t>
      </w:r>
      <w:proofErr w:type="spellStart"/>
      <w:r>
        <w:t>pseudotime</w:t>
      </w:r>
      <w:proofErr w:type="spellEnd"/>
      <w:r>
        <w:t xml:space="preserve"> values (Methods). </w:t>
      </w:r>
      <w:r>
        <w:rPr>
          <w:b/>
        </w:rPr>
        <w:t>G)</w:t>
      </w:r>
      <w:r>
        <w:t xml:space="preserve"> UMAP plot displaying CD8+ annotated T cells, cells are colored based on the clusters they belong to. </w:t>
      </w:r>
      <w:r>
        <w:rPr>
          <w:b/>
        </w:rPr>
        <w:t xml:space="preserve">H) </w:t>
      </w:r>
      <w:r>
        <w:t xml:space="preserve">UMAP plot displaying CD8+ annotated T cells, cells are colored based on their </w:t>
      </w:r>
      <w:proofErr w:type="spellStart"/>
      <w:r>
        <w:t>pseudotime</w:t>
      </w:r>
      <w:proofErr w:type="spellEnd"/>
      <w:r>
        <w:t xml:space="preserve"> values (Methods). </w:t>
      </w:r>
      <w:r>
        <w:rPr>
          <w:b/>
        </w:rPr>
        <w:t xml:space="preserve">I) </w:t>
      </w:r>
      <w:r>
        <w:t xml:space="preserve">Bar plot displaying the distribution of the percentages of the 24 transcriptome clusters in spike restimulated, nucleoprotein restimulated and PBMC cells. </w:t>
      </w:r>
      <w:r>
        <w:rPr>
          <w:b/>
        </w:rPr>
        <w:t xml:space="preserve">J) </w:t>
      </w:r>
      <w:r>
        <w:t xml:space="preserve">Bar plot displaying the percentages of spike restimulated, nucleoprotein restimulated and PBMC cells in the cell composition of the 24 transcriptome clusters. </w:t>
      </w:r>
      <w:r>
        <w:rPr>
          <w:b/>
        </w:rPr>
        <w:t xml:space="preserve">K) </w:t>
      </w:r>
      <w:r>
        <w:t xml:space="preserve">Bar plot displaying the percentages of each of the 17 </w:t>
      </w:r>
      <w:proofErr w:type="gramStart"/>
      <w:r>
        <w:t>donors  in</w:t>
      </w:r>
      <w:proofErr w:type="gramEnd"/>
      <w:r>
        <w:t xml:space="preserve"> the cell composition of the 24 transcriptome clusters. </w:t>
      </w:r>
      <w:r>
        <w:rPr>
          <w:b/>
        </w:rPr>
        <w:t xml:space="preserve"> L) </w:t>
      </w:r>
      <w:r>
        <w:t xml:space="preserve"> UMAP plot displaying the clusters on the 2D projections of the cells based on their </w:t>
      </w:r>
      <w:proofErr w:type="spellStart"/>
      <w:r>
        <w:t>scRNAseq</w:t>
      </w:r>
      <w:proofErr w:type="spellEnd"/>
      <w:r>
        <w:t xml:space="preserve"> transcriptome profiles, cells are colored based on the donors they belong to. </w:t>
      </w:r>
    </w:p>
    <w:p w14:paraId="6CAEA946" w14:textId="77777777" w:rsidR="003D2F50" w:rsidRDefault="003D2F50" w:rsidP="003D2F50">
      <w:pPr>
        <w:rPr>
          <w:b/>
        </w:rPr>
      </w:pPr>
    </w:p>
    <w:p w14:paraId="03A0E542" w14:textId="77777777" w:rsidR="003D2F50" w:rsidRDefault="003D2F50" w:rsidP="003D2F50">
      <w:pPr>
        <w:rPr>
          <w:b/>
        </w:rPr>
      </w:pPr>
      <w:r>
        <w:rPr>
          <w:b/>
        </w:rPr>
        <w:br w:type="page"/>
      </w:r>
    </w:p>
    <w:p w14:paraId="4E87CE25" w14:textId="77777777" w:rsidR="003D2F50" w:rsidRDefault="003D2F50" w:rsidP="003D2F5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71B7D7A" wp14:editId="14A96F4A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VID_TCELL_Storyboard (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4AFC51FC" w14:textId="77777777" w:rsidR="003D2F50" w:rsidRDefault="003D2F50" w:rsidP="003D2F5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31F25AD" wp14:editId="1CF535BE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VID_TCELL_Storyboard (9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03A4" w14:textId="77777777" w:rsidR="003D2F50" w:rsidRDefault="003D2F50" w:rsidP="003D2F50">
      <w:pPr>
        <w:rPr>
          <w:b/>
        </w:rPr>
      </w:pPr>
    </w:p>
    <w:p w14:paraId="15B29547" w14:textId="77777777" w:rsidR="003D2F50" w:rsidRDefault="003D2F50" w:rsidP="003D2F50">
      <w:pPr>
        <w:rPr>
          <w:b/>
        </w:rPr>
      </w:pPr>
    </w:p>
    <w:p w14:paraId="7F159171" w14:textId="77777777" w:rsidR="003D2F50" w:rsidRDefault="003D2F50" w:rsidP="003D2F5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61B6FFA" wp14:editId="65A374E7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VID_TCELL_Storyboard (10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9548" w14:textId="77777777" w:rsidR="003D2F50" w:rsidRDefault="003D2F50" w:rsidP="003D2F50">
      <w:pPr>
        <w:rPr>
          <w:b/>
        </w:rPr>
      </w:pPr>
    </w:p>
    <w:p w14:paraId="4860E776" w14:textId="77777777" w:rsidR="003D2F50" w:rsidRDefault="003D2F50" w:rsidP="003D2F50">
      <w:pPr>
        <w:rPr>
          <w:b/>
        </w:rPr>
      </w:pPr>
    </w:p>
    <w:p w14:paraId="489C80E5" w14:textId="77777777" w:rsidR="003D2F50" w:rsidRDefault="003D2F50" w:rsidP="003D2F50">
      <w:pPr>
        <w:rPr>
          <w:b/>
        </w:rPr>
      </w:pPr>
      <w:r>
        <w:rPr>
          <w:b/>
        </w:rPr>
        <w:lastRenderedPageBreak/>
        <w:t>Supplementary Figure 4</w:t>
      </w:r>
    </w:p>
    <w:p w14:paraId="3709A1AA" w14:textId="77777777" w:rsidR="003D2F50" w:rsidRDefault="003D2F50" w:rsidP="003D2F50">
      <w:r>
        <w:t xml:space="preserve">12 latent factors displaying the major axes of variation of the </w:t>
      </w:r>
      <w:proofErr w:type="spellStart"/>
      <w:r>
        <w:t>scRNA-seq</w:t>
      </w:r>
      <w:proofErr w:type="spellEnd"/>
      <w:r>
        <w:t xml:space="preserve"> transcriptome profiles of the spike restimulated, nucleoprotein restimulated and PBMC samples. Plots in </w:t>
      </w:r>
      <w:r>
        <w:rPr>
          <w:b/>
        </w:rPr>
        <w:t>A, C, E, G, I, K, M, O, R, T</w:t>
      </w:r>
      <w:r>
        <w:t xml:space="preserve"> and </w:t>
      </w:r>
      <w:r>
        <w:rPr>
          <w:b/>
        </w:rPr>
        <w:t>W</w:t>
      </w:r>
      <w:r>
        <w:t xml:space="preserve"> display the UMAP plots where the cells are colored based on the cell factor loadings of Factors 1-12. Plots in </w:t>
      </w:r>
      <w:r>
        <w:rPr>
          <w:b/>
        </w:rPr>
        <w:t>B, D, F, H, J, L, N, P, S</w:t>
      </w:r>
      <w:r>
        <w:t xml:space="preserve">, and </w:t>
      </w:r>
      <w:r>
        <w:rPr>
          <w:b/>
        </w:rPr>
        <w:t>U</w:t>
      </w:r>
      <w:r>
        <w:t xml:space="preserve"> display the enriched GO terms of the genes that have high factor loadings (Methods) for each of the Factors 1-11. </w:t>
      </w:r>
      <w:r>
        <w:rPr>
          <w:b/>
        </w:rPr>
        <w:t xml:space="preserve">W) </w:t>
      </w:r>
      <w:r>
        <w:t xml:space="preserve">Top genes (max 10) with the highest loadings for each of the 12 latent factors that were identified by non-negative matrix factorization of the </w:t>
      </w:r>
      <w:proofErr w:type="spellStart"/>
      <w:r>
        <w:t>scRNA-seq</w:t>
      </w:r>
      <w:proofErr w:type="spellEnd"/>
      <w:r>
        <w:t xml:space="preserve"> gene expression count data. </w:t>
      </w:r>
      <w:r>
        <w:rPr>
          <w:b/>
        </w:rPr>
        <w:t xml:space="preserve">X) </w:t>
      </w:r>
      <w:r>
        <w:t xml:space="preserve">Dot plot displaying the scaled expression profiles of the cytokines that were captured by the </w:t>
      </w:r>
      <w:proofErr w:type="spellStart"/>
      <w:r>
        <w:t>scRNA-seq</w:t>
      </w:r>
      <w:proofErr w:type="spellEnd"/>
      <w:r>
        <w:t xml:space="preserve"> (x-axis) across the 24 TCs. </w:t>
      </w:r>
      <w:r>
        <w:rPr>
          <w:b/>
        </w:rPr>
        <w:t xml:space="preserve">Y) </w:t>
      </w:r>
      <w:r>
        <w:rPr>
          <w:rFonts w:ascii="Arial Unicode MS" w:eastAsia="Arial Unicode MS" w:hAnsi="Arial Unicode MS" w:cs="Arial Unicode MS"/>
        </w:rPr>
        <w:t>Violin plots displaying the distribution of the Factor 5 loadings (y-axis) of the cells in spike restimulated, nucleoprotein restimulated and PBMC samples (x-axis). Brackets indicate statistical significance using a two-sided non-parametric Wilcoxon test with *P ≤ 0.05, **P ≤ 0.01, ***P ≤ 0.001, ****P ≤ 0.0001 and n/s indicating no statistical significance.</w:t>
      </w:r>
      <w:r>
        <w:rPr>
          <w:sz w:val="24"/>
          <w:szCs w:val="24"/>
        </w:rPr>
        <w:t xml:space="preserve"> </w:t>
      </w:r>
    </w:p>
    <w:p w14:paraId="078BD3BF" w14:textId="77777777" w:rsidR="003D2F50" w:rsidRDefault="003D2F50" w:rsidP="003D2F50"/>
    <w:p w14:paraId="1A4709D3" w14:textId="77777777" w:rsidR="003D2F50" w:rsidRDefault="003D2F50" w:rsidP="003D2F50">
      <w:pPr>
        <w:rPr>
          <w:b/>
        </w:rPr>
      </w:pPr>
      <w:r>
        <w:rPr>
          <w:b/>
        </w:rPr>
        <w:br w:type="page"/>
      </w:r>
    </w:p>
    <w:p w14:paraId="3250A969" w14:textId="77777777" w:rsidR="003D2F50" w:rsidRDefault="003D2F50" w:rsidP="003D2F5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C8ACC4" wp14:editId="0F98B5CB">
            <wp:extent cx="5943600" cy="5053263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VID_TCELL_Storyboard (11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03"/>
                    <a:stretch/>
                  </pic:blipFill>
                  <pic:spPr bwMode="auto">
                    <a:xfrm>
                      <a:off x="0" y="0"/>
                      <a:ext cx="5943600" cy="505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FFF1A" w14:textId="77777777" w:rsidR="003D2F50" w:rsidRDefault="003D2F50" w:rsidP="003D2F50">
      <w:pPr>
        <w:rPr>
          <w:b/>
        </w:rPr>
      </w:pPr>
    </w:p>
    <w:p w14:paraId="586A801B" w14:textId="77777777" w:rsidR="003D2F50" w:rsidRDefault="003D2F50" w:rsidP="003D2F50">
      <w:pPr>
        <w:rPr>
          <w:b/>
        </w:rPr>
      </w:pPr>
      <w:r>
        <w:rPr>
          <w:b/>
        </w:rPr>
        <w:t>Supplementary Figure 5</w:t>
      </w:r>
    </w:p>
    <w:p w14:paraId="08C168B9" w14:textId="77777777" w:rsidR="003D2F50" w:rsidRDefault="003D2F50" w:rsidP="003D2F50">
      <w:r>
        <w:rPr>
          <w:b/>
        </w:rPr>
        <w:t>A)</w:t>
      </w:r>
      <w:r>
        <w:t xml:space="preserve"> Bar plot displaying the percentages of each of the male(purple) and female(green) </w:t>
      </w:r>
      <w:proofErr w:type="gramStart"/>
      <w:r>
        <w:t>donors  in</w:t>
      </w:r>
      <w:proofErr w:type="gramEnd"/>
      <w:r>
        <w:t xml:space="preserve"> the cell composition of the TCs 0, 1, 16, 18, and 22. </w:t>
      </w:r>
      <w:r>
        <w:rPr>
          <w:b/>
        </w:rPr>
        <w:t xml:space="preserve">B) </w:t>
      </w:r>
      <w:r>
        <w:t>Enriched GO terms for the differentially expressed genes in the group of cells belonging to TCs 16, 18 and 22.</w:t>
      </w:r>
    </w:p>
    <w:p w14:paraId="7EDB3DAC" w14:textId="77777777" w:rsidR="003D2F50" w:rsidRDefault="003D2F50" w:rsidP="003D2F50">
      <w:pPr>
        <w:rPr>
          <w:b/>
        </w:rPr>
      </w:pPr>
    </w:p>
    <w:p w14:paraId="3BD9DFBA" w14:textId="77777777" w:rsidR="003D2F50" w:rsidRDefault="003D2F50" w:rsidP="003D2F50">
      <w:pPr>
        <w:rPr>
          <w:b/>
        </w:rPr>
      </w:pPr>
      <w:r>
        <w:rPr>
          <w:b/>
        </w:rPr>
        <w:br w:type="page"/>
      </w:r>
    </w:p>
    <w:p w14:paraId="3068C04F" w14:textId="77777777" w:rsidR="003D2F50" w:rsidRDefault="003D2F50" w:rsidP="003D2F5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082F75F" wp14:editId="6B58F46A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VID_TCELL_Storyboard (1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5318" w14:textId="77777777" w:rsidR="003D2F50" w:rsidRDefault="003D2F50" w:rsidP="003D2F50">
      <w:pPr>
        <w:rPr>
          <w:b/>
        </w:rPr>
      </w:pPr>
    </w:p>
    <w:p w14:paraId="30CE82A2" w14:textId="77777777" w:rsidR="003D2F50" w:rsidRDefault="003D2F50" w:rsidP="003D2F50">
      <w:pPr>
        <w:rPr>
          <w:b/>
        </w:rPr>
      </w:pPr>
    </w:p>
    <w:p w14:paraId="7D763C31" w14:textId="77777777" w:rsidR="003D2F50" w:rsidRDefault="003D2F50" w:rsidP="003D2F5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EA57EEB" wp14:editId="3E02D35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ID_TCELL_Storyboard (1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1E9C" w14:textId="77777777" w:rsidR="003D2F50" w:rsidRDefault="003D2F50" w:rsidP="003D2F50">
      <w:pPr>
        <w:rPr>
          <w:b/>
        </w:rPr>
      </w:pPr>
    </w:p>
    <w:p w14:paraId="05D3156D" w14:textId="77777777" w:rsidR="003D2F50" w:rsidRDefault="003D2F50" w:rsidP="003D2F50">
      <w:pPr>
        <w:rPr>
          <w:b/>
        </w:rPr>
      </w:pPr>
    </w:p>
    <w:p w14:paraId="0DE9A668" w14:textId="77777777" w:rsidR="003D2F50" w:rsidRDefault="003D2F50" w:rsidP="003D2F50">
      <w:pPr>
        <w:rPr>
          <w:b/>
        </w:rPr>
      </w:pPr>
      <w:r>
        <w:rPr>
          <w:b/>
        </w:rPr>
        <w:lastRenderedPageBreak/>
        <w:t>Supplementary Figure 6</w:t>
      </w:r>
    </w:p>
    <w:p w14:paraId="57A192E9" w14:textId="16A366DA" w:rsidR="003D2F50" w:rsidRDefault="003D2F50" w:rsidP="003D2F50">
      <w:r>
        <w:t xml:space="preserve">Alpha and beta chain V and J gene usage of CD4+ and CD8+ cells in spike restimulated, nucleoprotein restimulated and PBMC samples. Figures </w:t>
      </w:r>
      <w:r>
        <w:rPr>
          <w:b/>
        </w:rPr>
        <w:t>A</w:t>
      </w:r>
      <w:r>
        <w:t xml:space="preserve">, </w:t>
      </w:r>
      <w:r>
        <w:rPr>
          <w:b/>
        </w:rPr>
        <w:t>C</w:t>
      </w:r>
      <w:r>
        <w:t xml:space="preserve">, </w:t>
      </w:r>
      <w:r>
        <w:rPr>
          <w:b/>
        </w:rPr>
        <w:t>E</w:t>
      </w:r>
      <w:r>
        <w:t xml:space="preserve"> and </w:t>
      </w:r>
      <w:r>
        <w:rPr>
          <w:b/>
        </w:rPr>
        <w:t>G</w:t>
      </w:r>
      <w:r>
        <w:t xml:space="preserve"> display the boxplots showing the distribution of the donor specific percentage of beta chain - v genes, beta chain - J genes, alpha chain - J genes and alpha chain - V genes in CD4+ cells, stratified by the sample type. Likewise, figures </w:t>
      </w:r>
      <w:r>
        <w:rPr>
          <w:b/>
        </w:rPr>
        <w:t>B</w:t>
      </w:r>
      <w:r>
        <w:t xml:space="preserve">, </w:t>
      </w:r>
      <w:r>
        <w:rPr>
          <w:b/>
        </w:rPr>
        <w:t>D</w:t>
      </w:r>
      <w:r>
        <w:t xml:space="preserve">, </w:t>
      </w:r>
      <w:r>
        <w:rPr>
          <w:b/>
        </w:rPr>
        <w:t>F</w:t>
      </w:r>
      <w:r>
        <w:t xml:space="preserve"> and </w:t>
      </w:r>
      <w:r>
        <w:rPr>
          <w:b/>
        </w:rPr>
        <w:t>H</w:t>
      </w:r>
      <w:r>
        <w:t xml:space="preserve"> show the distribution of the donor specific percentages of beta chain - v genes, beta chain - J genes, alpha chain - J genes and alpha chain - V genes in CD8+ cells.</w:t>
      </w:r>
    </w:p>
    <w:p w14:paraId="15AD8001" w14:textId="77777777" w:rsidR="003D2F50" w:rsidRDefault="003D2F50">
      <w:pPr>
        <w:spacing w:line="240" w:lineRule="auto"/>
      </w:pPr>
      <w:r>
        <w:br w:type="page"/>
      </w:r>
    </w:p>
    <w:p w14:paraId="3CB21383" w14:textId="7AB24602" w:rsidR="003D2F50" w:rsidRDefault="003D2F50" w:rsidP="003D2F50">
      <w:r>
        <w:lastRenderedPageBreak/>
        <w:t>Table 1. Clinical and biological</w:t>
      </w:r>
      <w:bookmarkStart w:id="0" w:name="_GoBack"/>
      <w:bookmarkEnd w:id="0"/>
      <w:r>
        <w:t xml:space="preserve"> characteristics of the cohort</w:t>
      </w:r>
    </w:p>
    <w:p w14:paraId="4FA273F8" w14:textId="2647D7BF" w:rsidR="003D2F50" w:rsidRDefault="003D2F50" w:rsidP="003D2F50"/>
    <w:p w14:paraId="2D2C8E62" w14:textId="215F10D5" w:rsidR="003D2F50" w:rsidRDefault="003D2F50" w:rsidP="003D2F50">
      <w:r>
        <w:rPr>
          <w:noProof/>
        </w:rPr>
        <w:drawing>
          <wp:inline distT="0" distB="0" distL="0" distR="0" wp14:anchorId="57157CF1" wp14:editId="2AA0F88E">
            <wp:extent cx="5943600" cy="67837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VID_TCELL_Storyboard (14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5"/>
                    <a:stretch/>
                  </pic:blipFill>
                  <pic:spPr bwMode="auto">
                    <a:xfrm>
                      <a:off x="0" y="0"/>
                      <a:ext cx="5943600" cy="678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DD826" w14:textId="77777777" w:rsidR="003D2F50" w:rsidRDefault="003D2F50" w:rsidP="003D2F50">
      <w:r>
        <w:br w:type="page"/>
      </w:r>
    </w:p>
    <w:p w14:paraId="764309AC" w14:textId="77777777" w:rsidR="00391427" w:rsidRDefault="00391427"/>
    <w:sectPr w:rsidR="00391427" w:rsidSect="002D69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F50"/>
    <w:rsid w:val="000E4F49"/>
    <w:rsid w:val="002D69EF"/>
    <w:rsid w:val="00391427"/>
    <w:rsid w:val="003D2F50"/>
    <w:rsid w:val="0089216A"/>
    <w:rsid w:val="00DA3D0A"/>
    <w:rsid w:val="00FC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80B53"/>
  <w15:chartTrackingRefBased/>
  <w15:docId w15:val="{F1632D0C-0DEC-F64D-AA58-42CC703FC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2F50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925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Deguine</dc:creator>
  <cp:keywords/>
  <dc:description/>
  <cp:lastModifiedBy>Jacques Deguine</cp:lastModifiedBy>
  <cp:revision>1</cp:revision>
  <dcterms:created xsi:type="dcterms:W3CDTF">2022-03-01T22:49:00Z</dcterms:created>
  <dcterms:modified xsi:type="dcterms:W3CDTF">2022-03-01T22:51:00Z</dcterms:modified>
</cp:coreProperties>
</file>