
<file path=[Content_Types].xml><?xml version="1.0" encoding="utf-8"?>
<Types xmlns="http://schemas.openxmlformats.org/package/2006/content-types">
  <Default Extension="wmf" ContentType="image/x-wmf"/>
  <Default Extension="png" ContentType="image/png"/>
  <Default Extension="jpg" ContentType="image/jpe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endnotes.xml" ContentType="application/vnd.openxmlformats-officedocument.wordprocessingml.endnot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settings.xml" ContentType="application/vnd.openxmlformats-officedocument.wordprocessingml.settings+xml"/>
  <Override PartName="/word/document.xml" ContentType="application/vnd.openxmlformats-officedocument.wordprocessingml.document.main+xml"/>
  <Override PartName="/customXml/itemProps3.xml" ContentType="application/vnd.openxmlformats-officedocument.customXmlProperties+xml"/>
  <Override PartName="/customXml/itemProps2.xml" ContentType="application/vnd.openxmlformats-officedocument.customXmlProperties+xml"/>
  <Override PartName="/word/footnotes.xml" ContentType="application/vnd.openxmlformats-officedocument.wordprocessingml.footnotes+xml"/>
  <Override PartName="/word/styles.xml" ContentType="application/vnd.openxmlformats-officedocument.wordprocessingml.styles+xml"/>
  <Override PartName="/customXml/itemProps4.xml" ContentType="application/vnd.openxmlformats-officedocument.customXmlProperties+xml"/>
  <Override PartName="/customXml/itemProps1.xml" ContentType="application/vnd.openxmlformats-officedocument.customXml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ody>
    <w:p>
      <w:pPr>
        <w:pStyle w:val="838"/>
        <w:jc w:val="center"/>
        <w:spacing w:lineRule="auto" w:line="240" w:after="240" w:before="240"/>
        <w:rPr>
          <w:b/>
          <w:sz w:val="44"/>
          <w:szCs w:val="44"/>
          <w:lang w:val="en-US"/>
        </w:rPr>
      </w:pPr>
      <w:r>
        <w:rPr>
          <w:b/>
          <w:sz w:val="44"/>
          <w:szCs w:val="44"/>
          <w:lang w:val="en-US"/>
        </w:rPr>
        <w:t xml:space="preserve">Methods and Supplemental Material</w:t>
      </w:r>
      <w:r/>
    </w:p>
    <w:p>
      <w:pPr>
        <w:jc w:val="center"/>
        <w:rPr>
          <w:sz w:val="36"/>
          <w:szCs w:val="36"/>
          <w:lang w:val="en-US"/>
        </w:rPr>
      </w:pPr>
      <w:r>
        <w:rPr>
          <w:sz w:val="36"/>
          <w:szCs w:val="36"/>
          <w:lang w:val="en-US"/>
        </w:rPr>
        <w:t xml:space="preserve">A national diagnostic framework for patients with ultra-rare disorders: molecular genetic findings using phenotypic and sequencing data</w:t>
      </w:r>
      <w:r/>
    </w:p>
    <w:p>
      <w:pPr>
        <w:rPr>
          <w:lang w:val="en-US"/>
        </w:rPr>
      </w:pPr>
      <w:r>
        <w:rPr>
          <w:lang w:val="en-US"/>
        </w:rPr>
      </w:r>
      <w:r/>
    </w:p>
    <w:p>
      <w:pPr>
        <w:rPr>
          <w:b/>
          <w:sz w:val="24"/>
          <w:szCs w:val="24"/>
          <w:lang w:val="en-US"/>
        </w:rPr>
      </w:pPr>
      <w:r>
        <w:rPr>
          <w:b/>
          <w:sz w:val="24"/>
          <w:szCs w:val="24"/>
          <w:lang w:val="en-US"/>
        </w:rPr>
      </w:r>
      <w:r/>
    </w:p>
    <w:p>
      <w:pPr>
        <w:rPr>
          <w:b/>
          <w:sz w:val="24"/>
          <w:szCs w:val="24"/>
          <w:lang w:val="en-US"/>
        </w:rPr>
      </w:pPr>
      <w:r>
        <w:rPr>
          <w:b/>
          <w:sz w:val="24"/>
          <w:szCs w:val="24"/>
          <w:lang w:val="en-US"/>
        </w:rPr>
      </w:r>
      <w:r/>
    </w:p>
    <w:p>
      <w:pPr>
        <w:rPr>
          <w:b/>
          <w:sz w:val="24"/>
          <w:szCs w:val="24"/>
          <w:lang w:val="en-US"/>
        </w:rPr>
      </w:pPr>
      <w:r>
        <w:rPr>
          <w:b/>
          <w:sz w:val="24"/>
          <w:szCs w:val="24"/>
          <w:lang w:val="en-US"/>
        </w:rPr>
      </w:r>
      <w:r/>
    </w:p>
    <w:p>
      <w:pPr>
        <w:rPr>
          <w:b/>
          <w:sz w:val="24"/>
          <w:szCs w:val="24"/>
          <w:lang w:val="en-US"/>
        </w:rPr>
      </w:pPr>
      <w:r>
        <w:rPr>
          <w:b/>
          <w:sz w:val="24"/>
          <w:szCs w:val="24"/>
          <w:lang w:val="en-US"/>
        </w:rPr>
      </w:r>
      <w:r/>
    </w:p>
    <w:p>
      <w:pPr>
        <w:rPr>
          <w:b/>
          <w:sz w:val="24"/>
          <w:szCs w:val="24"/>
          <w:lang w:val="en-US"/>
        </w:rPr>
      </w:pPr>
      <w:r>
        <w:rPr>
          <w:b/>
          <w:sz w:val="24"/>
          <w:szCs w:val="24"/>
          <w:lang w:val="en-US"/>
        </w:rPr>
        <w:t xml:space="preserve">Content</w:t>
      </w:r>
      <w:r/>
    </w:p>
    <w:sdt>
      <w:sdtPr>
        <w15:appearance w15:val="boundingBox"/>
        <w:id w:val="-545760188"/>
        <w:docPartObj>
          <w:docPartGallery w:val="Table of Contents"/>
          <w:docPartUnique w:val="true"/>
        </w:docPartObj>
        <w:rPr>
          <w:lang w:val="de-DE"/>
        </w:rPr>
      </w:sdtPr>
      <w:sdtContent>
        <w:p>
          <w:pPr>
            <w:pStyle w:val="835"/>
          </w:pPr>
          <w:r/>
          <w:r/>
        </w:p>
        <w:p>
          <w:pPr>
            <w:pStyle w:val="827"/>
            <w:tabs>
              <w:tab w:val="right" w:pos="9019" w:leader="dot"/>
            </w:tabs>
            <w:rPr>
              <w:rFonts w:asciiTheme="minorHAnsi" w:hAnsiTheme="minorHAnsi" w:eastAsiaTheme="minorEastAsia" w:cstheme="minorBidi"/>
              <w:lang w:val="de-DE"/>
            </w:rPr>
          </w:pPr>
          <w:r>
            <w:rPr>
              <w:b/>
              <w:bCs/>
            </w:rPr>
            <w:fldChar w:fldCharType="begin"/>
          </w:r>
          <w:r>
            <w:rPr>
              <w:b/>
              <w:bCs/>
            </w:rPr>
            <w:instrText xml:space="preserve"> TOC \o "1-3" \h \z \u </w:instrText>
          </w:r>
          <w:r>
            <w:rPr>
              <w:b/>
              <w:bCs/>
            </w:rPr>
            <w:fldChar w:fldCharType="separate"/>
          </w:r>
          <w:hyperlink w:tooltip="#_Toc90629811" w:anchor="_Toc90629811" w:history="1">
            <w:r>
              <w:rPr>
                <w:rStyle w:val="819"/>
                <w:lang w:val="en-US"/>
              </w:rPr>
              <w:t xml:space="preserve">Supplementary Methods</w:t>
            </w:r>
            <w:r>
              <w:tab/>
            </w:r>
            <w:r>
              <w:fldChar w:fldCharType="begin"/>
            </w:r>
            <w:r>
              <w:instrText xml:space="preserve"> PAGEREF _Toc90629811 \h </w:instrText>
            </w:r>
            <w:r>
              <w:fldChar w:fldCharType="separate"/>
            </w:r>
            <w:r>
              <w:t xml:space="preserve">2</w:t>
            </w:r>
            <w:r>
              <w:fldChar w:fldCharType="end"/>
            </w:r>
          </w:hyperlink>
          <w:r/>
          <w:r/>
        </w:p>
        <w:p>
          <w:pPr>
            <w:pStyle w:val="828"/>
            <w:tabs>
              <w:tab w:val="right" w:pos="9019" w:leader="dot"/>
            </w:tabs>
            <w:rPr>
              <w:rFonts w:asciiTheme="minorHAnsi" w:hAnsiTheme="minorHAnsi" w:eastAsiaTheme="minorEastAsia" w:cstheme="minorBidi"/>
              <w:lang w:val="de-DE"/>
            </w:rPr>
          </w:pPr>
          <w:r/>
          <w:hyperlink w:tooltip="#_Toc90629812" w:anchor="_Toc90629812" w:history="1">
            <w:r>
              <w:rPr>
                <w:rStyle w:val="819"/>
                <w:lang w:val="en-US"/>
              </w:rPr>
              <w:t xml:space="preserve">Enrolment, research ethics, and consent</w:t>
            </w:r>
            <w:r>
              <w:tab/>
            </w:r>
            <w:r>
              <w:fldChar w:fldCharType="begin"/>
            </w:r>
            <w:r>
              <w:instrText xml:space="preserve"> PAGEREF _Toc90629812 \h </w:instrText>
            </w:r>
            <w:r>
              <w:fldChar w:fldCharType="separate"/>
            </w:r>
            <w:r>
              <w:t xml:space="preserve">2</w:t>
            </w:r>
            <w:r>
              <w:fldChar w:fldCharType="end"/>
            </w:r>
          </w:hyperlink>
          <w:r/>
          <w:r/>
        </w:p>
        <w:p>
          <w:pPr>
            <w:pStyle w:val="828"/>
            <w:tabs>
              <w:tab w:val="right" w:pos="9019" w:leader="dot"/>
            </w:tabs>
            <w:rPr>
              <w:rFonts w:asciiTheme="minorHAnsi" w:hAnsiTheme="minorHAnsi" w:eastAsiaTheme="minorEastAsia" w:cstheme="minorBidi"/>
              <w:lang w:val="de-DE"/>
            </w:rPr>
          </w:pPr>
          <w:r/>
          <w:hyperlink w:tooltip="#_Toc90629813" w:anchor="_Toc90629813" w:history="1">
            <w:r>
              <w:rPr>
                <w:rStyle w:val="819"/>
                <w:lang w:val="en-US"/>
              </w:rPr>
              <w:t xml:space="preserve">Clinical and laboratory phenotype data</w:t>
            </w:r>
            <w:r>
              <w:tab/>
            </w:r>
            <w:r>
              <w:fldChar w:fldCharType="begin"/>
            </w:r>
            <w:r>
              <w:instrText xml:space="preserve"> PAGEREF _Toc90629813 \h </w:instrText>
            </w:r>
            <w:r>
              <w:fldChar w:fldCharType="separate"/>
            </w:r>
            <w:r>
              <w:t xml:space="preserve">2</w:t>
            </w:r>
            <w:r>
              <w:fldChar w:fldCharType="end"/>
            </w:r>
          </w:hyperlink>
          <w:r/>
          <w:r/>
        </w:p>
        <w:p>
          <w:pPr>
            <w:pStyle w:val="828"/>
            <w:tabs>
              <w:tab w:val="right" w:pos="9019" w:leader="dot"/>
            </w:tabs>
            <w:rPr>
              <w:rFonts w:asciiTheme="minorHAnsi" w:hAnsiTheme="minorHAnsi" w:eastAsiaTheme="minorEastAsia" w:cstheme="minorBidi"/>
              <w:lang w:val="de-DE"/>
            </w:rPr>
          </w:pPr>
          <w:r/>
          <w:hyperlink w:tooltip="#_Toc90629814" w:anchor="_Toc90629814" w:history="1">
            <w:r>
              <w:rPr>
                <w:rStyle w:val="819"/>
                <w:highlight w:val="white"/>
                <w:lang w:val="en-US"/>
              </w:rPr>
              <w:t xml:space="preserve">Visualization of phenotype space using UMAP</w:t>
            </w:r>
            <w:r>
              <w:tab/>
            </w:r>
            <w:r>
              <w:fldChar w:fldCharType="begin"/>
            </w:r>
            <w:r>
              <w:instrText xml:space="preserve"> PAGEREF _Toc90629814 \h </w:instrText>
            </w:r>
            <w:r>
              <w:fldChar w:fldCharType="separate"/>
            </w:r>
            <w:r>
              <w:t xml:space="preserve">2</w:t>
            </w:r>
            <w:r>
              <w:fldChar w:fldCharType="end"/>
            </w:r>
          </w:hyperlink>
          <w:r/>
          <w:r/>
        </w:p>
        <w:p>
          <w:pPr>
            <w:pStyle w:val="828"/>
            <w:tabs>
              <w:tab w:val="right" w:pos="9019" w:leader="dot"/>
            </w:tabs>
            <w:rPr>
              <w:rFonts w:asciiTheme="minorHAnsi" w:hAnsiTheme="minorHAnsi" w:eastAsiaTheme="minorEastAsia" w:cstheme="minorBidi"/>
              <w:lang w:val="de-DE"/>
            </w:rPr>
          </w:pPr>
          <w:r/>
          <w:hyperlink w:tooltip="#_Toc90629815" w:anchor="_Toc90629815" w:history="1">
            <w:r>
              <w:rPr>
                <w:rStyle w:val="819"/>
                <w:lang w:val="en-US"/>
              </w:rPr>
              <w:t xml:space="preserve">DNA sequencing</w:t>
            </w:r>
            <w:r>
              <w:tab/>
            </w:r>
            <w:r>
              <w:fldChar w:fldCharType="begin"/>
            </w:r>
            <w:r>
              <w:instrText xml:space="preserve"> PAGEREF _Toc90629815 \h </w:instrText>
            </w:r>
            <w:r>
              <w:fldChar w:fldCharType="separate"/>
            </w:r>
            <w:r>
              <w:t xml:space="preserve">2</w:t>
            </w:r>
            <w:r>
              <w:fldChar w:fldCharType="end"/>
            </w:r>
          </w:hyperlink>
          <w:r/>
          <w:r/>
        </w:p>
        <w:p>
          <w:pPr>
            <w:pStyle w:val="828"/>
            <w:tabs>
              <w:tab w:val="right" w:pos="9019" w:leader="dot"/>
            </w:tabs>
            <w:rPr>
              <w:rFonts w:asciiTheme="minorHAnsi" w:hAnsiTheme="minorHAnsi" w:eastAsiaTheme="minorEastAsia" w:cstheme="minorBidi"/>
              <w:lang w:val="de-DE"/>
            </w:rPr>
          </w:pPr>
          <w:r/>
          <w:hyperlink w:tooltip="#_Toc90629816" w:anchor="_Toc90629816" w:history="1">
            <w:r>
              <w:rPr>
                <w:rStyle w:val="819"/>
                <w:lang w:val="en-US"/>
              </w:rPr>
              <w:t xml:space="preserve">ES data-processing pipeline</w:t>
            </w:r>
            <w:r>
              <w:tab/>
            </w:r>
            <w:r>
              <w:fldChar w:fldCharType="begin"/>
            </w:r>
            <w:r>
              <w:instrText xml:space="preserve"> PAGEREF _Toc90629816 \h </w:instrText>
            </w:r>
            <w:r>
              <w:fldChar w:fldCharType="separate"/>
            </w:r>
            <w:r>
              <w:t xml:space="preserve">3</w:t>
            </w:r>
            <w:r>
              <w:fldChar w:fldCharType="end"/>
            </w:r>
          </w:hyperlink>
          <w:r/>
          <w:r/>
        </w:p>
        <w:p>
          <w:pPr>
            <w:pStyle w:val="828"/>
            <w:tabs>
              <w:tab w:val="right" w:pos="9019" w:leader="dot"/>
            </w:tabs>
            <w:rPr>
              <w:rFonts w:asciiTheme="minorHAnsi" w:hAnsiTheme="minorHAnsi" w:eastAsiaTheme="minorEastAsia" w:cstheme="minorBidi"/>
              <w:lang w:val="de-DE"/>
            </w:rPr>
          </w:pPr>
          <w:r/>
          <w:hyperlink w:tooltip="#_Toc90629817" w:anchor="_Toc90629817" w:history="1">
            <w:r>
              <w:rPr>
                <w:rStyle w:val="819"/>
                <w:highlight w:val="white"/>
                <w:lang w:val="en-US"/>
              </w:rPr>
              <w:t xml:space="preserve">Data availability</w:t>
            </w:r>
            <w:r>
              <w:tab/>
            </w:r>
            <w:r>
              <w:fldChar w:fldCharType="begin"/>
            </w:r>
            <w:r>
              <w:instrText xml:space="preserve"> PAGEREF _Toc90629817 \h </w:instrText>
            </w:r>
            <w:r>
              <w:fldChar w:fldCharType="separate"/>
            </w:r>
            <w:r>
              <w:t xml:space="preserve">3</w:t>
            </w:r>
            <w:r>
              <w:fldChar w:fldCharType="end"/>
            </w:r>
          </w:hyperlink>
          <w:r/>
          <w:r/>
        </w:p>
        <w:p>
          <w:pPr>
            <w:pStyle w:val="827"/>
            <w:tabs>
              <w:tab w:val="right" w:pos="9019" w:leader="dot"/>
            </w:tabs>
            <w:rPr>
              <w:rFonts w:asciiTheme="minorHAnsi" w:hAnsiTheme="minorHAnsi" w:eastAsiaTheme="minorEastAsia" w:cstheme="minorBidi"/>
              <w:lang w:val="de-DE"/>
            </w:rPr>
          </w:pPr>
          <w:r/>
          <w:hyperlink w:tooltip="#_Toc90629818" w:anchor="_Toc90629818" w:history="1">
            <w:r>
              <w:rPr>
                <w:rStyle w:val="819"/>
                <w:lang w:val="en-US"/>
              </w:rPr>
              <w:t xml:space="preserve">Supplementary Results</w:t>
            </w:r>
            <w:r>
              <w:tab/>
            </w:r>
            <w:r>
              <w:fldChar w:fldCharType="begin"/>
            </w:r>
            <w:r>
              <w:instrText xml:space="preserve"> PAGEREF _Toc90629818 \h </w:instrText>
            </w:r>
            <w:r>
              <w:fldChar w:fldCharType="separate"/>
            </w:r>
            <w:r>
              <w:t xml:space="preserve">4</w:t>
            </w:r>
            <w:r>
              <w:fldChar w:fldCharType="end"/>
            </w:r>
          </w:hyperlink>
          <w:r/>
          <w:r/>
        </w:p>
        <w:p>
          <w:pPr>
            <w:pStyle w:val="828"/>
            <w:tabs>
              <w:tab w:val="right" w:pos="9019" w:leader="dot"/>
            </w:tabs>
            <w:rPr>
              <w:rFonts w:asciiTheme="minorHAnsi" w:hAnsiTheme="minorHAnsi" w:eastAsiaTheme="minorEastAsia" w:cstheme="minorBidi"/>
              <w:lang w:val="de-DE"/>
            </w:rPr>
          </w:pPr>
          <w:r/>
          <w:hyperlink w:tooltip="#_Toc90629819" w:anchor="_Toc90629819" w:history="1">
            <w:r>
              <w:rPr>
                <w:rStyle w:val="819"/>
                <w:highlight w:val="white"/>
                <w:lang w:val="en-US"/>
              </w:rPr>
              <w:t xml:space="preserve">Parental Mosaicism</w:t>
            </w:r>
            <w:r>
              <w:tab/>
            </w:r>
            <w:r>
              <w:fldChar w:fldCharType="begin"/>
            </w:r>
            <w:r>
              <w:instrText xml:space="preserve"> PAGEREF _Toc90629819 \h </w:instrText>
            </w:r>
            <w:r>
              <w:fldChar w:fldCharType="separate"/>
            </w:r>
            <w:r>
              <w:t xml:space="preserve">4</w:t>
            </w:r>
            <w:r>
              <w:fldChar w:fldCharType="end"/>
            </w:r>
          </w:hyperlink>
          <w:r/>
          <w:r/>
        </w:p>
        <w:p>
          <w:pPr>
            <w:pStyle w:val="828"/>
            <w:tabs>
              <w:tab w:val="right" w:pos="9019" w:leader="dot"/>
            </w:tabs>
            <w:rPr>
              <w:rFonts w:asciiTheme="minorHAnsi" w:hAnsiTheme="minorHAnsi" w:eastAsiaTheme="minorEastAsia" w:cstheme="minorBidi"/>
              <w:lang w:val="de-DE"/>
            </w:rPr>
          </w:pPr>
          <w:r/>
          <w:hyperlink w:tooltip="#_Toc90629820" w:anchor="_Toc90629820" w:history="1">
            <w:r>
              <w:rPr>
                <w:rStyle w:val="819"/>
                <w:highlight w:val="white"/>
                <w:lang w:val="en-US"/>
              </w:rPr>
              <w:t xml:space="preserve">Novel disease candidate genes</w:t>
            </w:r>
            <w:r>
              <w:tab/>
            </w:r>
            <w:r>
              <w:fldChar w:fldCharType="begin"/>
            </w:r>
            <w:r>
              <w:instrText xml:space="preserve"> PAGEREF _Toc90629820 \h </w:instrText>
            </w:r>
            <w:r>
              <w:fldChar w:fldCharType="separate"/>
            </w:r>
            <w:r>
              <w:t xml:space="preserve">5</w:t>
            </w:r>
            <w:r>
              <w:fldChar w:fldCharType="end"/>
            </w:r>
          </w:hyperlink>
          <w:r/>
          <w:r/>
        </w:p>
        <w:p>
          <w:pPr>
            <w:pStyle w:val="828"/>
            <w:tabs>
              <w:tab w:val="right" w:pos="9019" w:leader="dot"/>
            </w:tabs>
            <w:rPr>
              <w:rFonts w:asciiTheme="minorHAnsi" w:hAnsiTheme="minorHAnsi" w:eastAsiaTheme="minorEastAsia" w:cstheme="minorBidi"/>
              <w:lang w:val="de-DE"/>
            </w:rPr>
          </w:pPr>
          <w:r/>
          <w:hyperlink w:tooltip="#_Toc90629821" w:anchor="_Toc90629821" w:history="1">
            <w:r>
              <w:rPr>
                <w:rStyle w:val="819"/>
                <w:highlight w:val="white"/>
                <w:lang w:val="en-US"/>
              </w:rPr>
              <w:t xml:space="preserve">Case reports of particular interest</w:t>
            </w:r>
            <w:r>
              <w:tab/>
            </w:r>
            <w:r>
              <w:fldChar w:fldCharType="begin"/>
            </w:r>
            <w:r>
              <w:instrText xml:space="preserve"> PAGEREF _Toc90629821 \h </w:instrText>
            </w:r>
            <w:r>
              <w:fldChar w:fldCharType="separate"/>
            </w:r>
            <w:r>
              <w:t xml:space="preserve">5</w:t>
            </w:r>
            <w:r>
              <w:fldChar w:fldCharType="end"/>
            </w:r>
          </w:hyperlink>
          <w:r/>
          <w:r/>
        </w:p>
        <w:p>
          <w:pPr>
            <w:pStyle w:val="828"/>
            <w:tabs>
              <w:tab w:val="right" w:pos="9019" w:leader="dot"/>
            </w:tabs>
            <w:rPr>
              <w:rFonts w:asciiTheme="minorHAnsi" w:hAnsiTheme="minorHAnsi" w:eastAsiaTheme="minorEastAsia" w:cstheme="minorBidi"/>
              <w:lang w:val="de-DE"/>
            </w:rPr>
          </w:pPr>
          <w:r/>
          <w:hyperlink w:tooltip="#_Toc90629822" w:anchor="_Toc90629822" w:history="1">
            <w:r>
              <w:rPr>
                <w:rStyle w:val="819"/>
                <w:highlight w:val="white"/>
                <w:lang w:val="en-US"/>
              </w:rPr>
              <w:t xml:space="preserve">Comparison of reported disease genes in TRANSLATE-NAMSE to other cohorts</w:t>
            </w:r>
            <w:r>
              <w:tab/>
            </w:r>
            <w:r>
              <w:fldChar w:fldCharType="begin"/>
            </w:r>
            <w:r>
              <w:instrText xml:space="preserve"> PAGEREF _Toc90629822 \h </w:instrText>
            </w:r>
            <w:r>
              <w:fldChar w:fldCharType="separate"/>
            </w:r>
            <w:r>
              <w:t xml:space="preserve">8</w:t>
            </w:r>
            <w:r>
              <w:fldChar w:fldCharType="end"/>
            </w:r>
          </w:hyperlink>
          <w:r/>
          <w:r/>
        </w:p>
        <w:p>
          <w:pPr>
            <w:pStyle w:val="828"/>
            <w:tabs>
              <w:tab w:val="right" w:pos="9019" w:leader="dot"/>
            </w:tabs>
            <w:rPr>
              <w:rFonts w:asciiTheme="minorHAnsi" w:hAnsiTheme="minorHAnsi" w:eastAsiaTheme="minorEastAsia" w:cstheme="minorBidi"/>
              <w:lang w:val="de-DE"/>
            </w:rPr>
          </w:pPr>
          <w:r/>
          <w:hyperlink w:tooltip="#_Toc90629823" w:anchor="_Toc90629823" w:history="1">
            <w:r>
              <w:rPr>
                <w:rStyle w:val="819"/>
                <w:highlight w:val="white"/>
                <w:lang w:val="en-US"/>
              </w:rPr>
              <w:t xml:space="preserve">Predictor for diagnostic yield</w:t>
            </w:r>
            <w:r>
              <w:tab/>
            </w:r>
            <w:r>
              <w:fldChar w:fldCharType="begin"/>
            </w:r>
            <w:r>
              <w:instrText xml:space="preserve"> PAGEREF _Toc90629823 \h </w:instrText>
            </w:r>
            <w:r>
              <w:fldChar w:fldCharType="separate"/>
            </w:r>
            <w:r>
              <w:t xml:space="preserve">8</w:t>
            </w:r>
            <w:r>
              <w:fldChar w:fldCharType="end"/>
            </w:r>
          </w:hyperlink>
          <w:r/>
          <w:r/>
        </w:p>
        <w:p>
          <w:pPr>
            <w:pStyle w:val="828"/>
            <w:tabs>
              <w:tab w:val="right" w:pos="9019" w:leader="dot"/>
            </w:tabs>
            <w:rPr>
              <w:rFonts w:asciiTheme="minorHAnsi" w:hAnsiTheme="minorHAnsi" w:eastAsiaTheme="minorEastAsia" w:cstheme="minorBidi"/>
              <w:lang w:val="de-DE"/>
            </w:rPr>
          </w:pPr>
          <w:r/>
          <w:hyperlink w:tooltip="#_Toc90629824" w:anchor="_Toc90629824" w:history="1">
            <w:r>
              <w:rPr>
                <w:rStyle w:val="819"/>
                <w:highlight w:val="white"/>
                <w:lang w:val="en-US"/>
              </w:rPr>
              <w:t xml:space="preserve">Gene length calculation</w:t>
            </w:r>
            <w:r>
              <w:tab/>
            </w:r>
            <w:r>
              <w:fldChar w:fldCharType="begin"/>
            </w:r>
            <w:r>
              <w:instrText xml:space="preserve"> PAGEREF _Toc90629824 \h </w:instrText>
            </w:r>
            <w:r>
              <w:fldChar w:fldCharType="separate"/>
            </w:r>
            <w:r>
              <w:t xml:space="preserve">9</w:t>
            </w:r>
            <w:r>
              <w:fldChar w:fldCharType="end"/>
            </w:r>
          </w:hyperlink>
          <w:r/>
          <w:r/>
        </w:p>
        <w:p>
          <w:pPr>
            <w:pStyle w:val="828"/>
            <w:tabs>
              <w:tab w:val="right" w:pos="9019" w:leader="dot"/>
            </w:tabs>
            <w:rPr>
              <w:rFonts w:asciiTheme="minorHAnsi" w:hAnsiTheme="minorHAnsi" w:eastAsiaTheme="minorEastAsia" w:cstheme="minorBidi"/>
              <w:lang w:val="de-DE"/>
            </w:rPr>
          </w:pPr>
          <w:r/>
          <w:hyperlink w:tooltip="#_Toc90629825" w:anchor="_Toc90629825" w:history="1">
            <w:r>
              <w:rPr>
                <w:rStyle w:val="819"/>
                <w:lang w:val="en-US"/>
              </w:rPr>
              <w:t xml:space="preserve">Secondary Findings</w:t>
            </w:r>
            <w:r>
              <w:tab/>
            </w:r>
            <w:r>
              <w:fldChar w:fldCharType="begin"/>
            </w:r>
            <w:r>
              <w:instrText xml:space="preserve"> PAGEREF _Toc90629825 \h </w:instrText>
            </w:r>
            <w:r>
              <w:fldChar w:fldCharType="separate"/>
            </w:r>
            <w:r>
              <w:t xml:space="preserve">9</w:t>
            </w:r>
            <w:r>
              <w:fldChar w:fldCharType="end"/>
            </w:r>
          </w:hyperlink>
          <w:r/>
          <w:r/>
        </w:p>
        <w:p>
          <w:pPr>
            <w:pStyle w:val="827"/>
            <w:tabs>
              <w:tab w:val="right" w:pos="9019" w:leader="dot"/>
            </w:tabs>
            <w:rPr>
              <w:rFonts w:asciiTheme="minorHAnsi" w:hAnsiTheme="minorHAnsi" w:eastAsiaTheme="minorEastAsia" w:cstheme="minorBidi"/>
              <w:lang w:val="de-DE"/>
            </w:rPr>
          </w:pPr>
          <w:r/>
          <w:hyperlink w:tooltip="#_Toc90629826" w:anchor="_Toc90629826" w:history="1">
            <w:r>
              <w:rPr>
                <w:rStyle w:val="819"/>
                <w:lang w:val="en-US"/>
              </w:rPr>
              <w:t xml:space="preserve">References</w:t>
            </w:r>
            <w:r>
              <w:tab/>
            </w:r>
            <w:r>
              <w:fldChar w:fldCharType="begin"/>
            </w:r>
            <w:r>
              <w:instrText xml:space="preserve"> PAGEREF _Toc90629826 \h </w:instrText>
            </w:r>
            <w:r>
              <w:fldChar w:fldCharType="separate"/>
            </w:r>
            <w:r>
              <w:t xml:space="preserve">12</w:t>
            </w:r>
            <w:r>
              <w:fldChar w:fldCharType="end"/>
            </w:r>
          </w:hyperlink>
          <w:r/>
          <w:r/>
        </w:p>
        <w:p>
          <w:pPr>
            <w:pStyle w:val="827"/>
            <w:tabs>
              <w:tab w:val="right" w:pos="9019" w:leader="dot"/>
            </w:tabs>
            <w:rPr>
              <w:rFonts w:asciiTheme="minorHAnsi" w:hAnsiTheme="minorHAnsi" w:eastAsiaTheme="minorEastAsia" w:cstheme="minorBidi"/>
              <w:lang w:val="de-DE"/>
            </w:rPr>
          </w:pPr>
          <w:r/>
          <w:hyperlink w:tooltip="#_Toc90629827" w:anchor="_Toc90629827" w:history="1">
            <w:r>
              <w:rPr>
                <w:rStyle w:val="819"/>
                <w:lang w:val="en-US"/>
              </w:rPr>
              <w:t xml:space="preserve">Supplementary Figures</w:t>
            </w:r>
            <w:r>
              <w:tab/>
            </w:r>
            <w:r>
              <w:fldChar w:fldCharType="begin"/>
            </w:r>
            <w:r>
              <w:instrText xml:space="preserve"> PAGEREF _Toc90629827 \h </w:instrText>
            </w:r>
            <w:r>
              <w:fldChar w:fldCharType="separate"/>
            </w:r>
            <w:r>
              <w:t xml:space="preserve">14</w:t>
            </w:r>
            <w:r>
              <w:fldChar w:fldCharType="end"/>
            </w:r>
          </w:hyperlink>
          <w:r/>
          <w:r/>
        </w:p>
        <w:p>
          <w:pPr>
            <w:pStyle w:val="827"/>
            <w:tabs>
              <w:tab w:val="right" w:pos="9019" w:leader="dot"/>
            </w:tabs>
            <w:rPr>
              <w:rFonts w:asciiTheme="minorHAnsi" w:hAnsiTheme="minorHAnsi" w:eastAsiaTheme="minorEastAsia" w:cstheme="minorBidi"/>
              <w:lang w:val="de-DE"/>
            </w:rPr>
          </w:pPr>
          <w:r/>
          <w:hyperlink w:tooltip="#_Toc90629828" w:anchor="_Toc90629828" w:history="1">
            <w:r>
              <w:rPr>
                <w:rStyle w:val="819"/>
                <w:lang w:val="en-US"/>
              </w:rPr>
              <w:t xml:space="preserve">Supplementary Tables</w:t>
            </w:r>
            <w:r>
              <w:tab/>
            </w:r>
            <w:r>
              <w:fldChar w:fldCharType="begin"/>
            </w:r>
            <w:r>
              <w:instrText xml:space="preserve"> PAGEREF _Toc90629828 \h </w:instrText>
            </w:r>
            <w:r>
              <w:fldChar w:fldCharType="separate"/>
            </w:r>
            <w:r>
              <w:t xml:space="preserve">20</w:t>
            </w:r>
            <w:r>
              <w:fldChar w:fldCharType="end"/>
            </w:r>
          </w:hyperlink>
          <w:r/>
          <w:r/>
        </w:p>
        <w:p>
          <w:r>
            <w:rPr>
              <w:b/>
              <w:bCs/>
            </w:rPr>
            <w:fldChar w:fldCharType="end"/>
          </w:r>
          <w:r/>
        </w:p>
      </w:sdtContent>
    </w:sdt>
    <w:p>
      <w:pPr>
        <w:rPr>
          <w:b/>
          <w:sz w:val="24"/>
          <w:szCs w:val="24"/>
          <w:lang w:val="en-US"/>
        </w:rPr>
      </w:pPr>
      <w:r>
        <w:rPr>
          <w:b/>
          <w:sz w:val="24"/>
          <w:szCs w:val="24"/>
          <w:lang w:val="en-US"/>
        </w:rPr>
        <w:br w:type="page"/>
      </w:r>
      <w:r/>
    </w:p>
    <w:p>
      <w:pPr>
        <w:pStyle w:val="642"/>
        <w:rPr>
          <w:lang w:val="en-US"/>
        </w:rPr>
      </w:pPr>
      <w:r/>
      <w:bookmarkStart w:id="0" w:name="_Toc90629811"/>
      <w:r>
        <w:rPr>
          <w:lang w:val="en-US"/>
        </w:rPr>
        <w:t xml:space="preserve">Supplementary Methods</w:t>
      </w:r>
      <w:bookmarkEnd w:id="0"/>
      <w:r/>
      <w:r/>
    </w:p>
    <w:p>
      <w:pPr>
        <w:pStyle w:val="643"/>
        <w:rPr>
          <w:lang w:val="en-US"/>
        </w:rPr>
      </w:pPr>
      <w:r/>
      <w:bookmarkStart w:id="1" w:name="_Toc90629812"/>
      <w:r>
        <w:rPr>
          <w:lang w:val="en-US"/>
        </w:rPr>
        <w:t xml:space="preserve">Enrolment, research ethics, and consent</w:t>
      </w:r>
      <w:bookmarkEnd w:id="1"/>
      <w:r/>
      <w:r/>
    </w:p>
    <w:p>
      <w:pPr>
        <w:jc w:val="both"/>
        <w:spacing w:lineRule="auto" w:line="240"/>
        <w:rPr>
          <w:lang w:val="en-US"/>
        </w:rPr>
      </w:pPr>
      <w:r>
        <w:rPr>
          <w:lang w:val="en-US"/>
        </w:rPr>
        <w:t xml:space="preserve">Study participants were enrolled in TRANSLATE-NAMSE from 10 different centers for rare diseases (CRD/ZSE) in Berlin, Bochum, Bonn, Dresden, Duisburg/Essen, Hamburg, Heide</w:t>
      </w:r>
      <w:r>
        <w:rPr>
          <w:lang w:val="en-US"/>
        </w:rPr>
        <w:t xml:space="preserve">lberg, Kiel/Lübeck, München, and Tübingen between January 2018 and December 2020 under the overall coordination of the Institute of Public Health Berlin. The study was approved by the internal review boards (IRBs) of all participating institutions and all </w:t>
      </w:r>
      <w:r>
        <w:rPr>
          <w:lang w:val="en-US"/>
        </w:rPr>
        <w:t xml:space="preserve">patients</w:t>
      </w:r>
      <w:r>
        <w:rPr>
          <w:lang w:val="en-US"/>
        </w:rPr>
        <w:t xml:space="preserve"> or their legal guardians provided written informed consent. </w:t>
      </w:r>
      <w:r/>
    </w:p>
    <w:p>
      <w:pPr>
        <w:pStyle w:val="643"/>
        <w:rPr>
          <w:lang w:val="en-US"/>
        </w:rPr>
      </w:pPr>
      <w:r/>
      <w:bookmarkStart w:id="2" w:name="_Toc90629813"/>
      <w:r>
        <w:rPr>
          <w:lang w:val="en-US"/>
        </w:rPr>
        <w:t xml:space="preserve">Clinical and laboratory phenotype data</w:t>
      </w:r>
      <w:bookmarkEnd w:id="2"/>
      <w:r/>
      <w:r/>
    </w:p>
    <w:p>
      <w:pPr>
        <w:jc w:val="both"/>
        <w:spacing w:lineRule="auto" w:line="240" w:after="240" w:before="240"/>
        <w:rPr>
          <w:highlight w:val="white"/>
          <w:lang w:val="en-US"/>
        </w:rPr>
      </w:pPr>
      <w:r>
        <w:rPr>
          <w:lang w:val="en-US"/>
        </w:rPr>
        <w:t xml:space="preserve">Multidisciplinary teams (MDTs) at hospitals responsible for enrolment were provided with the e</w:t>
      </w:r>
      <w:r>
        <w:rPr>
          <w:lang w:val="en-US"/>
        </w:rPr>
        <w:t xml:space="preserve">ligibility criteria for the study. The clinical and laboratory phenotype data were transferred to the sequencing laboratory through case report forms by paper questionnaires or by online data capture applications (Fac2Gene Clinic). Online data capture allo</w:t>
      </w:r>
      <w:r>
        <w:rPr>
          <w:lang w:val="en-US"/>
        </w:rPr>
        <w:t xml:space="preserve">wed for the free entry of Human Phenotype Ontology (HPO) terms, data from paper questionnaires and free-text entries were transformed into HPO terms. The phenotypes reported in this study are based on the phenotypes reported to the sequencing laboratories.</w:t>
      </w:r>
      <w:r>
        <w:rPr>
          <w:highlight w:val="white"/>
          <w:lang w:val="en-US"/>
        </w:rPr>
        <w:t xml:space="preserve"> On average, five HPO-terms were used per individual (</w:t>
      </w:r>
      <w:r>
        <w:rPr>
          <w:b/>
          <w:highlight w:val="white"/>
          <w:lang w:val="en-US"/>
        </w:rPr>
        <w:t xml:space="preserve">Supplementary Figure 1</w:t>
      </w:r>
      <w:r>
        <w:rPr>
          <w:highlight w:val="white"/>
          <w:lang w:val="en-US"/>
        </w:rPr>
        <w:t xml:space="preserve">).Since</w:t>
      </w:r>
      <w:r>
        <w:rPr>
          <w:highlight w:val="white"/>
          <w:lang w:val="en-US"/>
        </w:rPr>
        <w:t xml:space="preserve"> the TRANSLATE-NAMSE cohort represents a very heterogeneous group of patients with rare diseases, the clinical symptoms were first divided into six main disease categories. This allowed a more concrete statement on diagnostic </w:t>
      </w:r>
      <w:r>
        <w:rPr>
          <w:highlight w:val="white"/>
          <w:lang w:val="en-US"/>
        </w:rPr>
        <w:t xml:space="preserve">yield in relation to the clinical symptoms of the patient. In the further course, all assigned HPO terms (n=1590) were compiled and divided into higher-order groups (12) and subcategories (49) by clinician experts. The following groups could be defined: 1-</w:t>
      </w:r>
      <w:r>
        <w:rPr>
          <w:highlight w:val="white"/>
          <w:lang w:val="en-US"/>
        </w:rPr>
        <w:t xml:space="preserve">neurodevelop</w:t>
      </w:r>
      <w:r>
        <w:rPr>
          <w:highlight w:val="white"/>
          <w:lang w:val="en-US"/>
        </w:rPr>
        <w:t xml:space="preserve">mental, 2-neuromuscular, 3-seizures, 4-growth disorders, 5-facial dysmorphism, 6-abnormality of connective tissue, 7-cong</w:t>
      </w:r>
      <w:r>
        <w:rPr>
          <w:highlight w:val="white"/>
          <w:lang w:val="en-US"/>
        </w:rPr>
        <w:t xml:space="preserve">enital malformations, 8-endocrine and metabolic abnormalities, 9-immune and hematological abnormalities, 10-sensory organs alterations, 11-abnormal findings of brain MRI, 12-others. Within the respective subgroups, further subdivisions (n=49) were applied.</w:t>
      </w:r>
      <w:r/>
    </w:p>
    <w:p>
      <w:pPr>
        <w:pStyle w:val="643"/>
        <w:rPr>
          <w:highlight w:val="white"/>
          <w:lang w:val="en-US"/>
        </w:rPr>
      </w:pPr>
      <w:r/>
      <w:bookmarkStart w:id="3" w:name="_Toc90629814"/>
      <w:r>
        <w:rPr>
          <w:highlight w:val="white"/>
          <w:lang w:val="en-US"/>
        </w:rPr>
        <w:t xml:space="preserve">Visualization of phenotype space using UMAP</w:t>
      </w:r>
      <w:bookmarkEnd w:id="3"/>
      <w:r/>
      <w:r/>
    </w:p>
    <w:p>
      <w:pPr>
        <w:jc w:val="both"/>
        <w:spacing w:lineRule="auto" w:line="240" w:after="240" w:before="240"/>
        <w:rPr>
          <w:highlight w:val="white"/>
          <w:lang w:val="en-US"/>
        </w:rPr>
      </w:pPr>
      <w:r>
        <w:rPr>
          <w:highlight w:val="white"/>
          <w:lang w:val="en-US"/>
        </w:rPr>
        <w:t xml:space="preserve">First, diseases and their symptoms were downloaded from the HPO website (</w:t>
      </w:r>
      <w:r>
        <w:rPr>
          <w:highlight w:val="white"/>
          <w:lang w:val="en-US"/>
        </w:rPr>
        <w:t xml:space="preserve">https://hpo.jax.org/app/download/annotation ,</w:t>
      </w:r>
      <w:r>
        <w:rPr>
          <w:highlight w:val="white"/>
          <w:lang w:val="en-US"/>
        </w:rPr>
        <w:t xml:space="preserve"> file: genes_to_phenotype.txt, downloaded </w:t>
      </w:r>
      <w:r>
        <w:rPr>
          <w:highlight w:val="white"/>
          <w:lang w:val="en-US"/>
        </w:rPr>
        <w:t xml:space="preserve">on 10 April 2021). The disease data were merged with the data of individuals from TRANSLATE-NAMSE by treating each disease-ID as one individual. Now the similarities of the HPO terms between all pairs of individuals could be calculated using the R package </w:t>
      </w:r>
      <w:r>
        <w:rPr>
          <w:highlight w:val="white"/>
          <w:lang w:val="en-US"/>
        </w:rPr>
        <w:t xml:space="preserve">ontologySimilarity</w:t>
      </w:r>
      <w:r>
        <w:rPr>
          <w:highlight w:val="white"/>
          <w:lang w:val="en-US"/>
        </w:rPr>
        <w:t xml:space="preserve">. The similarities were then converted to a distance matrix and projected into a four-dimensional space by UMAP. Subsequently, the first two dimensions of this projection were plotted using ggplot2 (version 3.3.4).</w:t>
      </w:r>
      <w:r/>
    </w:p>
    <w:p>
      <w:pPr>
        <w:pStyle w:val="643"/>
        <w:rPr>
          <w:lang w:val="en-US"/>
        </w:rPr>
      </w:pPr>
      <w:r/>
      <w:bookmarkStart w:id="4" w:name="_Toc90629815"/>
      <w:r>
        <w:rPr>
          <w:lang w:val="en-US"/>
        </w:rPr>
        <w:t xml:space="preserve">DNA sequencing</w:t>
      </w:r>
      <w:bookmarkEnd w:id="4"/>
      <w:r>
        <w:rPr>
          <w:lang w:val="en-US"/>
        </w:rPr>
        <w:t xml:space="preserve"> </w:t>
      </w:r>
      <w:r/>
    </w:p>
    <w:p>
      <w:pPr>
        <w:jc w:val="both"/>
        <w:spacing w:lineRule="auto" w:line="240"/>
        <w:rPr>
          <w:lang w:val="en-US"/>
        </w:rPr>
      </w:pPr>
      <w:r>
        <w:rPr>
          <w:lang w:val="en-US"/>
        </w:rPr>
        <w:t xml:space="preserve">EDTA-treated whole-blood samples or saliva kits were delivered to one of five participating</w:t>
      </w:r>
      <w:r>
        <w:rPr>
          <w:lang w:val="en-US"/>
        </w:rPr>
        <w:t xml:space="preserve"> labs for further processing: After DNA extraction, fragment size and purity were assessed. If DNA fulfilled the quality criteria the sample was submitted to sequencing. Exome sequencing (ES) was performed on exon targets isolated by capture using Agilent </w:t>
      </w:r>
      <w:r>
        <w:rPr>
          <w:lang w:val="en-US"/>
        </w:rPr>
        <w:t xml:space="preserve">SureSelect</w:t>
      </w:r>
      <w:r>
        <w:rPr>
          <w:lang w:val="en-US"/>
        </w:rPr>
        <w:t xml:space="preserve"> Human All Exon kits v6 or v7 (Agilent Technologies, Santa Clara, USA), or Human Core Exome kit (Twist Bios</w:t>
      </w:r>
      <w:r>
        <w:rPr>
          <w:lang w:val="en-US"/>
        </w:rPr>
        <w:t xml:space="preserve">cience, San Francisco, USA). One microgram of DNA was sheared into 350- to 400-bp fragments, which were then repaired, ligated to adaptors, and purified for subsequent polymerase chain reaction (PCR) amplification. Amplified products were then captured by </w:t>
      </w:r>
      <w:r>
        <w:rPr>
          <w:lang w:val="en-US"/>
        </w:rPr>
        <w:t xml:space="preserve">biotinylated RNA library baits in solution according to the manufacturer’s instructions. Bound DNA was isolated with streptavidin-coated beads and reamplified. The final isolated products were sequenced using the Illumina </w:t>
      </w:r>
      <w:r>
        <w:rPr>
          <w:lang w:val="en-US"/>
        </w:rPr>
        <w:t xml:space="preserve">HiSeq</w:t>
      </w:r>
      <w:r>
        <w:rPr>
          <w:lang w:val="en-US"/>
        </w:rPr>
        <w:t xml:space="preserve"> 2500 or </w:t>
      </w:r>
      <w:r>
        <w:rPr>
          <w:lang w:val="en-US"/>
        </w:rPr>
        <w:t xml:space="preserve">NovaSeq</w:t>
      </w:r>
      <w:r>
        <w:rPr>
          <w:lang w:val="en-US"/>
        </w:rPr>
        <w:t xml:space="preserve"> 6000 sequencing system with 100-bp, 125bp or 150-</w:t>
      </w:r>
      <w:r>
        <w:rPr>
          <w:lang w:val="en-US"/>
        </w:rPr>
        <w:t xml:space="preserve">bp  paired</w:t>
      </w:r>
      <w:r>
        <w:rPr>
          <w:lang w:val="en-US"/>
        </w:rPr>
        <w:t xml:space="preserve">-end reads  (Illumina,  San Diego, CA). All sequencing centers have ensured coverage of over 20x in over 95% of the </w:t>
      </w:r>
      <w:r>
        <w:rPr>
          <w:lang w:val="en-US"/>
        </w:rPr>
        <w:t xml:space="preserve">RefSeq</w:t>
      </w:r>
      <w:r>
        <w:rPr>
          <w:lang w:val="en-US"/>
        </w:rPr>
        <w:t xml:space="preserve"> target region (</w:t>
      </w:r>
      <w:r>
        <w:rPr>
          <w:b/>
          <w:lang w:val="en-US"/>
        </w:rPr>
        <w:t xml:space="preserve">Supplemental Figure 2)</w:t>
      </w:r>
      <w:r>
        <w:rPr>
          <w:lang w:val="en-US"/>
        </w:rPr>
        <w:t xml:space="preserve">.</w:t>
      </w:r>
      <w:r/>
    </w:p>
    <w:p>
      <w:pPr>
        <w:jc w:val="both"/>
        <w:spacing w:lineRule="auto" w:line="240"/>
        <w:rPr>
          <w:lang w:val="en-US"/>
        </w:rPr>
      </w:pPr>
      <w:r>
        <w:rPr>
          <w:lang w:val="en-US"/>
        </w:rPr>
      </w:r>
      <w:r/>
    </w:p>
    <w:p>
      <w:pPr>
        <w:pStyle w:val="643"/>
        <w:rPr>
          <w:lang w:val="en-US"/>
        </w:rPr>
      </w:pPr>
      <w:r/>
      <w:bookmarkStart w:id="5" w:name="_Toc90629816"/>
      <w:r>
        <w:rPr>
          <w:lang w:val="en-US"/>
        </w:rPr>
        <w:t xml:space="preserve">ES data-processing pipeline</w:t>
      </w:r>
      <w:bookmarkEnd w:id="5"/>
      <w:r/>
      <w:r/>
    </w:p>
    <w:p>
      <w:pPr>
        <w:jc w:val="both"/>
        <w:spacing w:lineRule="auto" w:line="240"/>
        <w:rPr>
          <w:lang w:val="en-US"/>
        </w:rPr>
      </w:pPr>
      <w:r>
        <w:rPr>
          <w:lang w:val="en-US"/>
        </w:rPr>
        <w:t xml:space="preserve">All four data generating sites used ES processing pipelines that have been descr</w:t>
      </w:r>
      <w:r>
        <w:rPr>
          <w:lang w:val="en-US"/>
        </w:rPr>
        <w:t xml:space="preserve">ibed in detail previously. The DNA sequence was mapped to the published human genome build GRCh37 reference sequence using Burrows-Wheeler Aligner (BWA) with the latest version at the time of sequencing, progressing from BWA v0.7.11 through BWA-Mem v0.7.17</w:t>
      </w:r>
      <w:r>
        <w:fldChar w:fldCharType="begin"/>
      </w:r>
      <w:r>
        <w:rPr>
          <w:lang w:val="en-US"/>
        </w:rPr>
        <w:instrText xml:space="preserve">ADDIN paperpile_citation &lt;clusterId&gt;O489V747R127O842&lt;/clusterId&gt;&lt;metadata&gt;&lt;citation&gt;&lt;id&gt;3A2A95495A46099</w:instrText>
      </w:r>
      <w:r>
        <w:rPr>
          <w:lang w:val="en-US"/>
        </w:rPr>
        <w:instrText xml:space="preserve">49D0B717E075CECF2&lt;/id&gt;&lt;/citation&gt;&lt;citation&gt;&lt;id&gt;ECDF7867DAEC0C74B89013EF07E85CE6&lt;/id&gt;&lt;/citation&gt;&lt;/metadata&gt;&lt;data&gt;eJzNWf1v20YS/VcWwl2RACLN748ExZ1sy6kRO/XFTnqHogiW5FLamuSq/LCsFv3f782SlCilSdEfDjggsSVyd2Z25u3se+sff5t9ktns1cxdOIvY92J/4QVWHHvxpXUe2uHSCv2L5cWVM5vP</w:instrText>
      </w:r>
      <w:r>
        <w:rPr>
          <w:lang w:val="en-US"/>
        </w:rPr>
        <w:instrText xml:space="preserve">sm7zqVlzG6MtPxKB73jcFTzzvdQWWcTt2I1sJ7K45XqhEwaen2PWo9htVZ01mPVW1JUoXp9LJatc1SVvZdq8vhe/dKJqJS8Yr3ixa2Tz+o2oVEkvF2kqClFjpKpe39VqVfOSbWqViqZRdfP6titgRNVifCir1etGW0wFK/lmQw/Of1i85lNLvE7XshVp22Em33L8lOWmECUC6UeUe8MXdx+wjK4uZq9+nK3bdvPq7Cx7NjMlTVWvzmzLtG0rPru+</w:instrText>
      </w:r>
      <w:r>
        <w:rPr>
          <w:lang w:val="en-US"/>
        </w:rPr>
        <w:instrText xml:space="preserve">u7y7Nx3Ljk3Lsjwbc2hwg9FSCPG8KWDMpI96WqbSjrydRZFjxYEz+wkJVhJZ+orBTZcUslkLFOy3Wamqdo3xPl7sBK/xkQbPfp/PEqUeW9kWYnjGrpfLJbuuWhRALw+5vuM1LwpBSc/YpWzaWiZdKzJ2t08ku9+VG9XIrmQvdDQv4YonGMrTFqavq0o9aXsNkxV7J55bA5Ubksz6wqZkiBIsKo7o8WV1GKJydvluwfYFy3jLGW+ZeBI1y3mDgBmG</w:instrText>
      </w:r>
      <w:r>
        <w:rPr>
          <w:lang w:val="en-US"/>
        </w:rPr>
        <w:instrText xml:space="preserve">ikZHiRd4vmOF2rJUNa3JrlTNxDOn0s1Zuxbsuii6UlacvUNkCIAFyN3efs1SXo3+BQvYAz4kvIF9RKKdYx0FVg9jGNluFZ7umvlogcKvkOtixxyLncuioFU0a1W3eiF5zVdU1QaOkNyM1dgfDQVOwY1xk7O/2RTYBiGtu7IPSpXCZDe8Xompu1RQ2RDQbiPJ6I4JLFftMK/KapHp0JsuXbNmh3yVjcnu6dtartbtulbdar3pWp0/+De0/+MK6HXD</w:instrText>
      </w:r>
      <w:r>
        <w:rPr>
          <w:lang w:val="en-US"/>
        </w:rPr>
        <w:instrText xml:space="preserve">GLwQ4BsdayUQPTYpAi6xoqbTGZtuIkpVprYV4CCwKTEOfkZ0jTuZ7JO5yYLIncmQK7jkesMVDIFvTuztLeDfsI9HY31SW8U4loTHtchFrfEzBdO8zwpH+icjjrN9f9IpyBkfliIMicxXjXwSfXyAREsZUB0VmHJTUn/QSHGtv4/RKWAUdWKtLMX47M3i4S17obuaYItxZQ9KFW9l+5IlAkXZ0K6S2HoM/fIxR7FMhsZl3C5vKSxV7a2VVMOtzATA</w:instrText>
      </w:r>
      <w:r>
        <w:rPr>
          <w:lang w:val="en-US"/>
        </w:rPr>
        <w:instrText xml:space="preserve">0DWoUwtDfUSnrU/XfY0c0Er6+apr8FB/weQaeLkG0tey9ztnWwFLaUceJ/WGqTGYAVUwzUSey1SihuxPOyoMr2VBgSGt+K+znVHjB6qZ6lqk3GQPWN6Twh4We2TWWJIkWGaTJtWXaFwgYu+aTm+O4RjAEISfFl2jNw/huFBdxjJBe6ffolvZrll5eoDgVNkbSwR5oJRvCt7SkUVRpWuFMgE8khJNb5HrAsvQu4I6TIJuxxtJ4QxdVv6KiHhaK7QW</w:instrText>
      </w:r>
      <w:r>
        <w:rPr>
          <w:lang w:val="en-US"/>
        </w:rPr>
        <w:instrText xml:space="preserve">7RKpYY1KHwUCeYF2V41vp6ssBRC2Gzc2cILPlNXdYdQYYL8nkCoK/LiIaDL6tKVoMbsGQPsEUIEZNfp9LH+UjgMK667qUY18Z4raLAWJoIAIIdijPt7RLFOFJQPLTwRQVG6DA0ImhTjZM5H/2Z4Zdp72YrIf9vFmfREmCxkmHnmmUOyXqJ5OikjXlcRu0J1isIPqpDpZQP6cOS/7dMp8N6aRFytVAxclluG+xEAUXncteEXySwpyqAo+qnQ4/TSU</w:instrText>
      </w:r>
      <w:r>
        <w:rPr>
          <w:lang w:val="en-US"/>
        </w:rPr>
        <w:instrText xml:space="preserve">OMvFlhW6gac4nOWqU7oCxyGseZ3p/bGhrtRi2/SdjcA+Zx5iUnn75QGEdx+LbCVAte/h99e3l9hgaHJ0cg54pJTT8JI3uovVAsyDV5NpujWrrk4p4kxQmPqY1rBujuGCnt230gYY0QhDLqWg4oxH4vOc2ZH73AcZPbNmg1Ok22ikfVatuYbGiJP5YFi3hYp1G4rFNf1nbcsxvWNrosqMVhn4dYQZDaQeUbVcSTqJRvDSOd1DnaLgmbZ7DH4khDhS</w:instrText>
      </w:r>
      <w:r>
        <w:rPr>
          <w:lang w:val="en-US"/>
        </w:rPr>
        <w:instrText xml:space="preserve">wf4tiL487gr+eLQRHpS2rds1BiNx7LFSWxz0K80/+tOKhtDpS6MAIHADpGgIvg9wjOkFdpRuhNOdCL75cuiVPZKnb6iTTb8bw8c3d2/uPpxd3b1ZUD4S2dM8E3xt5IHLfateTFq1sdBIm9JsWtkYIG3YA8W+7/sQEVG+EsToXdszXMfDk1wVRCDAkUFkB5UQBJafe3niRS7PU0t43Evi3HYSEUa27zsZjzw7DwNilR0OJlDYH3+b4WggMUDmb8mw</w:instrText>
      </w:r>
      <w:r>
        <w:rPr>
          <w:lang w:val="en-US"/>
        </w:rPr>
        <w:instrText xml:space="preserve">rBsim7eZ9kKqoSUCPPuIDlt2WQa00LhexsS+SD3bto3UCizDioUwuO8mhpUErh0EdpgLC4MLrm0eTIA1H3m+n3i+R8NBwk7c38qm5ux+79mPEp57XmLYFk8NK4q5kURuYCRB4qZJHHI/SA6e9exTp99NnH4nqtWJxxvJvtu7E06UxKnrGY4dCsMSeWhEvu8beeYmyHomYtc5uLuRX11gjRdPvDnxtyi6upusMPfdIHB8buSRFxqWm0RG5Ia5kQee</w:instrText>
      </w:r>
      <w:r>
        <w:instrText xml:space="preserve">5QhoPjuODy717NnvQINsmop0je9ahgM9iTEp8Jed725k9Yg3g6hqcLCie5orpQBpEzg</w:instrText>
      </w:r>
      <w:r>
        <w:instrText xml:space="preserve">eH/1jXXwrqm+K+ttvqq781rW+IQPNt39JjUE8gUPTVri7+3Tx/bur5fvlu4vlp7vF3fK9jjsRxQBgMg/hegQRMmbUP2MkSKogubV0LyLvahksnPjctpfhwndiz3Wd5dWVb1kXBLQUrUZn0w7cwLa9MA7M2LVjP8LOrHmv5SxkmDzeZj7tKTfJeC4yx03SwHOcOI4wIw3hPojDlKrat+y+KklieZnlAQM5wGeFoWXEguOHl1pWxHkeu4LEu0qXz/B</w:instrText>
      </w:r>
      <w:r>
        <w:instrText xml:space="preserve">4iUOE1KNsoJ2EXKEyORAhqEzX1Y1Mal5j3W3d6Uc3OOKK/RC98CUYHB7NNgLUynysOQ6/X/+5oqdUszE/78DtKdc0ir3tR81+JxT2cS8vLq/CKAgvF8sL6yL0zqPYst3llRUuI/9iGRxfOITCFVkQxpmXOn6AHmKJwEkjkUSJ5yBfaZTnvp3xmYZbR55t789kuxW7Z8nRZcRZ0m76fjZq9+12a1ZpIs2qKM1KroHOpzNAqRTZmR17vm0H0Z8OL9M</w:instrText>
      </w:r>
      <w:r>
        <w:rPr>
          <w:lang w:val="en-US"/>
        </w:rPr>
        <w:instrText xml:space="preserve">zXsM+lOXZ3e2FE1q+40698JRnopSpqbqNBv5JWMNso4Cw7zZnWMSfLODoNuFr66TN+YkXtGNtNwgNL7K/eNMQUk34Tu/l6aWDpS8dOA6YQuojBE9/EEWRktp5qMHBGXroCji4hrqTLU7rOTsZMGijC2j5DtQAv5Na6mP14ty2mH2/mLMPb83jC4jb7x+uPy4err9/90orB9ioS+JcvCSRppWx1u</w:instrText>
      </w:r>
      <w:r>
        <w:rPr>
          <w:lang w:val="en-US"/>
        </w:rPr>
        <w:instrText xml:space="preserve">Y9Ox6F/8BZSeRup5JxTxtVoVZS9CJen4E0OAPVKdSGuBAZptuJ/lYiTXtx3LOKAntKj9n0t1WN1rrUaU9kN1TZmrVEtgy6giC2jzMQYZJcSwQUweBRZHNQImiZjAK8XfxLSylIWxKrg/M5uCfX2qumNxSXDhAZIalGWpkCO0pHXqvyQCZklcknmUE/mOw7tSUeOSdnYPrIRKVayOkNkRm2Ar0U05Vq4amtaEKmrY8xlqBQYEUt66qmk3q5evxhNl</w:instrText>
      </w:r>
      <w:r>
        <w:rPr>
          <w:lang w:val="en-US"/>
        </w:rPr>
        <w:instrText xml:space="preserve">JBKp5uenRYmsVSOMToS75jitaIaPt7wmLXq0RNqGgyxUiZKBqltTvd81RkpRoY/egIgxpUFLN6dtnLpkntqSiTS5VDRlDD98v7DzcP968GUdILW5g67+pabRvjh7UgBsUWe3ckytkLMKmX4MMaaqcA4ekjeFR/r4DgehQAHAlegJaBNAqS1b26OHX0UPOq0ZIUPh7gg7j7yPGK3VG9J2scLqRWUOCE30GuHO5H9hcI4+WJZrOTS5O5Fj5brYkkBB</w:instrText>
      </w:r>
      <w:r>
        <w:rPr>
          <w:lang w:val="en-US"/>
        </w:rPr>
        <w:instrText xml:space="preserve">H0yXA9B1w0WiyOSMGSFCKndaFcPBUjNIS5Mnv47e/rJiGWpCsgmnoZATFJ8DpM7ycuztn99zfycj/aZMsnXnSDIKMskm86vAu95XmPzKK/VGi61Yr4uc49hUwI2mDLPkssiXSrTWTlebyE1IJ13HrFKH0oWniQSOKwE9Odvk7hIAz9pQfZ7i83mikUq33/aVpERsW+X0AQ7C+k9jg6u+Wbl6zv3Cb7yGvJYYA603j7gXUiws+uzqgqeTvIoYPr4X</w:instrText>
      </w:r>
      <w:r>
        <w:rPr>
          <w:lang w:val="en-US"/>
        </w:rPr>
        <w:instrText xml:space="preserve">5ir900uLRi2mDHDGIQsfR3Sgct2oMVzezj4vpmcX59c/3wn1dsOFhL/ovZT0WgGFWJdqo9rj7rlYc+NAntD3HejjifyA479D3DDgPrC8Ij5VaQgI0KHNC5lTou/fB5aFtpGFv0lwkvdTNObOFnRI105V1BnOb4TxNsdiCv/dlouV/UKn+FvPt2Yrkujw0hbNewnCg1eJLZhohAcjKexCKyv0be3098vUeXBXxO3F12NUQge38g73HgcTvJDD/LYs</w:instrText>
      </w:r>
      <w:r>
        <w:rPr>
          <w:lang w:val="en-US"/>
        </w:rPr>
        <w:instrText xml:space="preserve">OybN+IQic0XCvhdhiGyFd0cNlP1+z9f0rVv8ZMHtF/aX1i6IKLngOdMvnF+4fri5slPS5TejTlV3/M6W8kcRaj2hzq/1nt/xrN768siQz52mu16gBVkmnVkQiAQouhoZzYDH2IAZeC1uWZUMkvyAI7stI8d0UQhjyOPCfKfCvM3DQN3NyOguBEFtios+eL3Ag8O4D85bkRu2Fq2Flo5XloBU6e/x/Jgp/+C7r4oCk=&lt;/data&gt; \* MERGEFORMAT</w:instrText>
      </w:r>
      <w:r>
        <w:fldChar w:fldCharType="separate"/>
      </w:r>
      <w:r>
        <w:rPr>
          <w:color w:val="000000"/>
          <w:vertAlign w:val="superscript"/>
          <w:lang w:val="en-US"/>
        </w:rPr>
        <w:t xml:space="preserve">1,2</w:t>
      </w:r>
      <w:r>
        <w:rPr>
          <w:color w:val="000000"/>
        </w:rPr>
        <w:fldChar w:fldCharType="end"/>
      </w:r>
      <w:r>
        <w:rPr>
          <w:lang w:val="en-US"/>
        </w:rPr>
        <w:t xml:space="preserve">. Single nucleotide variants (SNVs) and small insertions and deletions (indels) were detected with </w:t>
      </w:r>
      <w:r>
        <w:rPr>
          <w:lang w:val="en-US"/>
        </w:rPr>
        <w:t xml:space="preserve">HaplotypeCaller</w:t>
      </w:r>
      <w:r>
        <w:rPr>
          <w:lang w:val="en-US"/>
        </w:rPr>
        <w:t xml:space="preserve"> and </w:t>
      </w:r>
      <w:r>
        <w:rPr>
          <w:lang w:val="en-US"/>
        </w:rPr>
        <w:t xml:space="preserve">SAMtools</w:t>
      </w:r>
      <w:r>
        <w:rPr>
          <w:lang w:val="en-US"/>
        </w:rPr>
        <w:t xml:space="preserve"> v.0.1.7</w:t>
      </w:r>
      <w:r>
        <w:fldChar w:fldCharType="begin"/>
      </w:r>
      <w:r>
        <w:rPr>
          <w:lang w:val="en-US"/>
        </w:rPr>
        <w:instrText xml:space="preserve">ADDIN paperpile_citation &lt;clusterId&gt;J527X875M265J988&lt;/clusterId&gt;&lt;metadata&gt;&lt;citation&gt;&lt;i</w:instrText>
      </w:r>
      <w:r>
        <w:rPr>
          <w:lang w:val="en-US"/>
        </w:rPr>
        <w:instrText xml:space="preserve">d&gt;C04655A22A420D6595FB49966C653731&lt;/id&gt;&lt;/citation&gt;&lt;citation&gt;&lt;id&gt;F135006C0780047FAC988719349597A6&lt;/id&gt;&lt;/citation&gt;&lt;/metadata&gt;&lt;data&gt;eJzNWetu3MYVfpXB/ghsQFxxOLy6CJqVLNuyJduwlRRBEBjDmeHuVFxyw4vkTZD/fYO+TP/1Tfok/c5wtaRWtpMgQNEfFkzyzPnObc5tf/hl9sHq2ZPZqR/GUbQIgkU</w:instrText>
      </w:r>
      <w:r>
        <w:rPr>
          <w:lang w:val="en-US"/>
        </w:rPr>
        <w:instrText xml:space="preserve">Y+E/jKIuenYRZFsencSQSwWdHM91vPrQryUEdp2nKRRLJJAkFV8rEaZwZmck08JMoynWaicIIgVO2bXuDIxH+3zfl7MkPs1XXbZ4cH+uPc13bed0sj7k/575Ij6vlPPVjUBJJC5rb29t5pXI7r8r1vLKr+bK+Od70+dro44CHCeTIfpN8rY5l01lVmvb47eWp8FMRxmJy7PeJIbu+MXNVr0duO8IfYZzaQskHDCBqaduVgYl/ma3rqlvtTLE1ssF</w:instrText>
      </w:r>
      <w:r>
        <w:rPr>
          <w:lang w:val="en-US"/>
        </w:rPr>
        <w:instrText xml:space="preserve">/A5/z2a/OStUHWXbEIwpjjyc8BZUsClta2dm6wpe3Tb1s5JrZil0abZUsmaw0e1tv+tLRsOemMhCtPWInTS01O6/aznZ9Z1hdsBeyuZGNdmcuz6+O2Klc543VS3PELmXbSrXqW9N1OP3t+8WcabNpbNvV3+TEy96xIkuRaHnbNVKRxO+MMlXHpL6RlTItydean3pTKVstWWfUqqrLerlla3ltmO3Ypm5bm5eGdTWDPTeNWZmqtTem3DIlOwlithx</w:instrText>
      </w:r>
      <w:r>
        <w:rPr>
          <w:lang w:val="en-US"/>
        </w:rPr>
        <w:instrText xml:space="preserve">UYRB5MACx3YyqtnK9gQuOmGoM3gBIsqLuKz18LuqG4cE0bQd96fOqX8uKadsa2UJjJ2rXbJ05zE1d9nRuzq5Whsk1GHUtGa2RtwwsJds0te6Vgfka4x7s0tZ9e+TOg/PWadJ3Dh6eaTuzaR1xA1vYBiehLUxWtdAAqq8sAPoOR6AZPq3scuX91MvSdttBa9gUPi7bOfsbQZrWWRlq2cKSIIDZkokKBIW5rZtrQoCCqr4xjZMLRqy77cZMrAjdYIx</w:instrText>
      </w:r>
      <w:r>
        <w:rPr>
          <w:lang w:val="en-US"/>
        </w:rPr>
        <w:instrText xml:space="preserve">1X3YW9rszI2stvZKVgU7wQreSgFIra27oI3mng38c03ZjFCRQUKzFGSipGjiUFUTwKcdbsKCD3aoxhgSEu1QHz8mqrlwYm48b09g19MODNq1dVtD6Td+QpeEniilV9vjCHtnHeIA0oITnyfabDeD+gi/4VNZq+FCCx9oZrKGowBltytZRgSxHDLA7Y8Ngzk04afPGmYnobh6z96/f7g26nVrU6VdDZbyCixCYHbBIpp3ngETkj8BkTXasDCtx5av</w:instrText>
      </w:r>
      <w:r>
        <w:instrText xml:space="preserve">dwdZsZOPCoOnJaMvGLIcoHj1VNPV6f5hSToH</w:instrText>
      </w:r>
      <w:r>
        <w:instrText xml:space="preserve">r1lKYwYXEpDIfO4/uSbO7Ep+2vQuflWmc6VUPY3YU45tNCdu7g4hzvGrpPtYlQpruuiR1OkOGc/RILfXasAUFXYvQvQLptYUXKeaM2bDbVV0aEgdkR7sn85HOKLmh1DncFAo8b4g6OOvW2yDzsEf/+ce/wn//8zHjvu/voFqGfPd3ozp3/5CY2jnSDnJQSeVkMYl6uuuj2T7rr76lv4dGe/p6MTUcYVHelkvTAibMuBdmlIqLuqRsgvqFbP/3um9</w:instrText>
      </w:r>
      <w:r>
        <w:instrText xml:space="preserve">giKIvUdBmr11luMtYLYh3ZdJHiRJ+zjNd5DIVMkrzOEi0iESR8kTjdRQlaZQOZbJyBSQGoC+odsi+W9UoEj/8MtsFPEl0uSBhLPIaPUio717UzVp2HdWZ2VPz1uVt5kiH8h7oONdhHnhCpdLz/Tjz8kwZL1F55qcmQ6mnEl9Kx/aOAyrTPeyzCfRZY9UB8Imsrlt2tgeNY6UUl9xTaRZ7fhJqL1U592ScS+5LHvJIjaDu9CHiuwniu62sDhBR+kr</w:instrText>
      </w:r>
      <w:r>
        <w:instrText xml:space="preserve">E57tRTxmGuebaE3ksSE/hZSLFo1BJlgRc5VE+Qg7HDzFffTcBfWWRsdl3B7jPJWWrspTMEQ/YiSoEWhLt+Vonnp9GUDfXkYfGKvRDNEsmkiP2nsUh/Mupzi8lFY53B/CXckkVhb0cFRdhIPyiCL0iUlA8SxMvLVTq5UkcJVmgApEmI/iOwSH06QT5dOVCYIPEcYCOPqIr2enoZnSJXBfcQ0MIN2teeFlEDkdbmOmoELGMR2h3+hB4MQ3qBbqkGvX</w:instrText>
      </w:r>
      <w:r>
        <w:instrText xml:space="preserve">0MK7frtALbTbyGtlnMYa2yGWgfOl7QSwyz4/zyJOiUF6mM1PEvp/lkT9x+cjkUIjnExme97YsTbOuD2RADUEKXOLv870AJohTbgrpxWkArX3hezkPlKcDE4da8zzI9CjAnsMh/MHFrnoiPIB/Z29kO73XSZYjY6jYi5ME2AIWSDnnXiHRf/qxEqkyI7Y7/gD3HmzXPfB2VUl2uUeklt9kiHKeI39AWd/LENyeCUJkuTQLc9f2772N0w+8PXU2yvP</w:instrText>
      </w:r>
      <w:r>
        <w:instrText xml:space="preserve">hrb5UrwyBjmqmgQoxT6RekAUATYTwZJooL40ixfPMZDkPJ9E9nD+EvXo5wb2ya/byAPcZTuFGMke4yydxlKqCR14QxD4BF54scKejOPQLaRIl44lvdwwe6Ht5L7p1Y26dQafYr0xTbbv2GmE/2jrVvgq5QJoOkEX9XPueNJnyRBGbQPtBkKtsRN+zeID//SH+ln1/gP8eoaHQhV/XzJHvBMgLX0ilvUiKwPNlGHhSI8Zyw/NIcIGCFo0CjDwepNR</w:instrText>
      </w:r>
      <w:r>
        <w:instrText xml:space="preserve">pRqW8Yh+k8lOb92VLd/vVaH0hIh950/MLgbQahKmXBSliLZOC6zSNMjNJansOh+jvTybw7zupoP/Jg4yOUQg3ztEO6L7KcXsBxxX++DIIvMxw4aVBFIUqKHgcTGrmjsEh9tMJ9FN5Y/UB7gIN9KpHqmFPx4TKoyAOUcQCCnSf+wh0GQUeul2RRonMUcdG4D2HBxf75b2bjU7hMOCfopdjl2O0c46ZPYG7Y5QLqmCFl0dx7EVhDounMY/VJNrp9Ox</w:instrText>
      </w:r>
      <w:r>
        <w:instrText xml:space="preserve">XdEPKgt3J9sJW13i9m+5bhQ5QNpjA62U5jM27V39dlV+b6quy+fqrql9/LfyviEH79e9YC1yj33YDJ4a4Rq3YYhjEh0GbBh3K8G8/LN5dnZ9eUCOC2Z9eTYf+Uuam3PVxBHxttpOWhwZyr7GzfY839HfzYbSmDrS+Re9IDZA4TcNnZ/EiyE44P0sWUZCFQgRnz55Fvn9KNYemyjXJFA7A1bJHX0klg6LfDa7kBx5FqJexCPg8gn+DhOQeLsC44sD</w:instrText>
      </w:r>
      <w:r>
        <w:rPr>
          <w:lang w:val="en-US"/>
        </w:rPr>
        <w:instrText xml:space="preserve">kOOwRfHiL5L7UEe0S0ljloU54UOgwjUFeFEYnqICmyDgno7VQRJnBw6FKQy5VhsYvQkZJfIRzUsReLgqd5UoY5bK3rtXZRyA+pW74CaKqfYYRCRPV7EmB4DLUr55XFzQtNbAeDTH06oKGrz2JM9TZWlqy4cZ0pplfY5y23c/fLOktxcSdPV9LZ6e3RMVeDVSzXymgB7mfIdegmzv1k9RHL/VscZ</w:instrText>
      </w:r>
      <w:r>
        <w:rPr>
          <w:lang w:val="en-US"/>
        </w:rPr>
        <w:instrText xml:space="preserve">qlacIzEaLVSBbx/fWUjos4LWScRrlCnjapyqRGF5ZSRxL5SGhRILRbat2tp9xV/vJ+KhPHua1tNdwgNPrHeddE/m/vn+7WVRn6+iD5w+sqniEooskxqaQ2a6vmdb9xF+tArN1pr6zr635D260/qcCnJTo+2Ht9gf0n12DcLRUl3T7+5Y2YiBMvTB39OP+1tGpBJaF5//4sSFM7LU4wzx1h4OwO5sIjhpGzVrtxcbc+cMPiZL20G+bAmwb1tYtLA7</w:instrText>
      </w:r>
      <w:r>
        <w:rPr>
          <w:lang w:val="en-US"/>
        </w:rPr>
        <w:instrText xml:space="preserve">T1ZDZ/ODZOlmKXb67Ov1tcnb95/YRd1m3HzEe3+FgyMFvVunWiTqZPMyx0aLZuaBFGuxqlercluCNpGc7cLXUw2L+obw1Uool9OtC3u4n+SxuCR6+fv398NELsucIiW4b/s9wwI1tLouSdtBUGkUdmvpw/nOGdXZHZpvwhaFu7OPiECx67PVtr7gtNK67BLCS7hmZlvXE7HKhToWmaWs4Z62dC2tvP7emQOVasx2NDMnfbOXt39v7bi6v3T+5v0T</w:instrText>
      </w:r>
      <w:r>
        <w:rPr>
          <w:lang w:val="en-US"/>
        </w:rPr>
        <w:instrText xml:space="preserve">4fPrvQoTBqj/YyO6QDhdyqpDCN+/jl4Bk2YBvT0O1w8TaJQVS/rgVSY1QHc9NySrP77trrVvcUSmQ12023GxAcUl/DC95w3u63kXP2pnIrMcfliN2ScXELKVbdJlLCwn2zM++49qOFJuSnRe0QJmpL2x5cSnSa0u0Dpx65ux5kKNQn2osZHFW0Sz1yFKOxdt+KZtBw65aKKCNrZybn34d31C2yUFuGXWmJf90uymlFSJs8xMmw5Wm3a4jWwFd3yy</w:instrText>
      </w:r>
      <w:r>
        <w:rPr>
          <w:lang w:val="en-US"/>
        </w:rPr>
        <w:instrText xml:space="preserve">PHlPZ1n3Skg1V1hXZpPRiEyKe+b2iVC7NUtB9f2/Yub+C67rTo3N7U7fl2IFR3SSYoXTe4rovvFucXi5Pzi/Or75+wu0ZJrt3abT7QA3dp5tRrsNM3r68Wp1egNNWytJ/Yw88f/EZw98PAJ34UYLvfDx78OHDEkvG3AHYKTSilTH8dWDBaZQW7HwY+K85kcRbQBiLIMvHl1dnJvYLBxtVZagqMzyaO8jg0aR6GGDvjzISJlsb4AWavNBeaR5PV2V</w:instrText>
      </w:r>
      <w:r>
        <w:rPr>
          <w:lang w:val="en-US"/>
        </w:rPr>
        <w:instrText xml:space="preserve">AlfPHZ1dmLST/8AjocdMMXlr0Ye3CZ51GEzkjJKPT8TGsvjTX3IpqHeKrRhkyWORf2f9AIf6G+/om+eN9dTPvisfe976DZtGW+sK5ZLps/1hQftsH7Jtm1RmNTHIuY8zDzo7nADBAHk6Z430h9pimWKceQHgTkpcyHI3mQiiCWCCoTcqfttClWhcjDNEs9xRWm3MwghWZCemHsB2iTdRi6Fe3/S1P8438BrcKslQ==&lt;/data&gt; \* MERGEFORMAT</w:instrText>
      </w:r>
      <w:r>
        <w:fldChar w:fldCharType="separate"/>
      </w:r>
      <w:r>
        <w:rPr>
          <w:color w:val="000000"/>
          <w:vertAlign w:val="superscript"/>
          <w:lang w:val="en-US"/>
        </w:rPr>
        <w:t xml:space="preserve">3,4</w:t>
      </w:r>
      <w:r>
        <w:rPr>
          <w:color w:val="000000"/>
        </w:rPr>
        <w:fldChar w:fldCharType="end"/>
      </w:r>
      <w:r>
        <w:rPr>
          <w:lang w:val="en-US"/>
        </w:rPr>
        <w:t xml:space="preserve">. Also, Mitochondrial DNA variants were assessed on data from exome sequencing</w:t>
      </w:r>
      <w:r>
        <w:fldChar w:fldCharType="begin"/>
      </w:r>
      <w:r>
        <w:rPr>
          <w:lang w:val="en-US"/>
        </w:rPr>
        <w:instrText xml:space="preserve">ADDIN paperpile_citation &lt;clusterId&gt;D642R629G319K193&lt;/clusterId&gt;&lt;metadata&gt;&lt;citation&gt;&lt;id&gt;168ED5F3EE9B0A7B856C7E39F7676DC3&lt;/id&gt;&lt;/citation&gt;&lt;/metad</w:instrText>
      </w:r>
      <w:r>
        <w:rPr>
          <w:lang w:val="en-US"/>
        </w:rPr>
        <w:instrText xml:space="preserve">ata&gt;&lt;data&gt;eJydWNtu3EYS/ZXGAPbKgEixeacDY1eyRnayVtawZATYJDCa3cVhR7xMeJE8NvxR+75Puz+2pzijETUOgmyCQB4Oq+tUV5061T0/fl58sGbxfCHjdHkeXQTLZXbmnSZnaRS/TJZBdpHESXz+MlgcL8y4/tCXSsI6Iy1zmST4G0ehF5ORQaYoMJmfRJnK/FyGqZQRVtm+HwlL+PMNbe7azvR4zG1rm6LtajVY3X8jjFWrpu23D7UdWl</w:instrText>
      </w:r>
      <w:r>
        <w:rPr>
          <w:lang w:val="en-US"/>
        </w:rPr>
        <w:instrText xml:space="preserve">22jemsqvCqxyLq+MXY64oEFq/7zTeiGfGkOnH+/Sm8j121eP7johyG9fOTE/PRNa112251Ij1Xep5/8outjSt96WWwZrMednd3d26jc+s2Ve02tnRX7e3JesxrMieB9KIsSqOZ+R/y2TaVbaiyeae6jXtnK9q4uq158YnK+z+/eG2K31+s1na25JGrk8HUJ7fyRHVIckX7KJ74F/93HMVYVc7HuvrzO2EPv7X6Z/CstUzI3/IMMjUfVDXw+ygJHD</w:instrText>
      </w:r>
      <w:r>
        <w:rPr>
          <w:lang w:val="en-US"/>
        </w:rPr>
        <w:instrText xml:space="preserve">+OuTgoV2X7kkDkz4u6bYaSOYoXG7ADH31PZosvxwtVFLayYFzb4NtvG9BtGAcSbSFej7VqxCtqiCl4LK5Jl43VoN/7xt6CfHbYiMv//rvRJTXH4nLEy/IYC8DgZuOK33X2mqq6bKvhk/gnNUM31jNP39NYUpdTt/pNb2gRNunaFTVt/ee8zXbwsrSV6aj5Sy9et/3aDqo6Fm9VpzRV/diLSzKHmz56e/n+2bG4UtWnfGS/p2M/oDFd5BdkHrCW63</w:instrText>
      </w:r>
      <w:r>
        <w:rPr>
          <w:lang w:val="en-US"/>
        </w:rPr>
        <w:instrText xml:space="preserve">H+0MBT0PC2Jj2Q+bqbSfUkji7PnwmNNOUkdKmqipqVbVZCNUY0pKkHuEICbHOregQj1l2ryYwd9aKyN/RYC1xxXdpe4H8zkhhaMZQk6OPQUU3VRuRdq4xYbQsyQayRrnbYrPE4xYk0Hu9jY8NetIitHcq9yvCyx3uB7oijesA/SBC/ZtRhUrzJqy2s5hSCEpOVuFVY1wy9K5Yf2xpG9OtIjeZ9Hy2vnolS9aKj27YamaP2E21dmoPcXp67KN8doU</w:instrText>
      </w:r>
      <w:r>
        <w:rPr>
          <w:lang w:val="en-US"/>
        </w:rPr>
        <w:instrText xml:space="preserve">THk8GjECck1U2pIyxaKa7CncVWelqj1sjqgBegkm10hx0zvob/fnKAHE8twmHPkDnF4CP6VqzbAczjDMBkecVpbwt8JZBSZH1dtZYhsRkOThlj2R/MFf5s+slc/LRoi8IZVLeiAZtWpv9pISDz9pbDKbq2nlZvt7MjythzRtqtn0+0rc/UGYT4fgBJqOOhQvs03APmGw4UsL6UEu56FNg2QgkNjZoo39MwAHlyU4wdsJHPHnb9rgodwawSU/4mCu</w:instrText>
      </w:r>
      <w:r>
        <w:instrText xml:space="preserve">EL23OisNE7wqvdhjnp9T6FJQ3UtetK9fVmF4ZRg+KPEEPUA+Ot2ZZnm4x98A0IPHFxV48ZWxB6mG234U4VMFyQwmLtTdPeNWKthpI1A/zeOltj3g5ommHyNW0+SPHXIN9mVNVjNjxmndhYqgxH3IBl6Cf/iStOZ7V8zO7dLku0nBKlXZWPUneUxa4v/vMvEbnxk2d</w:instrText>
      </w:r>
      <w:r>
        <w:instrText xml:space="preserve">TJlFc+ggFggYMs7QeZZkbsaXv+rC8Q8vuUrZlAQe5ahFYP8CL6gyH8odzOOVtVyqYPypThdaq+m1REJxCo6kVZ6QoCOqpJ5WP3ZiDC9z0yTHkruBm5w1wh+5ZZe43U6ubCfRa3WAbA2rDDDuecXzP1Yn792019/wr6sR68hhh3qLgLrslWEyKuW4hZ8ur45kWcHm/1jWO4JgJXNiuHwQP7kkkmCczkuxkZK/trET/gGlftiMzBJ1xh/LwttSA6jf</w:instrText>
      </w:r>
      <w:r>
        <w:rPr>
          <w:lang w:val="en-US"/>
        </w:rPr>
        <w:instrText xml:space="preserve">EiLfcPP1YDcK06LutSuhqNAQHh4rf77tvwj/iLn1QkK269s94+mBEVny0vPxKlO9pfpBTOhBdB5acKExTO/FcrZEzpUve9Vx0pzL87jzjUwgowkfbzMucTCb4pgA5MUVxKsWx5pd27BANCyiMvts+sWfbYLOTYNY0qByx6JnX/YlbUuZ7RZEXcaF9k0kdhaEkP49lkRpPhtL3c/J2hySs4K+cNI</w:instrText>
      </w:r>
      <w:r>
        <w:rPr>
          <w:lang w:val="en-US"/>
        </w:rPr>
        <w:instrText xml:space="preserve">v4gKRGqAFOQj9+XoA1rNwc6CWHyOXmz8iX6qeY+Uw+8Flq8QMygDqw3faWgEN+EaZF4lCYJI7n5Z6TJXhMKfe0NhSHYQFjNNGwX46D1yPUdzPUd1Zr9G17gHtG3QgxFu/2wHEsc58K34kiHTieClMnS03sGBUbHXl+lqv0AXi3/hD5bIZ8Nqm9OgB+AzY0n5xzWls00fhRnO0jUDLURWByR+GG43hJmjuZypUj/VxFuPkkke89RHDo6DCU5SyUJc</w:instrText>
      </w:r>
      <w:r>
        <w:rPr>
          <w:lang w:val="en-US"/>
        </w:rPr>
        <w:instrText xml:space="preserve">incsjBQTCvOoXpug8gzXXqa+k5UUi54+UBAgiQjNgrJAUyNFJlDwHw4kPQVzNQHA5x5jEHkEt90w8E8r/aw+bKD3QUpU6aF8rBfSgBrDJOEKrIRzwU5bOS3zs4hP7udIb9XVuqhk9Ypwfwl2rTicl0V/UkI5X40iliCbplMnBSn7QT5qlENmItjX7A5tWHuNcz2Ouyrb+i+CVZVkSw/PqB5R6lBKI7YVZEKLX2nDTOPIeiIFeFyX0dzjK993CI/X</w:instrText>
      </w:r>
      <w:r>
        <w:rPr>
          <w:lang w:val="en-US"/>
        </w:rPr>
        <w:instrText xml:space="preserve">6G/f6ODoBPy0mJ3+9RC1J5iGu0Eyjfd7wiLJw8MqEjFSVJWsTKqOQBdbv8EPL1DPJ1W3FQj1Hfdu2N7SFwrx8KTIYAFjmKUi5waFBgH+AkdaISaZI0fMC9d/BVoudicm3rSTTmyFcDK/D1TEtC44cGMpKFxjgeHp1U55FDWaTjOFaZ9mYNNS0/BL2ad/SV6m+smjq27fQE4eE/qJTnOzKLwWDpBYcK13YDLkmNuHrodBmrJI9CiDh4gOWanCyPID</w:instrText>
      </w:r>
      <w:r>
        <w:rPr>
          <w:lang w:val="en-US"/>
        </w:rPr>
        <w:instrText xml:space="preserve">0QPlJae0Ecz0Ru52HxBRqvWcbPNm9sc4NXu18ikK22Up27attVRdMNePfVX8vqBTVPq+7F02asXwTeU3bQv/iDP2HgQMHxviPMig41Pd3e7LcXYtxteDa+ffvh9N31ty/fLKeQc6p244iRbmizl2m+IzsNt/JuUHGj8k10Gk4uboaYTa44tz2PXhwxiW/Wy+BlGl4s41M/O5NymZxGfhYGgb+8uIg87yUXkG8zNYcS+lMIzWrEoMQzNXjmE+dUCh</w:instrText>
      </w:r>
      <w:r>
        <w:rPr>
          <w:lang w:val="en-US"/>
        </w:rPr>
        <w:instrText xml:space="preserve">llUZBlMg3dVGKySeyi3hLl4VcYXDa313wPxeIdXJqIh2NGiSQMQS+IZOznPuZDGiYYRgYaHbDK9diUph3jMTHjrAjAeAkljT0oqeROh5KHgS6IAh4MptVL3CDVOU7r/MOC7S+g6naF4VqAf8ST9tvmzfbnjcVzyOn01ZtWc/J2JlOilrWynM81nzHdm07hFPXpbyv+lulwn8/v1ZSnt2wl/r61Wnz58vP/AGmodP0=&lt;/data&gt; \* MERGEFORMAT</w:instrText>
      </w:r>
      <w:r>
        <w:fldChar w:fldCharType="separate"/>
      </w:r>
      <w:r>
        <w:rPr>
          <w:color w:val="000000"/>
          <w:vertAlign w:val="superscript"/>
          <w:lang w:val="en-US"/>
        </w:rPr>
        <w:t xml:space="preserve">5</w:t>
      </w:r>
      <w:r>
        <w:rPr>
          <w:color w:val="000000"/>
        </w:rPr>
        <w:fldChar w:fldCharType="end"/>
      </w:r>
      <w:r>
        <w:rPr>
          <w:lang w:val="en-US"/>
        </w:rPr>
        <w:t xml:space="preserve">. Copy number variations were detected with </w:t>
      </w:r>
      <w:r>
        <w:rPr>
          <w:lang w:val="en-US"/>
        </w:rPr>
        <w:t xml:space="preserve">ExomeDepth</w:t>
      </w:r>
      <w:r>
        <w:rPr>
          <w:lang w:val="en-US"/>
        </w:rPr>
        <w:t xml:space="preserve"> and </w:t>
      </w:r>
      <w:r>
        <w:rPr>
          <w:lang w:val="en-US"/>
        </w:rPr>
        <w:t xml:space="preserve">Pindel</w:t>
      </w:r>
      <w:r>
        <w:rPr>
          <w:lang w:val="en-US"/>
        </w:rPr>
        <w:t xml:space="preserve"> on short-read data or in advance to exome sequencing by array CGH</w:t>
      </w:r>
      <w:r>
        <w:fldChar w:fldCharType="begin"/>
      </w:r>
      <w:r>
        <w:rPr>
          <w:lang w:val="en-US"/>
        </w:rPr>
        <w:instrText xml:space="preserve">ADDIN paperpile_citation &lt;clusterId&gt;X776L736H427E848&lt;/clusterId&gt;&lt;metadata&gt;&lt;citation&gt;&lt;id&gt;41</w:instrText>
      </w:r>
      <w:r>
        <w:rPr>
          <w:lang w:val="en-US"/>
        </w:rPr>
        <w:instrText xml:space="preserve">A5ED5D3157073F97C978233C5DAD5A&lt;/id&gt;&lt;/citation&gt;&lt;citation&gt;&lt;id&gt;86926BFBEB6E0D34A8AC4AC6EE0E4FF8&lt;/id&gt;&lt;/citation&gt;&lt;/metadata&gt;&lt;data&gt;eJzNWGtv20YW/SsDf+i2gCkP32QWxVaW5caN7QS2kzQtFsFw5lKamiJVPvxo0f++55KyRCttdruLXSwCBxQ5c899z7nz468HH605eHEQuNNwfhKe+G4Yy9g/TeNZGiee78/</w:instrText>
      </w:r>
      <w:r>
        <w:rPr>
          <w:lang w:val="en-US"/>
        </w:rPr>
        <w:instrText xml:space="preserve">Ck+lJOD04PDDd+mOzVC5WmyTPwyxI4kAHeRCr2JdRQl6ifcplJN3cmMTTMsSuW3q8r2rTYNebs8uT+flfxfW6sK1TkzJ4butOt12tCnGnaqvKtsGmri4OXvx4sGzb9YujI/MwMZWdVPXiyJUTV8r4CLo5rhOkfuokURQ5yccY23h9gw339/eTUmd2UharSWmXk0V1d7TushWZI19KP/WjaLT8T8sfRH0KsZX9d3irsjD58/Igp7DNkhCAXw8eSdX</w:instrText>
      </w:r>
      <w:r>
        <w:rPr>
          <w:lang w:val="en-US"/>
        </w:rPr>
        <w:instrText xml:space="preserve">Y4Uk3Ofjt8MA2TflRFS0LSQPpRNJLsUXluS2sam1V4svF67l4RY/iXGUir2pxVrZUFHZBZSsuqYXjbxvxxdOjuCbd1bZ9PBTf27+oUnxnVdVW5UK8Le0d1c3u06GYLW2pJuJW2Uf65uGntpuQ6Sa6nIhrvayqQlS5mBek27oqrW6EKg3gocSqV07My4UtiWpbLv4zuJsliVNbN62YbmwnI15Wzdq2qtfiPxE+q4pCZVUNne8I+pfV3aD+DC6kunf</w:instrText>
      </w:r>
      <w:r>
        <w:rPr>
          <w:lang w:val="en-US"/>
        </w:rPr>
        <w:instrText xml:space="preserve">qt1RS+2TiCd1RUa1X+Hw48sS5zQk/LZWamkNx2hmoNNbkeqnKxVLZzynz34/me8jT1YrETd3BodfQiRinaW3btXQoXtryATIOxdtXE862rGlrpTkJN14YqpRdBH/UJOxqXdUtylbQXVV0/EHVj6w+HCFsKVRR8K9Vw24q2E14WSqUPE3EVMMEBLR3LSG87MFWGGqRWBwG7GHAqmt2QhZjTdAvhG2ERhexqkcSXWlgPXQyyD2hiRXoyl7e4U7LHtL</w:instrText>
      </w:r>
      <w:r>
        <w:rPr>
          <w:lang w:val="en-US"/>
        </w:rPr>
        <w:instrText xml:space="preserve">YhlQzKFrYO16PLqBK26yaCfwi2iULX6o1kuFQ3BNUa3RtM2jMWipbIBnXNfyukQjtUrWiY3lvLJQoDrGq2TY7uGJRIWDL1aFoK8bWFeIk+qVDdjWfdsPeh2KBiJZsOYJ3KPK6WomzouhWiKpolojAgNDQzx1SkO0wqlWsmek0VOx3ZLYqqoXVkN6o1bqghmOM0BeEAA9d+YrFnLFGvUKj9vxuUEjMEFEGeNvw/0NP516mFsRNPg0dt2/8eVVwHND</w:instrText>
      </w:r>
      <w:r>
        <w:instrText xml:space="preserve">H0Q1/qrq6VEXeFQW3LWqXlelNW1XoIV2h6o12jwJbN6dMmupI5SYKgsTXsZ9GsaZIZzJ</w:instrText>
      </w:r>
      <w:r>
        <w:instrText xml:space="preserve">y0ySLjYpDCoKQuJNyt+zbbRQ4fhwwvuoAgo76468HtrQtsoPVe8WacTfhZ2V7PblltdyEDz6Q4AXDkehFiR9QEjs6cn1HhpHvZBSnDukoTdJIhm5CWFyoXtgHQtd+BnU+gjrfR/q2q8T5FkorXyc6UADwA0cGCU6ILCPHcxON8JE0brCDwt59rO9HWN+jD+T0iWmodfH9FjGO/DTwTeR45MWOjCLPSXI/dzyVeVms3CRMopFx2LwPOX8/wpzXVjv</w:instrText>
      </w:r>
      <w:r>
        <w:instrText xml:space="preserve">vuyyr9mDP1cr+hCTvVw/QMk8o8CLpGBkbQJvMUQEB34Rx5ulceWO/bgTsoz+LI9lalXvAVwrHzyiasaEQxIScLA/hYukRXJxnjsGJGia+F2l/5OJ+9z7mDyPMHwi1twd5yQXxwy6oaZCk2gsdSk2I/AlCJ0mi1PEDV1Ju4sBN0x0ibz74DaWiLaQdP57b8havNxSowUmDIgHLqBYFTdDDn179bVl8TeUXRf31F2W3+tqXX7CA5us/y51u0YbYcEJ</w:instrText>
      </w:r>
      <w:r>
        <w:instrText xml:space="preserve">HrPVSTGv02IIGltI+rrlFvHnzcXp1czY7n/d6Z1RsypshQfT6MmAC49wuDrZFPyr4i6qYiGMUOjee6r4kZjxzf5YEp/No6qXHrjuPp6GH1PS9+elpKOVMYik37RVr4Ca+32OXiw4NB2+Io6DR/foYuJEfuW4YJcEk9UMvSaH+qo/GiPfhSBtIl0SoWPULE2KFMr6nUNhErp9LbUyWmEzlUaozygLJejSwSNMQXtJBmMcSTcH1UUFBniK1Au24WsW</w:instrText>
      </w:r>
      <w:r>
        <w:instrText xml:space="preserve">xGyWe8TihTKXnD0A8QT9mmmeb06omu0C7ypFWxL3rrDy3WY1z8+AF+m3/6rzS7LnNkt5V8xWOGwCvcTrWk9ta3dv2l28W/JYT4smjl6r31BteJV4Nqw5+41Qe9EYKetHx6fH8OJrLEz+YJtNZMJ1F87mcB6enyXOmLwM/Un7g+cpXcEZGyqcg0p4bZ4k2WRzB16gfGnpwx8ie+08ZfOofod3bJ7qom6OsbUJvTMo/x+E9JAjSLP2ny1f6SA153By</w:instrText>
      </w:r>
      <w:r>
        <w:instrText xml:space="preserve">9uZj5AdqeP0ZRWhlUsp5U3bqvqj21Nrudoqpuu/URjPiXDfijIWGr/PMh4TMSx6OAH8VOkLju/vSwqsp2yQv4i1Fcivy0Gyo8HiqeTw9vZ+c7cjsigXh/KM6r0myIoLibrAu1KKvim04XE6Un3e1zcnjx+ubs3fTm7PXlCzF/YII5YiJL1TARYQID2sPUqWSuxwwPnLtlBj2mQy34/hPFy1Rje853QUxJwD94HcZJEAvws5ap3z0TPALf23hjYGG</w:instrText>
      </w:r>
      <w:r>
        <w:instrText xml:space="preserve">6Wj8KNMQMErdU6svZ5bvmK3wrW3A42MrAjAewgXwACr8bGsO8rO5B+kH/9Ib5sJSBUdHYVho410AYi4J4AFqA4wp0z5509RTN0LpdMtFDwwIgdIGJbW9k1zMqVVZQod5QNPElGK3CslUGrvfEiTf07SsB1yrIzanuFYA5vXHVwITZtN74DFFvHwX8wq806Czo98A4d3FqWlqPzQUHX5a94mMZGaYPQig3KrBmII4a1jS9cIWO/8hRY+kaARt6M3h</w:instrText>
      </w:r>
      <w:r>
        <w:instrText xml:space="preserve">wN/B4eK/3JKCu5tdvz2+uX4iX0L+n15aVZ8o6pNEJO4tZdEn32429k56oNBNyNFMO+77t0OF3TZiMZA9sHS6sMh6IVhUT3yfX9fHSVccTCUeWLerX97KHtZzRnS0MJ3W1bu3K/gJddhFpqGWa2+cSL16ph35ND7CGq/u3w8DTJxYSZohp0xUYMUeqAnNXNkrXVcML7y1LrnmS48wYMpLVBTJrqsoBqqY7dn/xiCVIOHYil17DIxHCyTY3Kx7WvqQ</w:instrText>
      </w:r>
      <w:r>
        <w:rPr>
          <w:lang w:val="en-US"/>
        </w:rPr>
        <w:instrText xml:space="preserve">JsrYqh+K4r1hkyakG65d8qFS/PC44kDCf+kGQ50p2jBkcw7FSa1S8Ao2AjCEjaKTaUDxeINbIaOLKxCG1hI52xcOjXa26Et4dxkH8AQEuoGGgQwX0Mn7u1JDUpRlq+AG9SLSqXsDlNS36cQ8plYPYbLPWjWW/wQtlbxd6zDYfxXpbdRPxuqt3qQwXl63NLVsIh5ToUwX2dM1wbbB1BEf6qX014t</w:instrText>
      </w:r>
      <w:r>
        <w:rPr>
          <w:lang w:val="en-US"/>
        </w:rPr>
        <w:instrText xml:space="preserve">vpzdQbLg1ez14lCOy76dn59Pjs/Ozmw4v+XkPDysFzdjNrbjG5a2assmWF+L6hX9X7U1zBc/oWBKjXHB9GacKALOgOvAA9kZ6qfoZCrWlJ6DfQ+QoETy/56ek64cvZ1fTyq/FEOP20LPZLAmrTfr+nBzjSrvq49spsGkTvIRbyO735qbBHg6QXB7HjxWGwP0tumEniKqWkNF7o5dLPE8xIiZKBpsA1EZheanzCiOYf7E+fx8+OWTGaHofDVfp/OD</w:instrText>
      </w:r>
      <w:r>
        <w:rPr>
          <w:lang w:val="en-US"/>
        </w:rPr>
        <w:instrText xml:space="preserve">2+G00A7yzqu2z3ZoA3w0Ep3u3GAIkpMvN9R4d5wuNO4mSJ7zqRzkFRpdZ5NhoDNvv3R4/vRsDfgeA1e7CzDkSlEd9tUSMpM5Xq0Ik8P8LwkYCn5nGGIctLZJ77Qe6PUIft+6AXI9ALi0ONij3Y+RqHBnLgYoubuBqImOZApcmRSeo5aa5SJ9Z+LHUSZhSOxqzN/k+Guw/j6Q7yP+zhXlS3ol80gIZpqiiSkQMLFUA1QIM0dYybJknmURoouQPF5k</w:instrText>
      </w:r>
      <w:r>
        <w:rPr>
          <w:lang w:val="en-US"/>
        </w:rPr>
        <w:instrText xml:space="preserve">9m2fEou1qpPbjrljIcv4tGzLeYQUApxidMd4GJN9MdwukoRb7ROk0xwO8wtxL2ka9HyNdVbvehv60tn3TKVJ243l1NmIi8kKTjpiEMdsPESRNoQBpZ7+axiuQouiMZ+/CX4yH+0vYjZSPe7ynxvqqMuNxN8Fr5oatj18nCwIXtKneySMXQgWSk3CDNA7WD592fN3u9tLQH+VKt0LtaNPud1dJD8bgydyjykNORGzgpKssJpSETum4c0wh2K+ET7N</w:instrText>
      </w:r>
      <w:r>
        <w:rPr>
          <w:lang w:val="en-US"/>
        </w:rPr>
        <w:instrText xml:space="preserve">djcFtlfEa+3sM/RsdoRL90AHdJBsoo2OxLjy9MUEtuZpyIMEPI2A3jJN+B99v3gafjKp4abnx9xY5xb5b9cFqL6a6WQzQyDKGh4/moYJnIwFGJmzoyd5WMvNikibuDfpKwj34yAj8Bl7xF213up9urDicw/rU4/k92dycydCVffWUKGS7jGOkWUuIkYR7p1PMz5ZudAiMZ+zpcjXTor1jqPfyTChNKfyl9tUVPiZKUwsxxDVJORoRE08Zz4tSH62</w:instrText>
      </w:r>
      <w:r>
        <w:rPr>
          <w:lang w:val="en-US"/>
        </w:rPr>
        <w:instrText xml:space="preserve">OVmnSEvpXw2ZQjsITH/esb+onPLLobpZxKZSYjqVBoqk+5yFEB2kueqDwMdOrnoT+6w3mS8D+4yPnMvPinr3IwJ/Or8YD8+7c7m9OJx0mnfXh2xfP8VP03r3e85F+53HHTiRcESRxuL3dGFwJ/cLmTBWkWB9KNogSJ7EcSHSMIYxedMsmMivYud1xNKjM4UdzYQ4NNfZwoJEPHGO0HXhx7gfH+jy53/v4Pr+OXaw==&lt;/data&gt; \* MERGEFORMAT</w:instrText>
      </w:r>
      <w:r>
        <w:fldChar w:fldCharType="separate"/>
      </w:r>
      <w:r>
        <w:rPr>
          <w:color w:val="000000"/>
          <w:vertAlign w:val="superscript"/>
          <w:lang w:val="en-US"/>
        </w:rPr>
        <w:t xml:space="preserve">6,7</w:t>
      </w:r>
      <w:r>
        <w:rPr>
          <w:color w:val="000000"/>
        </w:rPr>
        <w:fldChar w:fldCharType="end"/>
      </w:r>
      <w:r>
        <w:rPr>
          <w:lang w:val="en-US"/>
        </w:rPr>
        <w:t xml:space="preserve">.</w:t>
      </w:r>
      <w:r/>
    </w:p>
    <w:p>
      <w:pPr>
        <w:jc w:val="both"/>
        <w:spacing w:lineRule="auto" w:line="240"/>
        <w:rPr>
          <w:lang w:val="en-US"/>
        </w:rPr>
      </w:pPr>
      <w:r>
        <w:rPr>
          <w:lang w:val="en-US"/>
        </w:rPr>
        <w:t xml:space="preserve">Variants were annotated with VEP</w:t>
      </w:r>
      <w:r>
        <w:fldChar w:fldCharType="begin"/>
      </w:r>
      <w:r>
        <w:rPr>
          <w:lang w:val="en-US"/>
        </w:rPr>
        <w:instrText xml:space="preserve">ADDIN paperpile_citation &lt;clusterId&gt;S824F871B562Z985&lt;/clusterId&gt;&lt;metadata&gt;&lt;citation&gt;&lt;id&gt;BF05D4D098C1086F98924BB3FED37302&lt;/id&gt;&lt;/citation&gt;&lt;/metadata&gt;&lt;data&gt;eJzNVkuPGzcM/ivCHHLasSXNe4Og3Ye9CeoExm7aHIIi0INjqzuWXM3Mbtwg/73UjHftOECb3nqyRib5kR</w:instrText>
      </w:r>
      <w:r>
        <w:rPr>
          <w:lang w:val="en-US"/>
        </w:rPr>
        <w:instrText xml:space="preserve">8pkh+/RJ+Mjs6jyznNrtNrWpVXjJb5vCornl5eJvPZdVIklEdnke63n9q1YCgtBBe6rEtVUg66KFWeaV6WupRKJWmdaJkL1E9Qy7RtD6jC8HwPu0fndYufN2DdBl6Sdzd3L8ndu+VL8pvwRtiOCGtdJzrjLGr0vonOP0brrtueT6f680Q7M3F+NWV0wliZT1uW0KyKKctjWhVpnKJSkG5R/PHxcWKVNBPbbCbWrCcr9zDd9nIDesoLnpdFlf2r+E</w:instrText>
      </w:r>
      <w:r>
        <w:rPr>
          <w:lang w:val="en-US"/>
        </w:rPr>
        <w:instrText xml:space="preserve">ZNhe+MaqCdLt9epWWVlPxYbTVEIo1r3Go3wV80r8B2XjQT5TYH7R9xefTuezee3J1Gv2MinAmE/oM5NNOYdg2Y2S/RxtlujQp5yKHY7U87EB6PHPWir2eRqGvTmJH282jWe7cFYclb14DqG+HJ5RggWQjpvOic352RZzH809ja+Q0aUC15Y9vOdH0HZ+QDNA2yAGRMOLkSm23fnpHXxn7unD0LF9IbvULZq0tGCbu7PiO//jIhjxv+M9I6EWrS30</w:instrText>
      </w:r>
      <w:r>
        <w:rPr>
          <w:lang w:val="en-US"/>
        </w:rPr>
        <w:instrText xml:space="preserve">/I/8Gl/4MPNWZIHBGDqUSjTXhi79dAZraFjWyeX9OsrkF1ZOlBG4XuobiQLRan6n5Qg5iWCLJ1j+DrviGdc00LHcGwSIfqwopm1xr0/fBww1mTrTfOm878NdwRV5PhqRhFHkaolhhLlNPGrgYF62y8//SwQp12Qt50aMc9GA3ohVLQtugBShP43IFtzQOghQazcYpx7M2j6dYYQ4CFbhekjO0wHIH2grm2Nx3RBgP3+HAR/M/eeNjguR1Dac1m2w</w:instrText>
      </w:r>
      <w:r>
        <w:rPr>
          <w:lang w:val="en-US"/>
        </w:rPr>
        <w:instrText xml:space="preserve">Bx22CvHWJXztZm1fsn5wd/9qGMjAzOI3lYC5a0rvcKk1l7gADZt7A33W+3ziMXSG6D0Bit7pWR+BpHVz20fdOhtR9KlkJqBm9NvRvsB9IawNKEJ9rH4LceRnpCEgRSpIF4YVcQMNuu1zuCnJsVJiE0FLGC0LYZD5Ogdo0Gj98fsRv9gZFhxMH9575O9u0QZfcTg+csTfI8yZO0EqxiVUUZK8o0z7UoRSITxhUTnI4TI/QgluZZnFc0NCvRd2us3f</w:instrText>
      </w:r>
      <w:r>
        <w:rPr>
          <w:lang w:val="en-US"/>
        </w:rPr>
        <w:instrText xml:space="preserve">OPXyJjsaREE5z5EFwxvg2V/ME02L42g3PhvXWh90Vv1UJgSkmQHOdcKZmkqc5jSRWPqYYiFprJOOWyELwqdF3XKNyIwepeHxvkN8CLI+CF6EPRnADfmIYsnkHrpE7KFKEqnSUxLVMeVzStYiiVzktRoU/JARR1TwHvZkeId8KLNZmdIL7uMbOD3IiZ5jxhKS/iUlEVU6l5XOYlxBVwqmRdSirkATNon4K+vjsCfS1CxeC7v8MSX59g3+LgIIP4iI</w:instrText>
      </w:r>
      <w:r>
        <w:rPr>
          <w:lang w:val="en-US"/>
        </w:rPr>
        <w:instrText xml:space="preserve">0jUla5oHHByhqx6zKWUmZxxrSseJbohBUH7KB9in1ze4R9g/GKDbkld9/hdmptsIneHvIr6pQLqmPIE4lUU4lUl2msKVeZooyzNDmGHgycol8cgV/YP8QJ7Pt1+LCWXBwiTmmRCMARrIUIbKcxMlzHhS4U1nsBZa4PsE8GTnGXR7hL0TcnuPPGKLgny2dUqXIpFcekKq5jWkASV3mhYlEXBU1zJZhiB9RR/RRzfoQ5D7PlBPSqtzakHBMwfwYGwJ</w:instrText>
      </w:r>
      <w:r>
        <w:rPr>
          <w:lang w:val="en-US"/>
        </w:rPr>
        <w:instrText xml:space="preserve">0DMhEXnAGuHQnEkhVZXILOUw0iqUAdgA8moq/YMJRBy5e7hbH3+Od+tWvV2uE8xWXHrRoYFqf91U/r5hXYF41/9cL2m1cJfREMtK/+2054b+xQMdDi3qPW5GLcysZdqdttw/xcLj9d3L5/c7UIrwgXv3B1vPE1QkLzbdc7dLywCIROGZzDPffQPMKGFbuQffdoIexcs+SqTOez/IJXl4zNiouMV2mS8Nl8nlF6RQcou+qx5wauwx784Jp+M6zR4e</w:instrText>
      </w:r>
      <w:r>
        <w:rPr>
          <w:lang w:val="en-US"/>
        </w:rPr>
        <w:instrText xml:space="preserve">EoD2LIDsuqLOUJr+ikolVO8+D3kKGj/RaH/bgKUkxfcO+tzlBC67xKQWuGUjmVSmeCZnUiWV2zMisCNePQGlNeYNPEp6ti4EMPq6pYlqmO86KmpaZ1QqvQT7RTs8+IeC06EZZP086dBxwj0XmNBQehvb+xCyO98EhS5/vhauFUIHMvMhA12wgT+N0CTqvJvRc4xf/6eRVuQ3k88flODLwsgxT5ZZSKvn79/W/iJBaR&lt;/data&gt; \* MERGEFORMAT</w:instrText>
      </w:r>
      <w:r>
        <w:fldChar w:fldCharType="separate"/>
      </w:r>
      <w:r>
        <w:rPr>
          <w:color w:val="000000"/>
          <w:vertAlign w:val="superscript"/>
          <w:lang w:val="en-US"/>
        </w:rPr>
        <w:t xml:space="preserve">8</w:t>
      </w:r>
      <w:r>
        <w:rPr>
          <w:color w:val="000000"/>
        </w:rPr>
        <w:fldChar w:fldCharType="end"/>
      </w:r>
      <w:r>
        <w:rPr>
          <w:lang w:val="en-US"/>
        </w:rPr>
        <w:t xml:space="preserve"> or </w:t>
      </w:r>
      <w:r>
        <w:rPr>
          <w:lang w:val="en-US"/>
        </w:rPr>
        <w:t xml:space="preserve">Jannovar</w:t>
      </w:r>
      <w:r>
        <w:fldChar w:fldCharType="begin"/>
      </w:r>
      <w:r>
        <w:rPr>
          <w:lang w:val="en-US"/>
        </w:rPr>
        <w:instrText xml:space="preserve">ADDIN paperpile_citation &lt;clusterId&gt;M838A928W318T199&lt;/clusterId&gt;&lt;metadata&gt;&lt;citation&gt;&lt;id&gt;C48E15BB845106D28A9F83603EE8CCEE&lt;/id&gt;&lt;/citation&gt;&lt;/metadata&gt;&lt;data&gt;eJy</w:instrText>
      </w:r>
      <w:r>
        <w:rPr>
          <w:lang w:val="en-US"/>
        </w:rPr>
        <w:instrText xml:space="preserve">dVttu20gS/ZWGHoIEMGXeLw6CXVuWZ3JxYNiZzEMwCJrNotQ22a3tJq1ogvzNvOx3zI/NaZKWNfY+DPZJVHdVnapTt/7yffZVVrOT2SLOl0FydpbHSeCn52F+WlzkUepHy2W+WCyXs6NZ1W++2jUPIF1GaUxcVH7ui8CvglBQmcUhhVUUlX6Q+1WO+7SAlrS2J6gk+L6j3VabyjoLUktVa9PyTgr7mtE33RKz9J+elJBq9ZqtSOlWCsaV0h2ktHr</w:instrText>
      </w:r>
      <w:r>
        <w:rPr>
          <w:lang w:val="en-US"/>
        </w:rPr>
        <w:instrText xml:space="preserve">NpOrI3POGdYYIBnvTzE6+zNZdtzk5Pq6+zSst59qsjgN/Hvh+eLzu234ehkkUQNqJWchtt9u5EqWcq6adK7mer/T98aYvW6qOwzjNsjTID8T/kc1R/bnZB3vHs9/AoJYI/X/aAU3qK2+64b7IPUjEOIbZRto1IUXfZ61W3Xqickfc4DP0g3j242jG61o2cmAJp2+V7WTXd8TAMLukSgpwxlXFfu5brthPpMjRfsQWa25k9+d/vV+UvCdj8f1HZxG</w:instrText>
      </w:r>
      <w:r>
        <w:instrText xml:space="preserve">J/F0qdkamkepo//sTIV9q93o6YGcGNkmVvV</w:instrText>
      </w:r>
      <w:r>
        <w:instrText xml:space="preserve">mxBbncDIDXhNyRgTf3xD6t8bWRZNnLs8X1p1f/J+YcMfPSdoYLx9EnIFth5KbzSm6pOqiSIc4NrK1QI/jDm52VlnFDrNtqBnEUle1oY1FOrFsTE7rd9KPyQNOkoWu2XeuGvKe1iWLdkJEtIh5srEY6WSX5SmnrmB2cqKQlOOe5e/dHaIS7Yxujb0l0ds5+JkNHbEs4Igtr7J0L456bI8bhImx4vNFQfsfvOeObTYNEjjFaqDWN++XjbSNLw2G9Ii</w:instrText>
      </w:r>
      <w:r>
        <w:instrText xml:space="preserve">tXCox0iJVY78iBjw03K6TH6rrbOipqw1tCM97ZIWVjiM7poe0eeZvvfXKmXFx/b0IHI1EDnax3jDfu8CEzEK5rBAoHStyxFbKtGCxJrrqjMU1G30PbPtalw/7sRIYwb7SQ1O08l6HGqR3k2bJSd+vB+8nmA6BLkdCV+5mSRmNCrCOQ2G2vxGjhgMZeDZ433PlraDXeQ0lpNRm7/nh6GN4BNQLO88Zq1J1xQ43VvJXNbqrN58W4lfD88+g1WzjaLo</w:instrText>
      </w:r>
      <w:r>
        <w:instrText xml:space="preserve">ZRyF5+Xly8YuhlmoQq3nEkS7espbZEt7iy5JN9hAe7Kz5EzNHo6EZHkys2zFkyc/aLHe9A8l2nN1OtEyps77wBR9I4ilhNW9gUWlXWJXYiG46zbrcZhgj8G9wbvRvLxvl4QAbiqxEt3ENdyoaXkO7hmRma7ezmPGQuDcrSHAnujXAdWNFhMpzg85pHMh6qfHDBsY4Sr/RWNZpXYHogatoGLlJsmbkYxg3NgfBycBqDUYP55tVg8WGAr3DVl3NoHU</w:instrText>
      </w:r>
      <w:r>
        <w:instrText xml:space="preserve">8ax7dTRG72YJ42bo09RHkCTm4P++6wix5K1A1wviK375I495LETe5aN+ACZ1+wEW4RP4qi7hssstnYBW2/157WbRBQWvlhnhW5CINShEVU1lmVJYUoojytsHXjigsx7ZFhhySFl2WF2yG879Yay+LL95lUskPkzqFL54o01k3TS246UoNvrgo7t25m7/78w00MJzc+EQSFAK9hN4gSz69r38szqr2i5pxXsR/6wyZr+GBzVMdu+hvq+wPU91w+gf</w:instrText>
      </w:r>
      <w:r>
        <w:instrText xml:space="preserve">yVo1bf7wEpyZIIzxEvikXt+UEhvJxT4eV+iGTHYRGW4hHQKT+FuzmAuyF0Iy6exnnGe4R5s0flcUSlX2RekWex5ye+7xUu4CSgrKSEZ4VIH1EH7aew5wew5+jUZ5g32HYN7dj5HjXMKyECEl7pV+T5eZF6ZRhUXuJXSU5ZkoXhQayT/lPcqwPcK0KXP4F9bzg64Hd2tYeF4ZzSHJzmXHg+RZnnnnVeWOVJIGK/5PEB7KT/DPbjU1z28QnytS6lsm</w:instrText>
      </w:r>
      <w:r>
        <w:instrText xml:space="preserve">jiQXbELuoCBRWkXhHWCJkqRzSePnnmZyjrzBX9I/aDhdkPtI1Ae1Znuw9S3eFqangrsK3RrSutVw0NnTwd/WvdvCH1ojFvXqi+fRP5L5wB++YfvhvvpBpiwI7mRqzZqcGKb2h8nmEwurlwdfX19PrT28WH5eBySc3U4Q4J795hdKAh3IPN0+1s3/pj28/Zpet6N2kwzcg97ZbRIo8vlulpWJwFwTI7TcIijqJweXGBmlz4EL3XTd869CgZUNWqB4</w:instrText>
      </w:r>
      <w:r>
        <w:instrText xml:space="preserve">brHFdwwhAf2A8SKKZxVqTzOA6zPILj7Vh1j69dLLbxnekjP87pyyqBRJ7ksQiSOozKIi+LEBOoSNMoFZT5SViVbkgNM3xqHj9MI16QJ9IELYtJ5Y29JPIyi6ggn9xIqrRYfgPiOTaHe9lKi/1HeLfMTmrUFLk59lZ9GEfr7KQz/XD0QQtH2CQyELVssWIAvHFlN78bC/TfK3fqKuCBz4984Gkszn0Z//jtL2PgSHQ=&lt;/data&gt; \* MERGEFORMAT</w:instrText>
      </w:r>
      <w:r>
        <w:fldChar w:fldCharType="separate"/>
      </w:r>
      <w:r>
        <w:rPr>
          <w:color w:val="000000"/>
          <w:vertAlign w:val="superscript"/>
        </w:rPr>
        <w:t xml:space="preserve">9</w:t>
      </w:r>
      <w:r>
        <w:rPr>
          <w:color w:val="000000"/>
        </w:rPr>
        <w:fldChar w:fldCharType="end"/>
      </w:r>
      <w:r>
        <w:t xml:space="preserve"> </w:t>
      </w:r>
      <w:r>
        <w:t xml:space="preserve">and</w:t>
      </w:r>
      <w:r>
        <w:t xml:space="preserve"> </w:t>
      </w:r>
      <w:r>
        <w:t xml:space="preserve">analyzed</w:t>
      </w:r>
      <w:r>
        <w:t xml:space="preserve"> in </w:t>
      </w:r>
      <w:r>
        <w:t xml:space="preserve">VarFish</w:t>
      </w:r>
      <w:r>
        <w:fldChar w:fldCharType="begin"/>
      </w:r>
      <w:r>
        <w:instrText xml:space="preserve">ADDIN paperpile_citation &lt;clusterId&gt;N976B133Q424N247&lt;/clusterId&gt;&lt;metadata&gt;&lt;citation&gt;&lt;id&gt;031EED1302D10B20A3B78E27F87B6F44</w:instrText>
      </w:r>
      <w:r>
        <w:instrText xml:space="preserve">&lt;/id&gt;&lt;/citation&gt;&lt;/metadata&gt;&lt;data&gt;eJzNWNuO28gR/ZWGHjYJoJZ4vxgwEl1m1oOdGRseewNksTCazaLUFsWmeRl5vPDf5CU/kCe/+cdymtSFo9k4Rp52HjRSs7oup05VV/OX30bvVDp6NrJc++JiabuWs7StuWPN3HkYXTjhZRTOg0vPG41HaVu+q9fChnRgp9KPo4CCOE29zCeZUJIFaRxS5kZ+SE6cOKEdYJeq65aw5e82frRVPnr2y2j</w:instrText>
      </w:r>
      <w:r>
        <w:instrText xml:space="preserve">dNOWz6TT9OEm1muhqNbWtiW3F7rQQ1XS1EcLxjLiRqyG42+0mhUzUpMi3k0KtJyt9Py3bZEvp1HVcNwo993+Kb+VUVI2SOdXTVzeL0LVjL/AG24QUKW2VnOi2nEi97ZzZb+G51pu2nMLfb/gKJZRqOdmmkidU5aqYpDS1oyh2pnb/X4tJmWbfIR/2/+u2LPPv3DKI5XtkvoX9r0i3Vkjb7weLpBbvRN4YATdwuBcHDpaRklzVawKhfhttddGsIRA</w:instrText>
      </w:r>
      <w:r>
        <w:instrText xml:space="preserve">a6ogHfDMiDyQq89VyrNHn8UhkmcqVaJQusLp4O79inC10RextoRo2V1oVma62kJD1mM27aNhVUTeqaRtiOmMvCI6sj89sy7bDMfuRsKl4mLDFWlSq+fov6IXKe6pq/PpnU4M76hPk+21jJnVV6kpA55a2QM2ovqxI0aNtR/EX7TbRedrwR08/tUcBUaT/j7s34iNbUp5UX7/IDVtQ0cAVIMBudE6yzQW+wXOpCjrpcG3HH+h4ZK+TFjmeFmRA7By</w:instrText>
      </w:r>
      <w:r>
        <w:instrText xml:space="preserve">D96I4Lo3/8CC5ru8OAlzSPeW63AKdTsVS1SRqYj9WKN1xh+GrXBQA8KS1w/AMi5MBz45/H0GzDeIafYHdNaBhfQTxnJzHIB/YC12XqoGluS4QpvlkPrI0zPR/j5v9eX714i9jNisKwa91q2rBfxJVLdf8rqkmzBkb2oTREcYnfrPs65eqz/Kqi3XDrr9+SUhuxuw8F8cHDkCOTj//8BW0pBLduSMBVm+pXFc616uHbuMh1VcooKKGAbYQlSmZxes</w:instrText>
      </w:r>
      <w:r>
        <w:instrText xml:space="preserve">3COQb4A9q7jUZ9BCS2f9mjW+lImS64+MT9NHdRFI3lZCmL/4sqkv0QqZAFtbWVPGsUlSk+QPbUcIE2jocNI2vM9WsiX1oRW7YI9E5EcqYoTfCFVWsxqyslEYW1KduiwFH5A+1qnuYOv0JSiDFz0I3vV7EtLydsXukTwCkVDSC7RRCFDAp25pBpgIqLN3Xz2pfFyBSYxyXohRJ3oFTVlpSXcOXoz7AmxsXqe61modGuGLbNm9Uie+12OIf9AG8wz7</w:instrText>
      </w:r>
      <w:r>
        <w:instrText xml:space="preserve">gAZOibXRXOFDycHAa7neaSl2i0/XYVPShpUJ2uG+PPVBtS8DcB19WVEOCGBJqYjQ41KxuJQKt2QI5Qi4m7LKtAHI1ZjhXEM29SjupEpxtuhSUollrQIDmiiTUoDMEVCHzNjVhL2bLJXpL24P7RtSNUdY5sEaDaB5KtIhabVVuyuWgYMLeIjcGymKfzhMOfcIQJPwC+qfM1ce4WhQZfIDfaCcmRjgJHUUnUBvPDXGMYG4UPuxVHWz/fDBVij53Rnr</w:instrText>
      </w:r>
      <w:r>
        <w:instrText xml:space="preserve">vhskCTusj6HikqidOGGYbemVtDuliw3ULdY02XNFbYkmldybAMdMG3Y5C00eMM/iKfE9U+mi8R102Wud1B/tBGB6CYKacO7+74gE5oL6jd2dUVmT6S++q3hWP3D2lapjVp+qxbNQawdni5kc+u3nFVi3ogPgMaFcFk7kGihJyIjEtzTCxA2m7byulqXJl1rvYD/7uQDjQSq0KoPrI+r5c94kd1nJHWyVWhTZHSydgCC0q8LempoGfNev1ykolHR+</w:instrText>
      </w:r>
      <w:r>
        <w:instrText xml:space="preserve">6PNY6a3bI4p/qDta+yyFf6CJ9wRnYIAzEMwHqrKEkIUJfKBvQ9NPexT1Ye3YgbBRHoxH7I+4qdEpT74dIe9bus6AKvtat4R1VppWzHahAjwpNpGkHF7ADpgxZowQjNcuQ0NYUmnFlAPg9PcZsz4SK+HEZXUmaUh8zmqwmTGSG1W2Zir6dr/qi7BrSoULp1CBMu0YGczr16mdwYIuqW++xHDbPo1Xj5yld9aN8mRFYrKjurjsYi/ERYw18S4EKbj4</w:instrText>
      </w:r>
      <w:r>
        <w:rPr>
          <w:lang w:val="en-US"/>
        </w:rPr>
        <w:instrText xml:space="preserve">Yq9/r1hQA6glXodFti8uFybpUaT3Us79oZakdxXYUhDiTQ9cNsygly6bQCsnHnyMiJwjjlPYzeXeRs3xuW15kjqMWHQ3j9i+/jRTGaYUyhMSNcUlVtTmlbkAXyjsfzRzTmNF99ELnzaqiHTEj2t8P7UjYPu50PPCdmFtuavHI8mIeCD8j2wsCz7UgnItO7VEDZvxHtl8ObL/Mzbl/Zvuu0TnS9P</w:instrText>
      </w:r>
      <w:r>
        <w:rPr>
          <w:lang w:val="en-US"/>
        </w:rPr>
        <w:instrText xml:space="preserve">JoOAyjIArsgKeOL7gVSp/HmWXzNLVCYUdeKIhOhvvt51YfRaw2G31m9Fbh3legMk7xhlaSpQFZXMRhyq0EtuNESu5EceZEuOPKMDiZPSg4N3w3MHzXUCaKM8s3LSYCXbO7o+E4jH0vcwWnjFxu+bHNI89LEL6XppFA0Fl0Mrzff253NrA7y+kjvT+z+1MhcP7PTukNfM8PI8ntxPe5JfyIC4pDbiNaGSP6wPdPVrvd5zbfDmy+3dG5QQ3Wb9jbE8</w:instrText>
      </w:r>
      <w:r>
        <w:rPr>
          <w:lang w:val="en-US"/>
        </w:rPr>
        <w:instrText xml:space="preserve">CYh7MEXM0wFnPLgrFYOAH3LCtIwgTfs6HFbvu5yeXA5BIjeqE253QiXBR2bHk062TSctzQ5UgwAvUDAR4nEU/DCJeAxIq82BvQqdt+bvZ6YPZaVOKJzRUlFcl1w65Pdj3XDyKZ8MQSDuwmNk8SfATCTp2EXAe1NbR7UPFNKmNePcf5DhNqjkNgyOUMnIVVWAychFvSlTzybdSuJf0oEmnmRtnA9kHDuen5wPT8/dd/V+dkRg+VaPz8H6oqaiR7fv</w:instrText>
      </w:r>
      <w:r>
        <w:rPr>
          <w:lang w:val="en-US"/>
        </w:rPr>
        <w:instrText xml:space="preserve">SAYj9LhC15GGQB6EUeF76f8cxxQtsP/IiiQfRnes79uBz4cYlD++OZG3ON7QaBy5P9UIQi8lxQTFrcsk338snhWZR4LokUzWvQRA4Kvsnwp8jLNY6vAcPjSLppHMXcC20bQTs+Fx5JZCHxSSSOT3JQyf32c5O3A5O3In1/zrWL9XZD7PZo07fJk5S4PIk9tK00Q9IlRZxcGVKSycgPB/Tudn+zqBQ1T1r0nFqM9qeSCtLUcVzL5ZnvgtohWmUUWy</w:instrText>
      </w:r>
      <w:r>
        <w:rPr>
          <w:lang w:val="en-US"/>
        </w:rPr>
        <w:instrText xml:space="preserve">mPEmFZni0sNxuCa3aPPuMkxJhN6fzhGlMl1vcvt2oDA8b1lda4THSv4fZLf13nz6n4Ia+e/1C02+eu9YNRUD//3peJG1UYb18fZqtZ/2avf21lZgM8fPXq3ez1m6vF9YVZ3kqzNHxViOmE8v1Bbqxv6GF42pm3WvyDOb73p/zghJ91J/zrfvDA0ETmNdiFu4i8y4tg5sRz274IZzhcPdd1Li4vfctamBP1Xue4BEDW68lSrFqMGIbTpvz6gRhx2T</w:instrText>
      </w:r>
      <w:r>
        <w:rPr>
          <w:lang w:val="en-US"/>
        </w:rPr>
        <w:instrText xml:space="preserve">42Bl4QexMrCj3bN/536Rm8IMXdtH87ZyF3xv+b1De9ybZFFoQ40wLXnG4UiTj2pI/cmT9zztWIR9K+nYhUWFEQ8MAzvI4sHI1eTDzDcelmth9Z3YvfVMuLj7C4xMRl3geq+hKXEozGo2cZmEZmYrkqrlWCKyhQbKq2W7rW0uC2F+mAutgKZaAsDRknm0pgFP/0t5VZNQQ54HkrOpxeGSn2Uy81+vz51/8A+4yVxg==&lt;/data&gt; \* MERGEFORMAT</w:instrText>
      </w:r>
      <w:r>
        <w:fldChar w:fldCharType="separate"/>
      </w:r>
      <w:r>
        <w:rPr>
          <w:color w:val="000000"/>
          <w:vertAlign w:val="superscript"/>
          <w:lang w:val="en-US"/>
        </w:rPr>
        <w:t xml:space="preserve">10</w:t>
      </w:r>
      <w:r>
        <w:rPr>
          <w:color w:val="000000"/>
        </w:rPr>
        <w:fldChar w:fldCharType="end"/>
      </w:r>
      <w:r>
        <w:rPr>
          <w:lang w:val="en-US"/>
        </w:rPr>
        <w:t xml:space="preserve"> or </w:t>
      </w:r>
      <w:r>
        <w:rPr>
          <w:lang w:val="en-US"/>
        </w:rPr>
        <w:t xml:space="preserve">EVAdb</w:t>
      </w:r>
      <w:r>
        <w:rPr>
          <w:lang w:val="en-US"/>
        </w:rPr>
        <w:t xml:space="preserve"> (https://brand-fabian.github.io/evadb-docs/). If patients consented to a computer-assisted analysis of their portrait photos, we evaluated the top-10 accuracy rate of the PEDIA prioritization results</w:t>
      </w:r>
      <w:r>
        <w:fldChar w:fldCharType="begin"/>
      </w:r>
      <w:r>
        <w:rPr>
          <w:lang w:val="en-US"/>
        </w:rPr>
        <w:instrText xml:space="preserve">ADDIN paperpile_citation &lt;clusterId&gt;H121V277K568O372&lt;/clusterId&gt;&lt;m</w:instrText>
      </w:r>
      <w:r>
        <w:rPr>
          <w:lang w:val="en-US"/>
        </w:rPr>
        <w:instrText xml:space="preserve">etadata&gt;&lt;citation&gt;&lt;id&gt;06FA7C6FEB700923AAC7C74350A89BB9&lt;/id&gt;&lt;/citation&gt;&lt;citation&gt;&lt;id&gt;FC13ADA959A40A839C168A4B325768D8&lt;/id&gt;&lt;/citation&gt;&lt;/metadata&gt;&lt;data&gt;eJzNfM2P48iV579CFDC2B0hmMxhkkGyjsZuVmfXRnVmdqKxyj20YRnxK7KRIDSlldZbh8173vqcF5uLDHBYD+ORbzf5f+3ukJIYolar7sMA</w:instrText>
      </w:r>
      <w:r>
        <w:rPr>
          <w:lang w:val="en-US"/>
        </w:rPr>
        <w:instrText xml:space="preserve">00JUSFfHiMd7X77145B//8uzPpXn29bNIvLjILsWL6+dZFBUxv7i4zC6zhKfRRV48f148O3tm1ss/d3PJMFpnSezSOE8KxgVzqU5TrgsXJyqXgnMrcsaKNFOYtWzLhWyfLivZdTSzO7/8HS6v2+rZ1398Nl+tll9/9ZVsfyofz5t29pVU3Vcsj9h5lAmePfvT2bP+t55H7zpd1vPy0d611pU/4UfZ/kv5SOutVVV2c4sJf3m2aOrVnGYS+/IJn2K</w:instrText>
      </w:r>
      <w:r>
        <w:rPr>
          <w:lang w:val="en-US"/>
        </w:rPr>
        <w:instrText xml:space="preserve">Oj09WtvQ5Yvmzv549W5WryuL7lbXLl7ZbyWoVhMFrY+tV6Z7Keha8la0NXtrarkod3D/Vpm0Wtgved/QjTQtuQLLGN+JMdatW6hUovpC6lFUga1k9dWUXrKye103VzErMnstHG7RWY5nqKVhY2a1ba4L1Mlg1wWpuAy2XUpVVuaLRjQvsT0vbrgJdlXUJunUXlHXQbbgJyoHfUstV2dTnwbsmMHJlz4hUZ/eX1s26MkFTY93NtKdgObd1s3paDmv</w:instrText>
      </w:r>
      <w:r>
        <w:rPr>
          <w:lang w:val="en-US"/>
        </w:rPr>
        <w:instrText xml:space="preserve">JwNkPgSk7sGW7s6AqF+ADdwtqZRu0TWVp9YEX3GJnV/RzF3yYW+zVfA2urOlJmVLO6gZUgsW6WwUKN9bUHdbFgPPgBxsY+2irZol7x6qTHXOtXNgPTftwFnjiOQvW/dbrZrFcr2wbPJYdbhrTDKhBHNVGHIGsZk1bruaLjjZCroJ/Xct+m8BOh3uqZDvsL/bcZ3q2EXa3E7bCRtCeBeua+IeIyxoX4qsACj6z3bnPYADW9bptB9lux34AI0HzCH5</w:instrText>
      </w:r>
      <w:r>
        <w:rPr>
          <w:lang w:val="en-US"/>
        </w:rPr>
        <w:instrText xml:space="preserve">jcRZFUbCErDAEkqbtcVgIW9DKZWkwa9Y2H+gWdoIJZ5sPJFhJ/JwNW9n1kgHXK1v33K/mzbrDZvRfHmVVkiaYUVp6ECo47K+v5m2zns2xNjZ0sa7L1VNoWlhXHSwruXJNu9i/u/HWJKwQ4uuCgv0T9nAZsiiUmgjrJ1KQ0rOi4c5ZCo1wzhKBI9tMIpxLML5eQdtpaZ/xwQR6xQfT1kLvlpJuYvilXIBo1ytVt55BKKtB6Ks5qRJo9ard9mZCalb</w:instrText>
      </w:r>
      <w:r>
        <w:instrText xml:space="preserve">WK1tVJbjQlkTWWmmeSBW69XLZwNaweL/uhs9uT+eJ1UqqBus3LQyIjL7Um3v4UFYV7R62KHiwTzuLIcN26xVMnXhZwv4H1e1Xgpacw4O4poJ1wF3+Ef5v43Jlnqg4lpk</w:instrText>
      </w:r>
      <w:r>
        <w:instrText xml:space="preserve">1heRKJCxJTBrHTqRMqVwrkcY2jV3vGteQPxzcH//yDJyucKPkeX9PhMu2I7/0e9k2Nb5XZHnkH88jWB6s4elGYsDZMyUftsOCl+u2eSz1vGesXcjVipzrs+3lgAgPQSRLY6PzWIWpVSaMrJGhckkUZqlCPLBJFKeOVpU9Ezu6fz07wWjZ/hw+4ZJewWfU5YTJ4aLHIktl5lQuwoRJEUaaFSF2Lw5zpqRUjrnciZHFDc0Jg997DH6/aMsvM0ijgue</w:instrText>
      </w:r>
      <w:r>
        <w:instrText xml:space="preserve">ynXCHK8H3O9aktdKmqQmFiG0YGWVDyYsiTNNYsTiHyAUbWSNqE77eeHy9KTUU7sucDeOCF5UtOw3XPeFwdz14s+PTxiqN0iQN6Q9JOQtzAWaTNMliZROLLR75HClPuL3yuL2yD2Dyi8z2wxCHK7WQ9VQdh6vB1cinNEY4nod5nkEbEwVRx1kcysSoTEeFhkF52rihOuHyxuPypqzll5mkUZB1Z6vwXlaLZsqo/1Nws+O2SGIRJ7mBxaTYVWejsBB</w:instrText>
      </w:r>
      <w:r>
        <w:instrText xml:space="preserve">ch2A0F5m1SaFyX/oe/QnLdx7Ld3Zlf4YB9cOC71qJCPVxwu/manC3Y1VnKkryNA7jjENRUy1D8JiHAGZSpA7gMPIUYEt1wuX9c4/Ne4pWtQ2ee6zG52zH3+734Du5WM7lurPTbR1/CHrSGx1wAj5H0DYKDlaZDpUVLhRZEanUOc2l9FgdiU+4vfWYvaUA8jO85zAu+IOtHw7sargY3I57aoSJs4iFhoG9SEc2VAJfc8ENFxnnaaFGRjc0p7rqc3n</w:instrText>
      </w:r>
      <w:r>
        <w:instrText xml:space="preserve">zRBt2+5kN3fx6HjwvWzNVUFwKbkbWeCEiZbmCoxTQTJ6psEhVFCZFlLpYW5dyT9w9wQlj3/3gMfYdsHQd/PAZxja/ngcv23K5nNo4XQt6ahvxMpgIYkvIOaIO2EnDIpMsjAvGtDMq4iryTLwn+dc/9UkC4SjS/Ls/3729vnv7+s07DLTIVurVNNVAjLfVJhrrcgUn9OSFL8oiwh9JwD826xa4dZuMBH/sk50/4ZfmQ20p47jml3ny4lpcxMVzxq6</w:instrText>
      </w:r>
      <w:r>
        <w:instrText xml:space="preserve">zizQuEvB+/eJFGkWXxKsGBunvlqVgIspTkZ8Xec5y5CmtHBKbCPdPjNyalOQjE9x97LTiuYSyOFY4B8+Xca1ZpiniduBM22HPHJw0Z3EacpHLMJIwYRXnRRhHESuEE8xkmtKlRl//hBWvADUplSq7F01ry1n97GsHqdozXHld35SqRXb37OtVu+4v3TSadmAzpL/v64UsaVOW5GTOHwZ38N9ndPUceHO7PW8A9A9c0V9Jkwa+X1wyfnF1UaTFRYK</w:instrText>
      </w:r>
      <w:r>
        <w:instrText xml:space="preserve">klBeXTOQXyXMep5nIr/L9DDUqTJxInSRRYvE5cVZznXOllVLOxiK3yFdNQYpXdt2aVmYUDSBbZBumT1X3k4vf7mcW+PrULZp2Oaek6um3AKCUhW2SHcKKvwXybpGmrYDySkpCyo99anaQ/Zqfzk1T9ukvi85ZxPOvOuA7DnwCeBKlQoTEGo3uMPzDhw/ntVbleV0tzutyfj5rHr+CRgNBfsUZEwlg2BeHL/RX5J50Zbuv7m4vRV7AmRfetF/CEeJ</w:instrText>
      </w:r>
      <w:r>
        <w:instrText xml:space="preserve">7g0QKlJtZZc+13F75b7pCymfbb/I4jtM8glXlcSESCDH51bz6xta/kt2fO7P6JjpLf9Xpshk+Ut4PBkgoJ5Y/nurHewl+QQk+JFz/GXlLj/94BB8mCORJ55BdDzL5+tlr5HTlCgInXI5cv1lQrr/Cz700e1D/vGzKevBIuHQWvK+RJLUd8iWa9Lyp67PNvy8tBtVP58HlnDLMT38LwnH0p39bdYT3PyI8PLct8glK5Npl02cyC7tQ0DoQfAGDs3v</w:instrText>
      </w:r>
      <w:r>
        <w:instrText xml:space="preserve">TdsNfrRcKWcIq3Pv143o3oGe3/xzs3dkri42Yn+1fvN2kOS+3aQ7NxhLAU9tLZzvKu1v7PPngN89fv/rnI1MukZ+1DSwpuPz0v5F0tfTxVi7kWfDO6rqpPv3HDIi0vwqBWqSZT2d7H+1P+P08eHH15gIr63Pa8G7VYJHbCwjk/uI8eFvOunnTLUvkqnZFhQPkiCtKDYnDNxaOm0z2LLhslraeI3mvaVC9kO3DOW23kVRGAHkktqtyJnX56T/q4Pb</w:instrText>
      </w:r>
      <w:r>
        <w:instrText xml:space="preserve">T32iXAsSn2yFZk8FbRIzGrJH3Pcotc8El9GHktL9lS9nnbpuvkY/Sjr6Qel0NurOhaPudpxzxTdN+sDO4D6zRWap29ZSwY0TpcuObBkndyA97xPrv+7r5fVc1Z5t/ibTshfFSvgteLtQr7P6nfyh4NesL6wh7082cKs7xZZ9DCZDQ1lMGrobCDxEDjZ1giAbE9qKpjfwI44Qk3l5e3gevBz1rdiP7zZZt1UDRuhUJoKwkVnkNcj15n9WpOnuMvto</w:instrText>
      </w:r>
      <w:r>
        <w:instrText xml:space="preserve">oy2eNeHubmx2B+dmybin5pQ/Wp3X16R8dsLlpWne2/2VH7TRf370Pbuz6kSSx/fvcVrNyvfgFd0S/yoVat7Oz8cN4O7JGRkaO2dfOrc8bZX2/wtD26dfdbofOhgnYCo/GkZ3sgjev7iHBNURI/jV411Ltz5t0oaWxtNzGY9zrkqow3YajM29sf2dUp/oOGmoa7MM9wksziKscFAEcbSlg28tNPRADrh+bar3aFgd3fn03dn/T/EVPMeCvMBXDVln</w:instrText>
      </w:r>
      <w:r>
        <w:instrText xml:space="preserve">2Kb+u6061a/1w5n+8wK4AI5z7tr3hcTDtd62sOw3guuqvnQXXiA0IKeAFit9NFvGs+JhBwze+Pg/M+g7+dFT63p/My8q0NPiHslpgXu9Rr643HvVNL0SM3fki4u1iuaxK7MrOd22U6de3zYpKBjSmJ/zrX5Np1t1Dr8oSqnAeIE22g+e9p4rijXywG8f5fiXnm3Uvt6W2XWAaXMPF+/ubcHAKb+1sVjbB9YJC+dn068YT+J5z3jY9zeopuC/1w+7</w:instrText>
      </w:r>
      <w:r>
        <w:instrText xml:space="preserve">Wg9/cNx+RsCw//RtAHKRCVYuO0jdg2wXYvPsDItrPDecHkY/u4J2sHg58yzE/dCtnxg5G6330MMXAsmeYvdtvuuACIq9Ir/e+XG5D474DubPDnX5ea+8bR9u4+fN8Xc3koK7/RVFNHxkuqbi6U51J+Dwimt2I05gI196uu45C8uC8nvxho0e5bTrdIABvB7+wiH2bQxngybqyT95KQzSfUbL8aHe2T9ikMsE95aMzePBWYdjNrtYMM20aA614olv</w:instrText>
      </w:r>
      <w:r>
        <w:instrText xml:space="preserve">+EPy+PyDpJby/LScjxNFQt1MomtX6CgGJN1Cg4HdAVbUmfRg/3S9lWR+ZjOFv7b+ubU1jbIt8GTQ2avfp38eJx4zgxpbLj+XsbPxwyOQ+c7flbG2rfiHCfX+QrZw1H8dVLj5CRkYChSytkfBdrdyjIDG1tnSscl/2LB8FEqPV9Oro4cn97YUEIS7TeNFqDK3bHykEtPg0dXgnVXFvpe2PG+d78yOyoh8lce99vK8aIAmy3HfAlleytg+0mytI6bT</w:instrText>
      </w:r>
      <w:r>
        <w:instrText xml:space="preserve">G3M+tkntrkAm9s1X4SgJkL+jb666Vttrzsj8DbHkX4Ucu5QoZYwlVIeR906wfZe9GESsAoDoPA31vbN3Z4xSH3zwwT3f7rdQPHdVax6Oa43DnhWx3oe/y3UYix4S3L+cbaw053OHPFClsl9lPHfdseQKpm8oCZcp2g20w4KItre+ZN1eO7vwd4oIk07gaKhHlz0zmes3D9nfBemcRZYuv9xAE4vNaB+8vb3qJ/GSrPqrsRHJSg16AVUNYObyo7E+</w:instrText>
      </w:r>
      <w:r>
        <w:instrText xml:space="preserve">SEoF9937dArQDCYRvPv2jrREkZsGLi/dnu+v+J88DDA7gbaPoTPzKqvbT386CO1hxvyawmz2hkZu0aacQV2PZJrhqz4PvKku7Qx/f4vIAZRrctoSHIR/f13Y7ujWPqbvmYy0//Z8ppjyIEJtx9AE3Zs4/Z85g/eWnv/cH6/3N+5+3a/5/Klsst3U6aEOo8Nu56Y8mveaGu/dv776/v/46uNseUAe7VWBudAIOkFtuECbltHTc2i5buxpGDMfsPcO</w:instrText>
      </w:r>
      <w:r>
        <w:instrText xml:space="preserve">bShlw4X0TOOh+uRpOgalFQVmgM6mxdV2pqiFkqn1zog4BVzUfcL+Otg0b3RgKnViyGU9s8dOiC9TTtpXCL+Fhv7D87fW7V99f3X8NREFJyIee6T7Fp9Q8kEvk+xJQYXM8DlKfO07uD57XdK5PJ8mtxB1hoVUza+Vy3p3YE++wu68owpr7E+1dhwhNe5QVXKU0Bt/BxLZWGcqO2gFwsW9K8DpPhpaSsTwZPMGD9P0MdOo/p8Pu/V4CkRVgzlDvzZo</w:instrText>
      </w:r>
      <w:r>
        <w:instrText xml:space="preserve">Sur55gUX+6f2iqRvcLIiZsmtaOrM+R9KH7actoiaD7Yn3ZoUPtue0rMCgAw4nC+43hZoRtrftrKTj8e5sVwvZtKGEWg5tH1ttGUZ05QLuku4Zf1flsrLDzm2aT7bM2tWcOFWIBrOWElPw+vb6/v3NO0ib4gQ2s9ykORAbTd41iDwFgHTttkXjcLN324xJ+/cFOUBjHjdSWzXLgAW7/ogeGEN60MFeX+ogjsK8+Kfdjffjo1MT0rDA+K0yTTeK2hb</w:instrText>
      </w:r>
      <w:r>
        <w:instrText xml:space="preserve">gBb9/c3nz/v7192++Dl7vqwVoUVU7PNIvA/nV1KyzprYXqM+mceapX2jbk0KtG+Mm/ebuLoHRIwC2G12msRcACSUR6x3o7PMFx13iO1uXxkIdbPfPw1Y0EM6jHKwKiw99If130Jq4gmW5HOb2uzLY0PZ+yYNtu73urq9eX3w9qc0PbVZbs6Pt2bcjqjpTsw8Vl/MoC+OcJZ9p2Mg409owk2WRSm1hoogzJ1mSRFmaS5tqp9KExdF4cOTWVdWfRI+</w:instrText>
      </w:r>
      <w:r>
        <w:instrText xml:space="preserve">9JtuukK/B2MbJbAb/kt0dDjnqvpxe5CEXUfTZNpF3l95Z3buP63oWIt08OG591ZV2HvSDh+OZNElZWigXukTYMJKKhSq2SYhbFRGLhXIZ9xoraPrBIevFwSlrcDFZ9xYAT86DfmjT6qF3Ef+F+J+FdMIQ5llWjCeEmscmSqNQRiwNoyxxYc5YFPJIOJek3LnYO1cdqE/5+vadx9e3Fnv9bsLVnSTPH/QDp1zFYSyyJEyEiHZcqcyo2DAXKuqRiVK</w:instrText>
      </w:r>
      <w:r>
        <w:instrText xml:space="preserve">bhXlsVMi1UlGibSr9LpSB+sn+CaqSTni6gBURirw6whMPo6RgIUvj1GvrSPJYWhZmOlV00ILtLMA4nQuptBD4o0eeNtR/RmvMsYaXQ8kJAcnFLMt3/OSpZCkXInScJ2GUJ2mYG+wmTCgrMqNllqUn22F8bbqoqoOOkefyCRH6mCLFIU/jOCwykY29TUUqUyl16KzTYVSYNFSK4xMMOlbcJHHun4IT7ZO9JOvemezxY7VtWxneEyhsvNaQiCeRdQx</w:instrText>
      </w:r>
      <w:r>
        <w:instrText xml:space="preserve">rMTq8on4LWegiNDl0OoW2S2O9pffITHl45bddvLKlKfumi30+6tVHYJt+6BEbi3NIguX/MjYuxYwlMechsywOIwUmC6MUDFGnXENyNtY+fz35g34Qvx1Edg+lPGhL6B7Wy+B+t2wirbXY+JAr2E+U9P1SkcPXKE0hQCuN3zHTTz+pr3Cf0zURGrrm8TM6m2f4lHA+2pBkcSJcykOjOXVxQFNkJCU0Cb7RGcG1NB5LA/WTPAF+1QcNGq0EDqiPcoX</w:instrText>
      </w:r>
      <w:r>
        <w:instrText xml:space="preserve">9z1MWJlkcjw0cseEyLorQ8gSWL20RFmnBwzxNc6e4s4n2LWmgPuXKDwuXlVybAwFdlsApZROMMcE5jigYKTiaPA8jh5hQCK2wZzLmBcKQK4px4c38L7TelFM/d9kAi1Etx+umEVpayaUJZQZfHyEChYXWMCDjCpUpzvLMa0TcUTjoW/HbVujvQRi8bO2C2hW8ZplcRNRQmOYct5zF1MJDtqBiDilEhUg9Wx2mn77jmaEq23Szr5ClIeKMt5yxpIh</w:instrText>
      </w:r>
      <w:r>
        <w:instrText xml:space="preserve">UnIRaxQgpiCGwBtiFlXkCb2WEsp41DNNP2iDSmx8PV+30nLpZRyu0WZEXFqsl/fk850Wo0iwKBXfaCalMYaS/7kDgwC350exVWRkZXEnq+t9f/9qQXxpb/GIXAdG4KEy5hb2JyIa5i0zIY1XY1OrImWRcnGafFHFjayj/dNEr+9hS3XDVi/lIrBAwuDhNxtBl81zmMcxMJRpKEDmLQO+SUKZRygsYg0o8tnb0T7vE2rRTcfxQVlTYGoWhWOKYyak</w:instrText>
      </w:r>
      <w:r>
        <w:instrText xml:space="preserve">Xs6A2B55hTYCfKLOwBJ3lzHi4Yph+clWq+0+3o1l/nDVrb1UZW20Kq8M0EvkGzbAsC5UT2ipn8kz5KjDMP90O+uNBtP7P/7l+KP/zf3wGzrAUSIUB3u2Y0iI1TGUIlcrA8HM4A5UhcuErAGGRcSu9btoN9ZMdtdIc2MP1fPFgvdZYx41zpIBFlhbQRyhlwa0N05hHMS45yT3/388+6WfnbZ+PT13eC4Lunp9lQhpZ9HIWgG5cE3ZRSZhxV2gj4HO</w:instrText>
      </w:r>
      <w:r>
        <w:instrText xml:space="preserve">cJ4B+9nRZHxY8//HT39vp/r8YunjDP5QtMPJDMPZYwqtZ7GaBuzS4accQWYAcoQgqFQq3n1t/9X06P6uH+UsdyQVXLqHQz5jEJrhUILZFRShiIEXBDVyip/af7Uh+tQ+N6mkn7Eup+kLsKw8zK61yQtIRlkOcQbyHqYVJLgzwdFGkzFOyzfwvwMLVTB60ZL5s5boK31iqYfpNwwLAPCGZc8upFVvmyLcyjrTUGXoywNrMb3H2qfzMHs2T7Zdplid</w:instrText>
      </w:r>
      <w:r>
        <w:instrText xml:space="preserve">GIWWwJoX7RZCB70eYzSKdm0wBo/rud9N+earZvz3olt57yuDQ9+Lugf/yRIy60CMtk4XCUsevtQQCHCUYFgl5LKNIeSb4uWcQ9nKH7mlq9y+pvCL73GED0RH1nXDwebFU5G00Ij4QlzEukzZjhTV7q9L0k6pv9Vwupsu+koZak94c3QrIAp/iYtwKw2QqOPKqrKBBVK9QIkrJTYsEuhGLeO9ZByJ+kql1u67ma3PI1o8/lvv2mBqjgUVSbUgtMwW</w:instrText>
      </w:r>
      <w:r>
        <w:instrText xml:space="preserve">3i/zAQCtTa3SqbeIvTNN/xlMgJx/syBg1Froi1FkE/JMjry4kkAEWzqTIHUcg9Nc89mDHt96a38qHRk0Xte3qY39A8e1x6J3mSJ8LPpYfuNQ2SmAXSQoMGhUKDiJJ8E+cGMcV4Kifuu3on0YpdbeS9cepY3zV0HmenMFBjXA0FRmQv4JvkhFCc84cNkRga5BaM2WyiO1JYkfi9M7UdAB0sPwHXO03ZoNFoiKHFAAMXQ6TwBeA/xjOgSvki1ILVjB</w:instrText>
      </w:r>
      <w:r>
        <w:instrText xml:space="preserve">/aZo+Xfa1t+zrxwNMQJeaR+SKwevj8mCIRVnOx1Q1Rq4qHemGRVoCzYR30AxpCVJXClYayf3I1I7+SfdATRZTk/hOIm2rfAeB5IeaYEOmc2pjhY4qwiQQjuQZErRIeIIYpk9X9ctQ7/rG6cMHIOouOFaE4ghJSY69yMdklScuSeE6QypRUvM8UhWXIEvEfw6RyylZ+CwN5E/CxeExjaOMDU9mjPuRpi5KcqijJu3QyAplmlg4dGmNYIojfZoufuz</w:instrText>
      </w:r>
      <w:r>
        <w:instrText xml:space="preserve">BjD24JKnt6BAuIZqVC2TxI2CyIk+cinDrxhJqioFYEbmAmlzm4iQRcew/wTLMPwkXpCmrg2VX82bho4XIqozHNoxjrBWJNIcOpHEoMl2wiJ6jjoS/Kk0/rXkHaeF3tn2Stad32hWR4YosHlscKYaYqaKehYIjXyxiHyEM008X0uxP9sfpqjVkc7SSxvteaygX56MNwhUiA3Kh0sBLkSwAlzksw2rNhGWOs73NJ9onlc4qjCwPnMN3n/4+rwATR53</w:instrText>
      </w:r>
      <w:r>
        <w:instrText xml:space="preserve">TeSoSQRi1AGYBDgBaKhQip4wB1wBlpPRK1Jv506Xfe0u//3Cgak1bAxy/362ZxKl0kgxdEySWCBC5lBnFYJ0gMMDI/Jvtp39p//sz9MnCN/IRSOYzMkjgeEMBrDQ6Z+UyYFMRCsRp+EGnqFBPxT2gyTjPTCQ8tRiIny5T/FT2LXdTKdzYkp4Y7/bKM0jADCwBsZIDvkUSalCkLifYGhcmTaIk8TKGkcSUg5d+WHo5b/ps+NspB0/0DOvxgJ3mAtq</w:instrText>
      </w:r>
      <w:r>
        <w:instrText xml:space="preserve">QsREzWeOU1oDQOkbCHmkGP82jJASetWkhNOKWJy+iPWXq2uPpuio7qexq+uzsraxn1N91fZQrnrMipKdaRpwvELSsEmFGEQ0MJ6E0ETCm01LFiYYf9+pZG+oHzwX6Artbt/27Ajat7bL99O9T0b21hHH7WYcqxTOq10fZqFJWGSQgDIoUSewcI+zFUxUakSH7ZbFzhefRe+IHiu5zeFGvmpqauvqDIDtNxi5l28qOTrkujnMYC5aHLBNjHRQ5fyo</w:instrText>
      </w:r>
      <w:r>
        <w:instrText xml:space="preserve">LQHMdU2pgEhOqIlb4J4mYdjzKtF+b2y5w+uBFHvjg23JFLQjHChUAGikStSIpxkJFkiESSmFDlhSaHvxEEkV12hRSjXWWpFb4J1Q98dNP/sl1K4Pbpj088nhFJwOGWglHY1SKpbbgeWiUsYhKdM4igQqQ2ooIGVxaKE/jtxQOTNG3xPXTZN030sjH4OWYIIi4cOSEY0R7OtFI6bHMvD/b0VlupVYeGupnf6Es/LCeHqe8+fR3uI06OKYdMR0SQn8</w:instrText>
      </w:r>
      <w:r>
        <w:instrText xml:space="preserve">TMcohpzeWMABUxjk9S4j0RSUpo3p5ykwimIm9Zwk31E+7atda00zY+r5t6bGF48dOUIyITpRGnc1NjNShSGD5BeKoAj7LCxIR3HXinMWGeSh6IH6AkXyXRLX7LrzGuCljq1VwecwhwdgFABLPery+ySuUS7KYwnuc02lY7ADuFQSo8AuLbCG4Z0ogfTKjoSrXQWn9DkI9WnFl9EQ8+Im8eKaVogdlXah14ZDnAGPLyAJf6aywOYfZOy+eEemTBbC</w:instrText>
      </w:r>
      <w:r>
        <w:instrText xml:space="preserve">mXa+m7NBzidR3fPxULMuhL0nhn18KrdK8gKrFSIIihP6wiGFhSYLtYk5a5Z+6bMmfLA6RYU/Z+vT3qiOYMxaFtKVav0PYB5CGItP5U07Q2qkszhOWSP+kckvgC0Cz1A/T8CBlF75tVvNOUzu6hzmd0VR54qFLYwJb0FmFLDyMuaNaQCr2cNaEzhcewD8oPrwFGmqq5dzbAGWtRrTkobT0IgWpeUgn2KFIiziPjRB773jYEvjFlci39tHWev25cgy</w:instrText>
      </w:r>
      <w:r>
        <w:instrText xml:space="preserve">L+0ekR9zLoYgSl3HVwZSLDHArUWnIrESmBXcfxV4Q31A/sOW3vi1v6sMyeFvWs76qNy0Uz2zbFyz6eduHpjUUUUMTIw1mVYGQLRIZptK4VLMoyqTnfHckDuCEv0HDU7tvjmhJo8qaYNnd8W2KMi6QmxRjySQRyMiNNiGslhE0hSnrKKfCqo4ypXDVS9G39E9mCCtZl10lHw9462r72CcIR/IWpClhFvHRoGUSJzwBfMiMUZS3wOdJOoZnTBLCESa</w:instrText>
      </w:r>
      <w:r>
        <w:instrText xml:space="preserve">xPmNE/PSRjjrMVd+uTV0++OdryJ0SGZsQe0ChEoC54JkMjcujuMiK3BQeVh6mnwzOTSs/TuvLmNZUrg/QR7x/DrTEeTTuhHNCaZfLMBE9ZMkyakjQoS1ibZDvGZGIPZ5A/GQeVbWH75e513O5+uilUkzFqcuUha+l2k3O4Vrh6EKdiCzqj/yVFwqH6b8wfaZm764rZ5/Jo2IRU+dMPjbyQDK5pqDtFKJfJCTtRIJcNk21zSKWuzze46kn/4VM6pC</w:instrText>
      </w:r>
      <w:r>
        <w:instrText xml:space="preserve">ptaKGyuNIBlEYyZ3wep5Y5rjTjPgl/JIgs8oVvVoiMcgXEAkVK/aY6smfbEOYppv3c1k3Te29vSa2jsO5I3th5N0yzQDp4FpszEUkkHkPz1xvFx3mn8yd5KI5cGj3VOAxsv5M5oRMIwtF7AlI0ks1LGTDVI5YwPreB0QFreKYp0ymliufrYH8yVeqNAfVvvtF2ZZ1+Pums857T4pgLEbqDyid24QQgAxlirQpsY4hw2WZ8TMin8hpBalWU69xvyx</w:instrText>
      </w:r>
      <w:r>
        <w:rPr>
          <w:lang w:val="en-US"/>
        </w:rPr>
        <w:instrText xml:space="preserve">t1Z8NHdeRKM0BB0Q+BiMFl2UsS0NO1htlFuDTch7CoQiN0MRY5otrS/9AYD6Ou17X4XdP63raRXO/fgiux5q0lVFaZFEaxoXu24WyUOUM4UinhsrizPmNXZh88mjg0U6B//3HWv6IaHTsxAghlwEUJTDZMS2UiY0NIgyiTkKnlghIcUyfROYA4YyIfL8yUD+Iy35xdhOXjzQKvpvTAeLl8RIt8v</w:instrText>
      </w:r>
      <w:r>
        <w:rPr>
          <w:lang w:val="en-US"/>
        </w:rPr>
        <w:instrText xml:space="preserve">4MKuzl1IXhWUqn+CwvqFydI4GMuAbMjhJEa5Ny4cXCnvjpxKw26wPtHXgakzOEmIxZaqSkYNObjDJY2eaFdY46STT/wqL7aZAsp2b8O2DdxnYeZhQsRhZK7pNRSLFMhXCtVBsFFEiThF7eMS66mX/yuKA9bJr5XWu1bI8eFgDBAx2GCYvGw4IkU1obympYSjaSwXcUkQlzwwsmHLbJPz8biJ8sFkhgtKkn/UHOK++lVQnyFdu/jsXAJAEyCDs7Ey</w:instrText>
      </w:r>
      <w:r>
        <w:rPr>
          <w:lang w:val="en-US"/>
        </w:rPr>
        <w:instrText xml:space="preserve">Lkwnmzgmvt+QyafHIT6ll70ETzg6UHMY+fmKQZBM0L78QkR6bO81yFXFE2kaUWEQ65jDN5wqXKdeSXJ3rap0+v2vJALj/0D0F4x1ZWwXMaTke3EVXKAbqA+qCCMXB8xnkSa3/RfvoXCgQfD9Xhh/L//q+6tB+6B+kVJ1OuAJABeVIJ/YsctqYP6fAEMAjDOE+Nv/aOxsmM0rYHbXw/NFVFWO9YQonYjdyRiudjgUKpGG7AIY8CDxhE7cPOaYzEsF</w:instrText>
      </w:r>
      <w:r>
        <w:rPr>
          <w:lang w:val="en-US"/>
        </w:rPr>
        <w:instrText xml:space="preserve">TyJPFP2zfUD3bFP+a/pY7/6Sn/7y08eNCPO1K+yooEET7yTjgT5PtSC+QQVMqJqQXLcoA0KGusrNFR7Hnznvgvgz9/mMvmaFiDycbI6lgRjXUJDY+N/5FvA4hSiZ86QZgIkY2mRsJgU/8cnkifbvk54GXtHXMbaRjieRyyyNKZnoFA6MDTYfFYAYYIzfzFDpK5vVPVZk5nZ9Ng9gd6k45+sJ87cY4SQUX7UUuMSPPUwUqVE/2BA+yVTh2SxKbcOL</w:instrText>
      </w:r>
      <w:r>
        <w:rPr>
          <w:lang w:val="en-US"/>
        </w:rPr>
        <w:instrText xml:space="preserve">hX5mnJlvzp9Mm6g0riLUJJ1XRHkyfqPspzqIkYK9ga3lUjYIXSUbMu9b4XjDpVFNBakoo8Mx5Q3lA/3SOGnO7wELqtP9fwnmf0bA0bdSVXWkX03rBYk3t3goqQEKQGijc5hjvrdwyA9OmKep8C30442r097zgw4wz2lAuvDV9pSiqLPCwcgcY012EBoBbqNLHIfYWJhX8wun1P1ubVZOb5001Z04vUNu+Wmr6aqVns3s00vH+par/5Vb1efMOjXx</w:instrText>
      </w:r>
      <w:r>
        <w:rPr>
          <w:lang w:val="en-US"/>
        </w:rPr>
        <w:instrText xml:space="preserve">GB7ptf9lKqB2pPpmrF5hH6i+GlUs8m71i7ePvu9eUNgfblQvc7571y6vj71fpHROgNTqGkxwjGl6v1T7X072Shx3l+wavV6E0g/TvG4sEs69lazuh7X3scX7wmIp7GmSji8yyHJFJievB149u1PvcuNiMjllkhgZqcTmWqJNJWeltmYUyqCdn572KzXMCD51QDYnCeVI9RvEB2YpJEaHpHWV97/6/yLrY//T84G+pH&lt;/data&gt; \* MERGEFORMAT</w:instrText>
      </w:r>
      <w:r>
        <w:fldChar w:fldCharType="separate"/>
      </w:r>
      <w:r>
        <w:rPr>
          <w:color w:val="000000"/>
          <w:vertAlign w:val="superscript"/>
          <w:lang w:val="en-US"/>
        </w:rPr>
        <w:t xml:space="preserve">11,12</w:t>
      </w:r>
      <w:r>
        <w:rPr>
          <w:color w:val="000000"/>
        </w:rPr>
        <w:fldChar w:fldCharType="end"/>
      </w:r>
      <w:r>
        <w:rPr>
          <w:lang w:val="en-US"/>
        </w:rPr>
        <w:t xml:space="preserve">.</w:t>
      </w:r>
      <w:r/>
    </w:p>
    <w:p>
      <w:pPr>
        <w:jc w:val="both"/>
        <w:spacing w:lineRule="auto" w:line="240" w:after="180" w:before="180"/>
        <w:rPr>
          <w:lang w:val="en-US"/>
        </w:rPr>
      </w:pPr>
      <w:r>
        <w:rPr>
          <w:highlight w:val="white"/>
          <w:lang w:val="en-US"/>
        </w:rPr>
        <w:t xml:space="preserve">Autozygosity</w:t>
      </w:r>
      <w:r>
        <w:rPr>
          <w:highlight w:val="white"/>
          <w:lang w:val="en-US"/>
        </w:rPr>
        <w:t xml:space="preserve"> was estimated by </w:t>
      </w:r>
      <w:r>
        <w:rPr>
          <w:highlight w:val="white"/>
          <w:lang w:val="en-US"/>
        </w:rPr>
        <w:t xml:space="preserve">RohHunter</w:t>
      </w:r>
      <w:r>
        <w:rPr>
          <w:highlight w:val="white"/>
          <w:lang w:val="en-US"/>
        </w:rPr>
        <w:t xml:space="preserve">, </w:t>
      </w:r>
      <w:r>
        <w:rPr>
          <w:highlight w:val="white"/>
          <w:lang w:val="en-US"/>
        </w:rPr>
        <w:t xml:space="preserve">bcftools</w:t>
      </w:r>
      <w:r>
        <w:rPr>
          <w:highlight w:val="white"/>
          <w:lang w:val="en-US"/>
        </w:rPr>
        <w:t xml:space="preserve">/</w:t>
      </w:r>
      <w:r>
        <w:rPr>
          <w:highlight w:val="white"/>
          <w:lang w:val="en-US"/>
        </w:rPr>
        <w:t xml:space="preserve">roh</w:t>
      </w:r>
      <w:r>
        <w:rPr>
          <w:highlight w:val="white"/>
          <w:lang w:val="en-US"/>
        </w:rPr>
        <w:t xml:space="preserve">, or a sliding-window framework</w:t>
      </w:r>
      <w:r>
        <w:fldChar w:fldCharType="begin"/>
      </w:r>
      <w:r>
        <w:rPr>
          <w:lang w:val="en-US"/>
        </w:rPr>
        <w:instrText xml:space="preserve">ADDIN paperpile_citation &lt;clusterId&gt;V935J983Y473C166&lt;/clusterId&gt;&lt;metadata&gt;&lt;citation&gt;&lt;id&gt;E7C3603C239</w:instrText>
      </w:r>
      <w:r>
        <w:rPr>
          <w:lang w:val="en-US"/>
        </w:rPr>
        <w:instrText xml:space="preserve">00EEF83A81A064D0087B9&lt;/id&gt;&lt;/citation&gt;&lt;citation&gt;&lt;id&gt;DA69A7740FDD0C9CA32DD521E97AE442&lt;/id&gt;&lt;/citation&gt;&lt;citation&gt;&lt;id&gt;0C801D5F4D280642BFFF12AF9D676997&lt;/id&gt;&lt;/citation&gt;&lt;/metadata&gt;&lt;data&gt;eJzNWW1vGze2/iuEPxRbwCOR8z4Giq3il8Zd2zFsp7nZogg4JEdiM5rRzosdteh/3+dwZGkkJ9n24u</w:instrText>
      </w:r>
      <w:r>
        <w:rPr>
          <w:lang w:val="en-US"/>
        </w:rPr>
        <w:instrText xml:space="preserve">JiP8SxKZLnlec859HPvx99sPro5Og8OQ1iHpz6Qcb5+flFGsxSMeNxeMZ5mrzKjo6PdL/60C6kwG5hfJFLHic6C2MT+zz2TRSoKDapMkKLIkmCQGuFU7Zte4MjPn7vm/Lo5OejRdetTqZT/Wmiazupm/lU8IngIp7+OpG/LuYTnwt/wuMJFyFO0fYW+5+eniaVyu2kKpeTyi4m8/pxuurzpdFT30/TQITBf9y+VFPZdFaVpp3eXp8GoYiivWOlrT</w:instrText>
      </w:r>
      <w:r>
        <w:rPr>
          <w:lang w:val="en-US"/>
        </w:rPr>
        <w:instrText xml:space="preserve">7aar7o84kpW/NoTTNR9XLamK6x5tFMV9ZO7znnvpf5WfI34X/LeeAHHh9dMmj1UvxWzV/gztqSJ79mOXxXfZBlR/uiIPHimEdYxu2lbRcGcfv9aFlX3QIbUoqQXLsr8evayIa8jvuO/jg+kkVhSys7W1dYPTMrOGFpqo7VBXtl67Ker4/ZfSerom40e1vZR9O0thstHrPTGcvCgEfH7O39bMK6xjzWzer7drNhYnQPwTJvu0Yq0vkHU9VL4z1Zbd</w:instrText>
      </w:r>
      <w:r>
        <w:rPr>
          <w:lang w:val="en-US"/>
        </w:rPr>
        <w:instrText xml:space="preserve">hKdp1pqpYELupl/dt6XpMA1vRYlJVm3cLYhj3KZlCTSdXUbctspe2j1b0sW7Zq6ke6TGJb2cu8NO5kXXSmYn3VydXKaNaYtu4bZRi0Ym3X6zXiyRb9UlZsbiqD6DP9bKC7AIaUPQmVzZotbNvVzXrC3rZ0Difqbr0yTMtOMtmxKEmOwzRjsu/qtl7Kkt3f3LbH7Mkws1yV9RoqSFbaj6a0i7rWXi5bWlpBe6kWrKsZbKg6W2yMP/TI3+7evP4Wdj</w:instrText>
      </w:r>
      <w:r>
        <w:rPr>
          <w:lang w:val="en-US"/>
        </w:rPr>
        <w:instrText xml:space="preserve">NxnAbZngMas4J1dBiaxSF7qptSD/6tV33pHAdVVCnbFvfTLrh1yfI1K0017xa4DfK7RWPMsMu0Xruom+6YPjENshbuN8fOLWVdzRE9nJJsWWtTbkxRZd9iL90uy3ndYMdywi7gbUMGunuPSTCr+mVumiG8dQdXbbSAyTCSrfDZzjwGRZ6YggUwqHHR/Wo20K0jsyfsARLHYpxrnXVu79jAz4m3lWoMDGTOZFJfW0puZBLukSNZrGjqJTuXbcdmRW</w:instrText>
      </w:r>
      <w:r>
        <w:rPr>
          <w:lang w:val="en-US"/>
        </w:rPr>
        <w:instrText xml:space="preserve">OVJO8xOYdX3aNyF7R2aUvZ7DIfoXu0dd+Wa1bnrWke4UpK0bJWfQs/Q/JeHrgQoBrJudPE/KvHE84b28PZr9bkKDy0FpF7YTMFzlnoPAolcIOzfmTt1rUtTEVaIztz+Bw5aYrSqA7/K7LFVjnM0hTsZ0uOBwMXdr4wjXuKBmKV6huXE8u6MZs3Ca+MIjQc+1jVT5U7DDfCKFMpa5zaFHpZzXtbGbgJD3oI62wIPQVk7irKsQtMY/N+uHaTTRJi8V</w:instrText>
      </w:r>
      <w:r>
        <w:rPr>
          <w:lang w:val="en-US"/>
        </w:rPr>
        <w:instrText xml:space="preserve">bpHNy6PH6uKnjS8nEIJkLc4eU730FKRX57tmriLhmrJA8FOxGqbhoDixA9Zw/Ch1vcBhQW51akbsvaHm9B0ptF+8htNWROM7wu+MKUpft/yJV5RSkNSzZuX1EOkKqtoWjg6IRdIse0tvTH8S7GpJNz+UZ1CtlWncbMnYsWssnrZlPPyLS2rZXdGbEtZp7GuUriFko5vAaXHi6Sz3eRjy0qHfKezuOTa1OhOlhsez7kHiMSGtWqL7td5bZ43PNF91</w:instrText>
      </w:r>
      <w:r>
        <w:rPr>
          <w:lang w:val="en-US"/>
        </w:rPr>
        <w:instrText xml:space="preserve">yG8Nbkmm54Wlh4ay/9t++GDMR53SujR0ElQ8ibjIoS3on5wnGX3Qq65Yb1VL4gWVq9v3uJ8kzeQQA+7yAKC2rqkEeDiWh2ne1K89zp4O4vdjkycVurh1Y0ehjU0/HKW2rYSeT5GYGloi5RBrH2M8DCBnflIo90asKEm8jEuckkB2oTufZ9P1MR/g6jtIjo+K/ogcipoi+BuY5mS0N1qmKbZafguCO2G7iBvVtsQ92871A/ocPvR7ZC5iFJsePhR9</w:instrText>
      </w:r>
      <w:r>
        <w:rPr>
          <w:lang w:val="en-US"/>
        </w:rPr>
        <w:instrText xml:space="preserve">LPNi11+QeHA5hbwrMjDxCgvDVU+jukvNs9oEyllfSjIvaSMI09noWpl2dp5sVSJpESPA4SwoxoIN34CiCYPflnI/FnKKrVgexZ3lJlOtvKTRI4KsykFwKaeoBr0ktNYLwi50aJTPi5SHdyh+OHQq/fjaReywZFm707EHxhSk1OdXs3ovM0S5RUXhCGvseBkz2pYuGFYVHEWSISocOd6M0Fh7Lvrkey7/BUJFDa9YHw6zXShbmtg2jcnqeF4l5ufI</w:instrText>
      </w:r>
      <w:r>
        <w:rPr>
          <w:lang w:val="en-US"/>
        </w:rPr>
        <w:instrText xml:space="preserve">jO/NTLTGo8ESodB5JiUOxEu+OHgm9mI8E3tVyw2YHUuxp4BGGaM7d3IzlKTRpE2pOFTD2e6tzLUp97kcpEnOQ6gcd3krdXHEr/8Z8j6T/2FfvngfAry9yeQaoMwkAZPKBCGO7xSCtPylhSlEMMKCqMU72TemWP/sDLUhZXvVpfodFicTOatGpRo20Cs9fz0jj8v1n6+6L8zlTflM133wDcfBfwb+iC9ru/ONNgxHDOQ41EJsGrw0wygHuCm5T+tx</w:instrText>
      </w:r>
      <w:r>
        <w:rPr>
          <w:lang w:val="en-US"/>
        </w:rPr>
        <w:instrText xml:space="preserve">9mdw+Xp1fntLxUtDSeWEqZm3JTH0iJj2Y9fjQk0Ot/25UCVwYm7McJe00Q4gd6+FTE0I4NzQrnwWkaXpzHMz97JcR5Mot84P3AP7+4iDg/pamCcPKSdMuEUwDNGnULfxt6ggSfXFwE5hQucNif+EJEsSD9XYhGcxqBFzfDcMSP9L/WEc0xQZRqkQKLcBOHKvb9OCm0TnWscxylQXSA90PM0yjOeaB9T2YRZrBECi+NksCLA57wAgOqidxkVKvzT5</w:instrText>
      </w:r>
      <w:r>
        <w:instrText xml:space="preserve">B4BhBPU5NtAVcNuu7RSYFcM1T8LqsrwCuMAEcnXdO7pSvq7dstzlHnS2n</w:instrText>
      </w:r>
      <w:r>
        <w:instrText xml:space="preserve">JlSuDSj/52Ei0h9++n9Mq5cmzP2+k89Mt7WL/GHYd/UH5Peh9NouzWZKE/OLsjJ9mp7PAPzuLfHGeJbNzVIr9eVtnHPaLSIQahdL4RaHxT6ED+FmeRsLnYZYZlXx53qaptK6oTZaDkZMnW5q1S21k7BRj25Cx3J/OzcoiX1GwRiPt1w6vdPG5w7/sRlXKr3d0hr1x97BnVx9Ms9uxlWc0tu71180kSVDlRd9Gf/1aVxWJ74mUf6GrJnkkQxkVhqf</w:instrText>
      </w:r>
      <w:r>
        <w:instrText xml:space="preserve">oDIVKCjRZLYgP0X6mXY/1C59/sR/ej8rU/aLHszioU++wxO53bVCJMEJ98oo0Mx6POUeh8jMPvTvJZSxCGY4KMx0+rIynI4mnC6kP5L2WawIxp7uCjKcDeBB6qe+jARoZezJJUi/MVZJlskhCNWqAw/FDmRcjmRcN5iLbHoh9JbG8ZhdbsXEhOYpv4mmeCo9rgY5gdOjlQYr2J3kGOLMTOxx/0QT2ekBz6No3Xcd2AENEPElVILwE8UPLM8pDC5S</w:instrText>
      </w:r>
      <w:r>
        <w:instrText xml:space="preserve">eCLBo4kzF0chOnP2/7AEJR55RyYwEj7LYx78vF3Sg8TmAdvlhV7qfEGjK/GHYOKjwuyL+w4bDOF/hOSwH8ubEDb9visICtJbslt6UGiYOID0C2pc0/w1DCDZ87g52D8RrOnqTO53ebXTy9ONfaxXz9sOGJ9jgoM86Z9tQguBlA0l5LCYiyDI//GK7yJTvc218jvcbFqpIUkDkMMmQYToxDk2O20WodW4ET7wkUBGAILBnZrLIiwCTMpHnWSai/8Z</w:instrText>
      </w:r>
      <w:r>
        <w:instrText xml:space="preserve">2wU9TLs6ii/DMh1dC/9XFxYXwZxfZWZzEmYPqo3bhG5NKFflaYJzA54GKdRIXxg8DKQBHZRGiN5p01C6E+I/8bBZMc1vbanh9GBmmeffEwz9N0cYpWrnD2X+Jog1TxF+MKVqpJCWtmtT9yr3LA7U2p72yrj/2K9eh/qwBf/Zq6niBPxViKpIwmwKkZAFGsM2FE3z81y8dX4gffhpnBzzxVwz4LCcc7zjhPUo4pt46JpeDOPHC1OXAc8t9dXrR1XX</w:instrText>
      </w:r>
      <w:r>
        <w:rPr>
          <w:lang w:val="en-US"/>
        </w:rPr>
        <w:instrText xml:space="preserve">ZTu/q1ydMsoXV2mCykc3H+nGgA3ecJtFYGrmrHDG516EdVVaZT523GdipJrUbkgWbiVbdp43f3lzNXp1fXZ2fnbC7zxOk9ev2W8cLPPMcOGw6tRh4JIkZfVXWmPE3tI2jABwXNjCvRNjIsjRE00CbvMaArxZQlDgQIi+u6mqOh0hynJi+cnzumrgDRybJxmJmIV4VsxgxhHnfuZ27fZqI4324cs</w:instrText>
      </w:r>
      <w:r>
        <w:rPr>
          <w:lang w:val="en-US"/>
        </w:rPr>
        <w:instrText xml:space="preserve">yeAIUMTg0i69WG+RpRTNq0ylR68ButtygNz6wQiSJ2esLOZePEIEKDMHI+KTxwHFvWWjaNXDsnHzsd2z4nTpOaK8473mibT3CFhb2PqE2OfXUqHIQKwwMscGz3horeMOhEyMPccdoQWcMQeVO1dPeG8Xnewdq66J4cuSMVkZzHQ5wGU9ot3UQBHSeUfZE+jn1duVfUE+NqPjlHuk96R+J/Nn0di4oULh1PbjtSsLXLfuD2Brq/oq8TkC3ur21IAH</w:instrText>
      </w:r>
      <w:r>
        <w:rPr>
          <w:lang w:val="en-US"/>
        </w:rPr>
        <w:instrText xml:space="preserve">Q5GzBpy26b+lfyPfH/bWeX5AXbEXuoemT0wOO65HPmQc5Cts/kaUu+6ezjM9/broyy1MTxt+PdzCdHW87Z0gB5amJFNTHqDFBp7ojpkTNM0+AhEik2sOOleTTlCw9O2Oyn2SXe2OXV5cN7Nrs5Y5fXt1fn1+c3D7OHyzc3J3tRHLjzbo8SIzqzWU+fv2ex9JDkQEFS9h+k0HMdnNuOvlZzSEouBwHbbDh9A+mnDyfssfK/JxoY7VKqSf+RwaSVDv</w:instrText>
      </w:r>
      <w:r>
        <w:rPr>
          <w:lang w:val="en-US"/>
        </w:rPr>
        <w:instrText xml:space="preserve">bX7t/ePmt8955d3ly8ubve6H7fI6SOh6dvc4YwQrWdTgjCq70qyobZhmbh/e/J3pmyVJRLDw2QDLt3GgBJISJdTzzua1t9IooLLpqw/W/VNgirPR59m0brp3KZN1ZTuo9+ffuPyd64EmaeSCJxOLDsk3oHVhyNaEIdAY3pJM8x2qQhhkSsSJXEXARFrCIVy1zrYMf5bToAD7444/w0guE/SSSvaRcHUPwG+B0PiNL2py0i17LIoAX3Yq4Kj0vle1</w:instrText>
      </w:r>
      <w:r>
        <w:rPr>
          <w:lang w:val="en-US"/>
        </w:rPr>
        <w:instrText xml:space="preserve">mmMswgPE9UxhMTiB0i311xOAbcjuQDJjUHss9khRL5kd1uBfOwQNuN4EglAfWi2HiZCEMvUbKIQlVg4hpxUJvzh1LH9NdsXT6tD6nGe+UK6Y764ikvAK9SL8roS2ENy/OgCDwVBrlKQxNy6e/EDscPpb4fSX0vS3sg8396w95vBYYGSAFjlhfnnFg+YHWZ+rmntNRpDHgoTLITiLNfnyWbF1Pdw7o0jXe/JBp8N1Hy3GggzMwLRcaBpJMA7tXSy6</w:instrText>
      </w:r>
      <w:r>
        <w:rPr>
          <w:lang w:val="en-US"/>
        </w:rPr>
        <w:instrText xml:space="preserve">XItI40Ui3aiR3d8YLbfEltHsa2b1Bw2N1WttFJEWNe9/JIIJN0kXq5TnOvyIrA5BkPTTSSPRz/fyD7vgLP/vd83w7+fn4a3C8Ce7Pb7jER5vPcZPcXJrhDem83q/kHs1qIqRrj2sRPg0RkO7Jvh/i/ML35fogxxA9znkeBygpfBkHC4yIuuAmywhxMb1HOjUQl8zDJINVNnntShfgRR7lIDCpaaP6Lprdf/g1vo4yv&lt;/data&gt; \* MERGEFORMAT</w:instrText>
      </w:r>
      <w:r>
        <w:fldChar w:fldCharType="separate"/>
      </w:r>
      <w:r>
        <w:rPr>
          <w:color w:val="000000"/>
          <w:highlight w:val="white"/>
          <w:vertAlign w:val="superscript"/>
          <w:lang w:val="en-US"/>
        </w:rPr>
        <w:t xml:space="preserve">13–15</w:t>
      </w:r>
      <w:r>
        <w:rPr>
          <w:color w:val="000000"/>
          <w:highlight w:val="white"/>
        </w:rPr>
        <w:fldChar w:fldCharType="end"/>
      </w:r>
      <w:r>
        <w:rPr>
          <w:highlight w:val="white"/>
          <w:lang w:val="en-US"/>
        </w:rPr>
        <w:t xml:space="preserve">. A small subset of samples that were run on all three tools yielded comparable results for </w:t>
      </w:r>
      <w:r>
        <w:rPr>
          <w:highlight w:val="white"/>
          <w:lang w:val="en-US"/>
        </w:rPr>
        <w:t xml:space="preserve">autozygosity</w:t>
      </w:r>
      <w:r>
        <w:rPr>
          <w:highlight w:val="white"/>
          <w:lang w:val="en-US"/>
        </w:rPr>
        <w:t xml:space="preserve">.</w:t>
      </w:r>
      <w:r/>
    </w:p>
    <w:p>
      <w:pPr>
        <w:pStyle w:val="643"/>
        <w:rPr>
          <w:highlight w:val="white"/>
          <w:lang w:val="en-US"/>
        </w:rPr>
      </w:pPr>
      <w:r/>
      <w:bookmarkStart w:id="6" w:name="_Toc90629817"/>
      <w:r>
        <w:rPr>
          <w:highlight w:val="white"/>
          <w:lang w:val="en-US"/>
        </w:rPr>
        <w:t xml:space="preserve">Data availability</w:t>
      </w:r>
      <w:bookmarkEnd w:id="6"/>
      <w:r/>
      <w:r/>
    </w:p>
    <w:p>
      <w:pPr>
        <w:jc w:val="both"/>
        <w:spacing w:lineRule="auto" w:line="240"/>
        <w:rPr>
          <w:lang w:val="en-US"/>
        </w:rPr>
      </w:pPr>
      <w:r>
        <w:rPr>
          <w:highlight w:val="white"/>
          <w:lang w:val="en-US"/>
        </w:rPr>
        <w:t xml:space="preserve">Genotype and phenotype data from </w:t>
      </w:r>
      <w:r>
        <w:rPr>
          <w:color w:val="000000" w:themeColor="text1"/>
          <w:lang w:val="en-US"/>
        </w:rPr>
        <w:t xml:space="preserve">5652 </w:t>
      </w:r>
      <w:r>
        <w:rPr>
          <w:lang w:val="en-US"/>
        </w:rPr>
        <w:t xml:space="preserve">participants enrolled in TRANSLATE-NAMSE can be accessed by application to the TRANSLATE-NAMSE following the procedure outlined at </w:t>
      </w:r>
      <w:hyperlink r:id="rId12" w:tooltip="http://www.tnamse.de" w:history="1">
        <w:r>
          <w:rPr>
            <w:color w:val="1155CC"/>
            <w:u w:val="single"/>
            <w:lang w:val="en-US"/>
          </w:rPr>
          <w:t xml:space="preserve">http://www.tnamse.de</w:t>
        </w:r>
      </w:hyperlink>
      <w:r>
        <w:rPr>
          <w:lang w:val="en-US"/>
        </w:rPr>
        <w:t xml:space="preserve">  Reported alleles and their clinical interpretation have been deposited in </w:t>
      </w:r>
      <w:r>
        <w:rPr>
          <w:lang w:val="en-US"/>
        </w:rPr>
        <w:t xml:space="preserve">ClinVar</w:t>
      </w:r>
      <w:r>
        <w:rPr>
          <w:lang w:val="en-US"/>
        </w:rPr>
        <w:t xml:space="preserve"> by the following submitters: </w:t>
      </w:r>
      <w:r/>
    </w:p>
    <w:p>
      <w:pPr>
        <w:jc w:val="both"/>
        <w:spacing w:lineRule="auto" w:line="240"/>
        <w:rPr>
          <w:lang w:val="en-US"/>
        </w:rPr>
      </w:pPr>
      <w:r>
        <w:rPr>
          <w:lang w:val="en-US"/>
        </w:rPr>
      </w:r>
      <w:r/>
    </w:p>
    <w:p>
      <w:pPr>
        <w:jc w:val="both"/>
        <w:spacing w:lineRule="auto" w:line="240"/>
        <w:rPr>
          <w:lang w:val="en-US"/>
        </w:rPr>
      </w:pPr>
      <w:r>
        <w:rPr>
          <w:lang w:val="en-US"/>
        </w:rPr>
        <w:t xml:space="preserve">Institute for Genomic Statistics and Bioinformatics (University Hospital Bonn): </w:t>
      </w:r>
      <w:r/>
    </w:p>
    <w:p>
      <w:pPr>
        <w:jc w:val="both"/>
        <w:spacing w:lineRule="auto" w:line="240"/>
        <w:rPr>
          <w:lang w:val="en-US"/>
        </w:rPr>
      </w:pPr>
      <w:r/>
      <w:hyperlink r:id="rId13" w:tooltip="https://www.ncbi.nlm.nih.gov/clinvar/submitters/507028/" w:history="1">
        <w:r>
          <w:rPr>
            <w:color w:val="1155CC"/>
            <w:u w:val="single"/>
            <w:lang w:val="en-US"/>
          </w:rPr>
          <w:t xml:space="preserve">https://www.ncbi.nlm.nih.gov/clinvar/submitters/507028/</w:t>
        </w:r>
      </w:hyperlink>
      <w:r>
        <w:rPr>
          <w:lang w:val="en-US"/>
        </w:rPr>
        <w:t xml:space="preserve">, </w:t>
      </w:r>
      <w:r/>
    </w:p>
    <w:p>
      <w:pPr>
        <w:jc w:val="both"/>
        <w:spacing w:lineRule="auto" w:line="240"/>
        <w:rPr>
          <w:lang w:val="en-US"/>
        </w:rPr>
      </w:pPr>
      <w:r>
        <w:rPr>
          <w:lang w:val="en-US"/>
        </w:rPr>
        <w:t xml:space="preserve">Institute of Human Genetics, </w:t>
      </w:r>
      <w:r>
        <w:rPr>
          <w:lang w:val="en-US"/>
        </w:rPr>
        <w:t xml:space="preserve">Klinikum</w:t>
      </w:r>
      <w:r>
        <w:rPr>
          <w:lang w:val="en-US"/>
        </w:rPr>
        <w:t xml:space="preserve"> </w:t>
      </w:r>
      <w:r>
        <w:rPr>
          <w:lang w:val="en-US"/>
        </w:rPr>
        <w:t xml:space="preserve">rechts</w:t>
      </w:r>
      <w:r>
        <w:rPr>
          <w:lang w:val="en-US"/>
        </w:rPr>
        <w:t xml:space="preserve"> der </w:t>
      </w:r>
      <w:r>
        <w:rPr>
          <w:lang w:val="en-US"/>
        </w:rPr>
        <w:t xml:space="preserve">Isar</w:t>
      </w:r>
      <w:r>
        <w:rPr>
          <w:lang w:val="en-US"/>
        </w:rPr>
        <w:t xml:space="preserve"> (Technical University Munich):</w:t>
      </w:r>
      <w:r/>
    </w:p>
    <w:p>
      <w:pPr>
        <w:jc w:val="both"/>
        <w:spacing w:lineRule="auto" w:line="240"/>
        <w:rPr>
          <w:lang w:val="en-US"/>
        </w:rPr>
      </w:pPr>
      <w:r/>
      <w:hyperlink r:id="rId14" w:tooltip="https://www.ncbi.nlm.nih.gov/clinvar/submitters/500240/" w:history="1">
        <w:r>
          <w:rPr>
            <w:color w:val="1155CC"/>
            <w:u w:val="single"/>
            <w:lang w:val="en-US"/>
          </w:rPr>
          <w:t xml:space="preserve">https://www.ncbi.nlm.nih.gov/clinvar/submitters/500240/</w:t>
        </w:r>
      </w:hyperlink>
      <w:r>
        <w:rPr>
          <w:lang w:val="en-US"/>
        </w:rPr>
        <w:t xml:space="preserve">, </w:t>
      </w:r>
      <w:r/>
    </w:p>
    <w:p>
      <w:pPr>
        <w:jc w:val="both"/>
        <w:spacing w:lineRule="auto" w:line="240"/>
        <w:rPr>
          <w:highlight w:val="white"/>
          <w:lang w:val="en-US"/>
        </w:rPr>
      </w:pPr>
      <w:r>
        <w:rPr>
          <w:highlight w:val="white"/>
          <w:lang w:val="en-US"/>
        </w:rPr>
        <w:t xml:space="preserve">Institute for Medical Genetics and Human Genetics (</w:t>
      </w:r>
      <w:r>
        <w:rPr>
          <w:highlight w:val="white"/>
          <w:lang w:val="en-US"/>
        </w:rPr>
        <w:t xml:space="preserve">Charité</w:t>
      </w:r>
      <w:r>
        <w:rPr>
          <w:highlight w:val="white"/>
          <w:lang w:val="en-US"/>
        </w:rPr>
        <w:t xml:space="preserve">- </w:t>
      </w:r>
      <w:r>
        <w:rPr>
          <w:highlight w:val="white"/>
          <w:lang w:val="en-US"/>
        </w:rPr>
        <w:t xml:space="preserve">Universitätsmedizin</w:t>
      </w:r>
      <w:r>
        <w:rPr>
          <w:highlight w:val="white"/>
          <w:lang w:val="en-US"/>
        </w:rPr>
        <w:t xml:space="preserve"> Berlin):</w:t>
      </w:r>
      <w:r/>
    </w:p>
    <w:p>
      <w:pPr>
        <w:jc w:val="both"/>
        <w:spacing w:lineRule="auto" w:line="240"/>
        <w:rPr>
          <w:highlight w:val="white"/>
          <w:lang w:val="en-US"/>
        </w:rPr>
      </w:pPr>
      <w:r/>
      <w:hyperlink r:id="rId15" w:tooltip="https://www.ncbi.nlm.nih.gov/clinvar/submitters/505735/" w:history="1">
        <w:r>
          <w:rPr>
            <w:color w:val="1155CC"/>
            <w:highlight w:val="white"/>
            <w:u w:val="single"/>
            <w:lang w:val="en-US"/>
          </w:rPr>
          <w:t xml:space="preserve">https://www.ncbi.nlm.nih.gov/clinvar/submitters/505735/</w:t>
        </w:r>
      </w:hyperlink>
      <w:r>
        <w:rPr>
          <w:highlight w:val="white"/>
          <w:lang w:val="en-US"/>
        </w:rPr>
        <w:t xml:space="preserve">,</w:t>
      </w:r>
      <w:r/>
    </w:p>
    <w:p>
      <w:pPr>
        <w:jc w:val="both"/>
        <w:spacing w:lineRule="auto" w:line="240"/>
        <w:rPr>
          <w:highlight w:val="white"/>
          <w:lang w:val="en-US"/>
        </w:rPr>
      </w:pPr>
      <w:r>
        <w:rPr>
          <w:highlight w:val="white"/>
          <w:lang w:val="en-US"/>
        </w:rPr>
        <w:t xml:space="preserve">Institute of Medical Genetics and Applied Genomics (University Hospital Tübingen): </w:t>
      </w:r>
      <w:hyperlink r:id="rId16" w:tooltip="https://www.ncbi.nlm.nih.gov/clinvar/submitters/506385/" w:history="1">
        <w:r>
          <w:rPr>
            <w:color w:val="1155CC"/>
            <w:highlight w:val="white"/>
            <w:u w:val="single"/>
            <w:lang w:val="en-US"/>
          </w:rPr>
          <w:t xml:space="preserve">https://www.ncbi.nlm.nih.gov/clinvar/submitters/506385/</w:t>
        </w:r>
      </w:hyperlink>
      <w:r>
        <w:rPr>
          <w:highlight w:val="white"/>
          <w:lang w:val="en-US"/>
        </w:rPr>
        <w:t xml:space="preserve">. </w:t>
      </w:r>
      <w:r/>
    </w:p>
    <w:p>
      <w:pPr>
        <w:jc w:val="both"/>
        <w:spacing w:lineRule="auto" w:line="240"/>
        <w:rPr>
          <w:highlight w:val="white"/>
          <w:lang w:val="en-US"/>
        </w:rPr>
      </w:pPr>
      <w:r>
        <w:rPr>
          <w:highlight w:val="white"/>
          <w:lang w:val="en-US"/>
        </w:rPr>
        <w:t xml:space="preserve">Genomics Facility (Ludwig-</w:t>
      </w:r>
      <w:r>
        <w:rPr>
          <w:highlight w:val="white"/>
          <w:lang w:val="en-US"/>
        </w:rPr>
        <w:t xml:space="preserve">Maximilians</w:t>
      </w:r>
      <w:r>
        <w:rPr>
          <w:highlight w:val="white"/>
          <w:lang w:val="en-US"/>
        </w:rPr>
        <w:t xml:space="preserve">-Universität München):</w:t>
      </w:r>
      <w:r/>
    </w:p>
    <w:p>
      <w:pPr>
        <w:jc w:val="both"/>
        <w:spacing w:lineRule="auto" w:line="240"/>
        <w:rPr>
          <w:highlight w:val="white"/>
          <w:lang w:val="en-US"/>
        </w:rPr>
      </w:pPr>
      <w:r>
        <w:rPr>
          <w:lang w:val="en-US"/>
        </w:rPr>
        <w:t xml:space="preserve">https://www.ncbi.nlm.nih.gov/clinvar/submitters/507363/</w:t>
      </w:r>
      <w:r/>
    </w:p>
    <w:p>
      <w:pPr>
        <w:jc w:val="both"/>
        <w:spacing w:lineRule="auto" w:line="240"/>
        <w:rPr>
          <w:b/>
          <w:sz w:val="18"/>
          <w:szCs w:val="18"/>
          <w:highlight w:val="white"/>
          <w:lang w:val="en-US"/>
        </w:rPr>
      </w:pPr>
      <w:r>
        <w:rPr>
          <w:b/>
          <w:sz w:val="18"/>
          <w:szCs w:val="18"/>
          <w:highlight w:val="white"/>
          <w:lang w:val="en-US"/>
        </w:rPr>
      </w:r>
      <w:r/>
    </w:p>
    <w:p>
      <w:pPr>
        <w:rPr>
          <w:sz w:val="32"/>
          <w:szCs w:val="32"/>
          <w:lang w:val="en-US"/>
        </w:rPr>
      </w:pPr>
      <w:r>
        <w:rPr>
          <w:lang w:val="en-US"/>
        </w:rPr>
        <w:br w:type="page"/>
      </w:r>
      <w:r/>
    </w:p>
    <w:p>
      <w:pPr>
        <w:pStyle w:val="642"/>
        <w:rPr>
          <w:lang w:val="en-US"/>
        </w:rPr>
      </w:pPr>
      <w:r/>
      <w:bookmarkStart w:id="7" w:name="_Toc90629818"/>
      <w:r>
        <w:rPr>
          <w:lang w:val="en-US"/>
        </w:rPr>
        <w:t xml:space="preserve">Supplementary Results</w:t>
      </w:r>
      <w:bookmarkEnd w:id="7"/>
      <w:r/>
      <w:r/>
    </w:p>
    <w:p>
      <w:pPr>
        <w:pStyle w:val="643"/>
        <w:rPr>
          <w:highlight w:val="white"/>
          <w:lang w:val="en-US"/>
        </w:rPr>
      </w:pPr>
      <w:r/>
      <w:bookmarkStart w:id="8" w:name="_Toc90629819"/>
      <w:r>
        <w:rPr>
          <w:highlight w:val="white"/>
          <w:lang w:val="en-US"/>
        </w:rPr>
        <w:t xml:space="preserve">Parental Mosaicism</w:t>
      </w:r>
      <w:bookmarkEnd w:id="8"/>
      <w:r/>
      <w:r/>
    </w:p>
    <w:p>
      <w:pPr>
        <w:jc w:val="both"/>
        <w:spacing w:lineRule="auto" w:line="240"/>
        <w:rPr>
          <w:highlight w:val="white"/>
          <w:lang w:val="en-US"/>
        </w:rPr>
      </w:pPr>
      <w:r>
        <w:rPr>
          <w:rFonts w:eastAsia="Arial Unicode MS"/>
          <w:highlight w:val="white"/>
          <w:lang w:val="en-US"/>
        </w:rPr>
        <w:t xml:space="preserve">In a sub-cohort of 471 cases, all parental sequence reads were visually checked in IGV for the presence of corresponding variant reads (≥ 1) in all families with causative, presumably </w:t>
      </w:r>
      <w:r>
        <w:rPr>
          <w:i/>
          <w:highlight w:val="white"/>
          <w:lang w:val="en-US"/>
        </w:rPr>
        <w:t xml:space="preserve">de novo</w:t>
      </w:r>
      <w:r>
        <w:rPr>
          <w:highlight w:val="white"/>
          <w:lang w:val="en-US"/>
        </w:rPr>
        <w:t xml:space="preserve"> variants.  In this sub-cohort, we found three families with very probable or certain parental mosaics that affect at least the germ cells.</w:t>
      </w:r>
      <w:r/>
    </w:p>
    <w:p>
      <w:pPr>
        <w:jc w:val="both"/>
        <w:spacing w:lineRule="auto" w:line="240" w:after="180" w:before="180"/>
        <w:rPr>
          <w:highlight w:val="white"/>
          <w:lang w:val="en-US"/>
        </w:rPr>
      </w:pPr>
      <w:r>
        <w:rPr>
          <w:highlight w:val="white"/>
          <w:lang w:val="en-US"/>
        </w:rPr>
        <w:t xml:space="preserve">In the first family with only one affected person (case 432), a pathogenic, heterozygous nonsense variant in </w:t>
      </w:r>
      <w:r>
        <w:rPr>
          <w:i/>
          <w:highlight w:val="white"/>
          <w:lang w:val="en-US"/>
        </w:rPr>
        <w:t xml:space="preserve">ASXL3</w:t>
      </w:r>
      <w:r>
        <w:rPr>
          <w:highlight w:val="white"/>
          <w:lang w:val="en-US"/>
        </w:rPr>
        <w:t xml:space="preserve"> was detected leading to the diagnosis of an autosomal-dominant Bainbridge-Ropers-Syn</w:t>
      </w:r>
      <w:r>
        <w:rPr>
          <w:highlight w:val="white"/>
          <w:lang w:val="en-US"/>
        </w:rPr>
        <w:t xml:space="preserve">drome (OMIM #615485). Two out of 69 exome sequencing reads of the mother and one out of 60 reads of the father also showed the variant. For the paternal sequence reads, low-quality scores pointed to an artifact. Additionally, three unrelated persons from t</w:t>
      </w:r>
      <w:r>
        <w:rPr>
          <w:highlight w:val="white"/>
          <w:lang w:val="en-US"/>
        </w:rPr>
        <w:t xml:space="preserve">he same sequencing run also had one read each with the variant, pointing to contamination of the batch. However, Sanger sequencing of maternal lymphocyte DNA detected the variant at low intensity while no signs of the variant were detected in paternal DNA.</w:t>
      </w:r>
      <w:r/>
    </w:p>
    <w:p>
      <w:pPr>
        <w:jc w:val="both"/>
        <w:spacing w:lineRule="auto" w:line="240" w:after="180" w:before="180"/>
        <w:rPr>
          <w:highlight w:val="white"/>
          <w:lang w:val="en-US"/>
        </w:rPr>
      </w:pPr>
      <w:r>
        <w:rPr>
          <w:highlight w:val="white"/>
          <w:lang w:val="en-US"/>
        </w:rPr>
        <w:t xml:space="preserve">In the second family, two brothers with the main symptom of intellectual disability carried a heterozygous (case 435), likely pathogenic variant in </w:t>
      </w:r>
      <w:r>
        <w:rPr>
          <w:i/>
          <w:highlight w:val="white"/>
          <w:lang w:val="en-US"/>
        </w:rPr>
        <w:t xml:space="preserve">FOXG1</w:t>
      </w:r>
      <w:r>
        <w:rPr>
          <w:highlight w:val="white"/>
          <w:lang w:val="en-US"/>
        </w:rPr>
        <w:t xml:space="preserve"> (autosomal dominant hereditary </w:t>
      </w:r>
      <w:r>
        <w:rPr>
          <w:i/>
          <w:highlight w:val="white"/>
          <w:lang w:val="en-US"/>
        </w:rPr>
        <w:t xml:space="preserve">FOXG1</w:t>
      </w:r>
      <w:r>
        <w:rPr>
          <w:highlight w:val="white"/>
          <w:lang w:val="en-US"/>
        </w:rPr>
        <w:t xml:space="preserve"> syndrome, OMIM #613454). DNA extracted from a blood sample of the mother was subjected to exome sequencing and the variant was found in one of 132 reads.</w:t>
      </w:r>
      <w:r/>
    </w:p>
    <w:p>
      <w:pPr>
        <w:jc w:val="both"/>
        <w:spacing w:lineRule="auto" w:line="240" w:after="180" w:before="180"/>
        <w:rPr>
          <w:highlight w:val="white"/>
          <w:lang w:val="en-US"/>
        </w:rPr>
      </w:pPr>
      <w:r>
        <w:rPr>
          <w:highlight w:val="white"/>
          <w:lang w:val="en-US"/>
        </w:rPr>
        <w:t xml:space="preserve">In the third family parental mosaicism could be established due to a heterozygous variant in the </w:t>
      </w:r>
      <w:r>
        <w:rPr>
          <w:i/>
          <w:highlight w:val="white"/>
          <w:lang w:val="en-US"/>
        </w:rPr>
        <w:t xml:space="preserve">PUF60</w:t>
      </w:r>
      <w:r>
        <w:rPr>
          <w:highlight w:val="white"/>
          <w:lang w:val="en-US"/>
        </w:rPr>
        <w:t xml:space="preserve"> that could explain the developmental delay in two brothers (case 443 and 444; </w:t>
      </w:r>
      <w:r>
        <w:rPr>
          <w:highlight w:val="white"/>
          <w:lang w:val="en-US"/>
        </w:rPr>
        <w:t xml:space="preserve">Verheij</w:t>
      </w:r>
      <w:r>
        <w:rPr>
          <w:highlight w:val="white"/>
          <w:lang w:val="en-US"/>
        </w:rPr>
        <w:t xml:space="preserve"> syndrome, OMIM #615583). Although both parents were also subjected to exome sequencing, the variant could not be detected in their blood DNA, despite high coverage of 226 and 201 sequencing reads, respectively.</w:t>
      </w:r>
      <w:r/>
    </w:p>
    <w:p>
      <w:pPr>
        <w:jc w:val="both"/>
        <w:spacing w:lineRule="auto" w:line="240" w:after="180" w:before="180"/>
        <w:rPr>
          <w:highlight w:val="white"/>
          <w:lang w:val="en-US"/>
        </w:rPr>
      </w:pPr>
      <w:r>
        <w:rPr>
          <w:highlight w:val="white"/>
          <w:lang w:val="en-US"/>
        </w:rPr>
        <w:t xml:space="preserve">Thes</w:t>
      </w:r>
      <w:r>
        <w:rPr>
          <w:highlight w:val="white"/>
          <w:lang w:val="en-US"/>
        </w:rPr>
        <w:t xml:space="preserve">e examples again illustrate the frequency of low-level parental mosaicism and their relevance when counseling about recurrence risk. Only two of these three parental mosaics would have been detected in parental NGS reads applying the criteria presented by </w:t>
      </w:r>
      <w:r>
        <w:rPr>
          <w:highlight w:val="white"/>
          <w:lang w:val="en-US"/>
        </w:rPr>
        <w:t xml:space="preserve">Gambin</w:t>
      </w:r>
      <w:r>
        <w:rPr>
          <w:highlight w:val="white"/>
          <w:lang w:val="en-US"/>
        </w:rPr>
        <w:t xml:space="preserve"> and colleagues according to which only variants present in at least two reads or in one read and absent in reference databases were classified as candidate low-level mosaic SNVs</w:t>
      </w:r>
      <w:r>
        <w:fldChar w:fldCharType="begin"/>
      </w:r>
      <w:r>
        <w:rPr>
          <w:lang w:val="en-US"/>
        </w:rPr>
        <w:instrText xml:space="preserve">ADDIN paperpile_citation &lt;clusterId&gt;W373K439G721D434&lt;/clusterId&gt;&lt;metadata&gt;&lt;citation&gt;&lt;id&gt;CD8919A78ABB00209A08D71010F38EEF&lt;/id&gt;&lt;/citation&gt;&lt;/metadata&gt;&lt;data&gt;eJytWNtyHLcR/RUUq+xIVcRy7hc5qoRarkjJJEWTlGXL5VJhgJ5dhLODzVy4Wrn0kn/Lf+VgZi/DpSLblehF3JkGTvfpxunG/P</w:instrText>
      </w:r>
      <w:r>
        <w:rPr>
          <w:lang w:val="en-US"/>
        </w:rPr>
        <w:instrText xml:space="preserve">LbwQetDp4djE+S1E2P4+T4xQvH8Zz02ElOYtdxnZd+Mpm8PDg8UO3iQz0TLqyjPPBTmXoqcFM39/wAvxOPPOV4IvBE5uYiUSKNsUrXdUtY4rr4cUerpalUjd8XVCoqtCjZlEoz17L+jtFHMydW0z9bKqUup9+xhaiobETBajMXjZZsbmqhpa7n37EK79i9qLBHU2PztioOnv1yMGuaxbOjI/VxpIwemWp65Doj1/GTozpwAz/iiI47SRrzT1hkrW</w:instrText>
      </w:r>
      <w:r>
        <w:rPr>
          <w:lang w:val="en-US"/>
        </w:rPr>
        <w:instrText xml:space="preserve">uYL5fLUSkzPSqL+ajUs9HU3B8t2mxO6sj3ojB0/eR3zefySFTwsqD66OpiHEdOFEb+YNmf8agHf4yy9eZXpMRoS+1XdsMuha5nhBz/djA3ZTPb5GJFosLfHswPPnd5Kj+IorGvQx87+FEEK5HnGllqtCnx5oSQkGaOlDCTswtTkGwLUTFRKnbWzpHMUyoJDNSH7IVYFaZiY1MUNKXOnhRSV9IhOzNt3ZjykN3+dMje3hyP2KuybnTTNp3h2MwX+L</w:instrText>
      </w:r>
      <w:r>
        <w:rPr>
          <w:lang w:val="en-US"/>
        </w:rPr>
        <w:instrText xml:space="preserve">NiN1KjErDgnahqsWRvS31PVa2blTW7JTkrTWGmq43BIbsyBZwZsT1PLTKqaOfdA7wL08yoj2I804V6vN14JnRv8HDjzYbdq6uZqOZCUtt0YBdaVibTawevzKcS/DyMYOPXOs56Y/bf4nihDZVTUEgVjschu9aSBlt+idjL9gpekP1ho5ZfslmnasfOY5OHfrzJ6oaaahP46aokuY7zdkaWxJJq2gv2zJRT9r2xfm//ZDfH14edvRjtKsiqwM1WBd</w:instrText>
      </w:r>
      <w:r>
        <w:rPr>
          <w:lang w:val="en-US"/>
        </w:rPr>
        <w:instrText xml:space="preserve">gYqFT92Yp66PFNgxqu++j+AGu39FHUfTFAgP5Sw6ReaAjR7yNdwSfRcfO/efz/PF0LsaSi/nsm5yNS7R9K+N4SKwVIeiWkVYirt9dXb24mz7psTw0qGA40M12zumnVii1BXmOYqGuq8ReMapR552Zhlrygeyp22r7VdKbLRz2APZncPGVKNCIT2G3ELia3Z29Obp6xdwRmRLH6RIqJxaIyHzV6BBUr5jmOw3Ix1/gbmTBsctPtgG2bmuWVmXc+9S</w:instrText>
      </w:r>
      <w:r>
        <w:rPr>
          <w:lang w:val="en-US"/>
        </w:rPr>
        <w:instrText xml:space="preserve">zwM7O402W9LjOWg5hdczpdNyf25MXZ+OL0aZeMPfrw7vTpiB3PbUHDky4upoiV5t6wGkEUxMsWbcE0Wu16FsOPstG5RgCI3LoEuSXZ4DfCyQCF1CwtG0X/tGt5balBzm6XpW5mm19MoB5AdG4TBc1mT348fvmUZdQsiUrmO990AcT4f424AeqeIzlgoJkhcLc3MSX1uaV1vpCB68nN2/NbZOBNDjOPSSzV4JfWmdy5di+K7oViraWBifmi0NKU3O</w:instrText>
      </w:r>
      <w:r>
        <w:rPr>
          <w:lang w:val="en-US"/>
        </w:rPr>
        <w:instrText xml:space="preserve">ZSsZI+Nhztn6quwQyyfshUZRYFgUY9teeOLUyxmsMQsiIhxiWrqA/xkCEVWWHkHVxXul4UkODuEHVoOQS2N/Ni9sSLRsE3T8EpeIQfua7QY22pQiFtZXZ8belye7ZAxVMLAr1YWave6K8unvaV3IdtD3BDPe2LilDQ9i94uhtirEe0zlizNHbTuYEr6LtUlZZBRIVc2PMT+aPomwdlF6yf2GJ7VbIShx3b3xNkbdqRrJGHe61aUfR1Y7Kaqnu86B</w:instrText>
      </w:r>
      <w:r>
        <w:rPr>
          <w:lang w:val="en-US"/>
        </w:rPr>
        <w:instrText xml:space="preserve">KSoZH3SrxOU8c6Et/VLRg0aHw1MnYvDlmuMxRGIermkGWtlFb5bA887DxpK4u9Dgfd8c3l+Pztzas3l6iJtgKztn93tNvM6QXOEuypFJkNHxtDbWyuZKXnkP6Osg3pTdVSB5IjDFSdgUZDqr9SZdaYMKfYJmrP3SYJD9TmgchAD7bOv9tWgi38Zn0o0L7QkLvS/0qeNmfoYYIZdFDAAgKCeO1mUOYGe3xZ/h6NtlZsMZwUdmw+/z17dnP5Y70Vzr</w:instrText>
      </w:r>
      <w:r>
        <w:rPr>
          <w:lang w:val="en-US"/>
        </w:rPr>
        <w:instrText xml:space="preserve">W6CYa+MbWBzUzVdRMrg+vCU13jQ/raetHLyk7uwITSljw7UC/ElOyo7sZRwt04tvNgbgqF1Ri0MX6ubwMiCp3Uzz3hUZTkCSU+URD5TkKUUeZmeJxlsWOHzn+YFvwVeVtgVj/YCijcn6/b1zN4a1OJQNfGG/05xvHHYS4fNb3BYNdfOMpuKE4T7keOYztX24AH+PzbgS4RHgoLFrc2HF3VtqHdgtP6UxcfRrimsfPywamYZ/DM2vWXpFz5yqOceJ</w:instrText>
      </w:r>
      <w:r>
        <w:rPr>
          <w:lang w:val="en-US"/>
        </w:rPr>
        <w:instrText xml:space="preserve">grzNlpIHkapg5XygvCHLcgEvaSYE/Ndjlm6weoPwxQfwDle5jnumU/bAEdTyolY8I0HgruBIHDE5UST+PEF8JX5Kp4B4i1+2ivjwdwr3HqVqVgx3uY34sK0+Yd64x7YOGlSFwU8DAKMu5EyuNJJhKOS54j/CBy/NTfAa832AcfXwzAx7MK85dZ2EH7Yp/oysiZWdZ3mnVreh88JwkTlWccZRRyx4kyLuLI54nMvdCViRMG3oDt7R77blyeDty4hN</w:instrText>
      </w:r>
      <w:r>
        <w:instrText xml:space="preserve">yw0z38nzSxzqoHThPAyjjnuMgCWAUhTyPX5xRk9t4bp+SLHTAW7yO</w:instrText>
      </w:r>
      <w:r>
        <w:rPr>
          <w:lang w:val="en-US"/>
        </w:rPr>
        <w:instrText xml:space="preserve">eXw8Qz1sUM7veg3zXss6qR0y8zCGSxGPluNzJY8kFpTl+hiG88dIUi7aI7x6l+eezAeDPOCJnGAL2S8s+7wx7zNAPcVvPQx4oaVOc5TwRmcORWz9IhZuFXrrDxOJHoENM2gMbC8N+3h2cIIpiooSnaRBzJ0wVT9zc4annCtfzRCRzucPC2n2s98MA3xPuGwt2tg9pBxl2fKdojrva+12kQiUqSS</w:instrText>
      </w:r>
      <w:r>
        <w:rPr>
          <w:lang w:val="en-US"/>
        </w:rPr>
        <w:instrText xml:space="preserve">njXu743InTlGdBJriUkUoDx7OCNUAfbrPvx+3wPGH4RZ94fJ7e6aJG+7ndHSff92UmFerIk/Ag9yRPHJVDOKCSQRL4+TD+fv0+9M3lAPpmhj5dana5B/0ao9sUqqJZZ96jB0qRF1PI89wJwD5UJI1dl/tZmCVBJJMkDHfo2y32HZgM8Cdqn/wZWvdkC0kizTyRQDVSglKGsc9TC56QL71Q+RS52YByLP4D4mFniH3pmNj74U4zUvttJE6gleRDNU</w:instrText>
      </w:r>
      <w:r>
        <w:rPr>
          <w:lang w:val="en-US"/>
        </w:rPr>
        <w:instrText xml:space="preserve">OZchGmggM1jfJIhHk4IBqL92FPBqgnpizFHt5F+6lcsZMdYOBl5CY5x50DWiHyiCe5m3I3ikUQikhEwUArutWPNHpI7GsqS51DIyd7wFemphV7vaM48+LcC/IYSiEQahKlQA5yHniBSLI8TT1/INHd8q+eYLHA3P1YMqaDY+wgqkw6xGXs4hgnPiQylhH3Fdo+OoOX+dEDyXhM7xDyRGBY7bYfYr639cdOhqiBipLE51megGIvcjvd4I50skCKgG</w:instrText>
      </w:r>
      <w:r>
        <w:rPr>
          <w:lang w:val="en-US"/>
        </w:rPr>
        <w:instrText xml:space="preserve">JncHy75Y+K6UEtif3ixWlasvEOMPMUKIReZC6YJc/WLfqvm6skSMM4ScSgiOzifbyrAd4VldOc9Bf6/NUWUUYeUkcBl6ElVgj0eVtUypUBhZmTQ5S/3ueHHee1sIPgfsc5bxe2wb7edZ0wzIKIMsn9MEg4aI5BcQiFwMjmCDdVUTao3X79VyMVS/r3v/a5bUR5p2mp5acuYFPJnmT8Q1N3PB4FYcTjIHV2nd+PvThTsf2UiYxnaPpZ4CU8I7yJUj</w:instrText>
      </w:r>
      <w:r>
        <w:rPr>
          <w:lang w:val="en-US"/>
        </w:rPr>
        <w:instrText xml:space="preserve">gaBYME7BAOPmMqlRrIL1bnurzD2/Xn4BrDAWbi0dQY3MZHuKFsHv1tVjyn8tuiev5t2c6f+863doP6+Z/7jnyHuxfQrnFvEJWcseP+O3D/BbZZLewsf3X14fj69tX43B7ixVzaR8OvxIXIqFiP1taHO5zYzRhpP9Pyot6N0JvxeWRnYHtjMEvco62o+eMkeDmJjr30hetO4mP08cD3vcnLl6HjjC3L96Zo59Yjrx+gymmLUd/Ktp0ZJO42Xe7cyE</w:instrText>
      </w:r>
      <w:r>
        <w:rPr>
          <w:lang w:val="en-US"/>
        </w:rPr>
        <w:instrText xml:space="preserve">HfdhLXG/lp6Aap9brvZ7sv4g2u5N3nZQfZs15fqLBrAFHgURalIbkYjTFRKUlegpuEi/ZH9i5QIxBJfcYjGeUikQ7PYtS+g80ha17IffJD34u9NHGsq8rIyUcgnohG2A/aun6Ja5meYuDvbot2+n9VnuPuKipwZ6+S9tG5kZawtUlH1GQutOVwgdtiNbqrBK5Gn/4+tU9tcWz4vBQdT1fWin3fWx18/vzrfwDj5wgZ&lt;/data&gt; \* MERGEFORMAT</w:instrText>
      </w:r>
      <w:r>
        <w:fldChar w:fldCharType="separate"/>
      </w:r>
      <w:r>
        <w:rPr>
          <w:color w:val="000000"/>
          <w:highlight w:val="white"/>
          <w:vertAlign w:val="superscript"/>
          <w:lang w:val="en-US"/>
        </w:rPr>
        <w:t xml:space="preserve">16</w:t>
      </w:r>
      <w:r>
        <w:rPr>
          <w:color w:val="000000"/>
          <w:highlight w:val="white"/>
        </w:rPr>
        <w:fldChar w:fldCharType="end"/>
      </w:r>
      <w:r>
        <w:rPr>
          <w:highlight w:val="white"/>
          <w:lang w:val="en-US"/>
        </w:rPr>
        <w:t xml:space="preserve">. The third family again demonstrates that the apparent absence of the variant even in high coverage parental NGS data cannot exclude a gonadal mosaic. This is especially true when only one tissue is sequenced.</w:t>
      </w:r>
      <w:r/>
    </w:p>
    <w:p>
      <w:pPr>
        <w:jc w:val="both"/>
        <w:spacing w:lineRule="auto" w:line="240" w:after="240" w:before="240"/>
        <w:rPr>
          <w:highlight w:val="white"/>
          <w:lang w:val="en-US"/>
        </w:rPr>
      </w:pPr>
      <w:r>
        <w:rPr>
          <w:highlight w:val="white"/>
          <w:lang w:val="en-US"/>
        </w:rPr>
        <w:t xml:space="preserve">Three parental mosaics detected in the ES analysis of 471 patients correspond to a fre</w:t>
      </w:r>
      <w:r>
        <w:rPr>
          <w:highlight w:val="white"/>
          <w:lang w:val="en-US"/>
        </w:rPr>
        <w:t xml:space="preserve">quency of 0.64%, 0.21% of which have been discovered by the pedigree constellation only and not by the analysis of parental NGS reads. The remaining frequency of 0.41% is higher than in two previous studies investigating the frequency of low-level parental</w:t>
      </w:r>
      <w:r>
        <w:rPr>
          <w:highlight w:val="white"/>
          <w:lang w:val="en-US"/>
        </w:rPr>
        <w:t xml:space="preserve"> mosaics of pathogenic or likely pathogenic variants in their affected children. Wright and colleagues analyzed 4,293 ES trios and identified and validated eight low-level parental mosaics, six of which were diagnostic (corresponding to 0.14% of the trios)</w:t>
      </w:r>
      <w:r>
        <w:fldChar w:fldCharType="begin"/>
      </w:r>
      <w:r>
        <w:rPr>
          <w:lang w:val="en-US"/>
        </w:rPr>
        <w:instrText xml:space="preserve">ADDIN paperpile_citation &lt;clusterId&gt;Q427E477A857X578&lt;/clusterId&gt;&lt;metadata&gt;&lt;citation&gt;&lt;id&gt;6FA3400A22C411ECA62857A29D9F4BF5&lt;/id&gt;&lt;/citation&gt;&lt;/metad</w:instrText>
      </w:r>
      <w:r>
        <w:rPr>
          <w:lang w:val="en-US"/>
        </w:rPr>
        <w:instrText xml:space="preserve">ata&gt;&lt;data&gt;eJytVw1v2zgS/SuEge21gOXo+6OH4jaxnU3aeBGk3e3iikVBkZTNRhJ9pJTELXq//R4px3ad7R0KXNA0ssyZN/PmcYb88GX0UfLRy1F6fhrFvn8ahtM4CObT0zTMk+w0LGbFeXx2nozGI96vP5oVDbCaJ7EIaRaIzGciLStRRMwPoigNspLyOMt44ldFZa2kMb2ASYDnXtejlx9Gq65bvzw54Q8TruRE6eVJ4E8CP8pPTBzEaeb5Qe</w:instrText>
      </w:r>
      <w:r>
        <w:rPr>
          <w:lang w:val="en-US"/>
        </w:rPr>
        <w:instrText xml:space="preserve">EFgZ8UXggru9xg/f39/aRlpZy0dTNp5WqyVHcn675sBD+JgjDLwyT/n8sbdkJ1J1ktzMn1YpqmQZCn0YHZj4dEu16LCVPN3vP/yWiy5tXoTzCvpGXwv0UEHmppVgK1/DJqVNutYJHZqtENnmwlNoJqPIYwHH0dj2hVyVrSTqoWby9b08mu7wRRFTmTCqRKJltBaMvJtJatZLQmb5kULRNjMlV1LZZu8eJw5YWgdbcak99aeSe0kd3GLpk/iE7oMb</w:instrText>
      </w:r>
      <w:r>
        <w:rPr>
          <w:lang w:val="en-US"/>
        </w:rPr>
        <w:instrText xml:space="preserve">m5vJqRs17WXLZLfFQb+JyJO9U642EZuVBmLTtaj3d28z9Ckszew+2bCWFUK8QjJvdaLlfdz8ItmlA26W8n5L2oa7AqyFvaLuFsl9d4/9UvorV/prRZ92ZMLmT70Kl2bF+UWvKlze8s8Enw9nSAnPdarQVtLTGyrZRuQBsze+fk+XxxduXNzy5ffB/nqfvZ4H5xMyUXfQP/sBDOM/jrnrAI1speL0Hv4eNFTMI/fhs87Qr16GhMztQDCaKYnHIu2l</w:instrText>
      </w:r>
      <w:r>
        <w:rPr>
          <w:lang w:val="en-US"/>
        </w:rPr>
        <w:instrText xml:space="preserve">IrdSv+Zg443kV1iPb49bdRAwEyoqXpNGUdRLNQhkpGlgMYuaNa0rYzKFFLVvROkIZ+Upqwx6hks4ahLRIxG9MJRyOt6w3KT+uNEaTTUhHxYGkz4l+9FRvhtKOk0qoh8TgsIrLWqoRczPCuWwkym83I267nG3IvuxUskQfs8KdW60a0yIRwaZTmyI+gfmRNu5VC3Ih6rUz3ebNUNoPGJSRNQ55f/3PxgsjW+WcrSJbAjO5yqTde32ILCdYJDncaKG</w:instrText>
      </w:r>
      <w:r>
        <w:rPr>
          <w:lang w:val="en-US"/>
        </w:rPr>
        <w:instrText xml:space="preserve">On4h5p9DUoWkGeHhdrF5HLBaonnQJPtURSwvLEh6cBeMego0iVRmiQ2K1oR2qbjLEy2MdoEzENYnlaAcSDQHrHLbAlIBGgzadUNh5EcEdduGWtFHdP/45+sv4Z7Q3qcmcJJK26U6TpO9cmDCqzkqXsCMj5O+KShuAfio3CKt0BeRu0Ww46jKPPSPQmpK4F67V2NdXS3Fpb8dBp0QhEWat7l7WETDtZbbaconIAs4GHgVOHIc/9SeIidR+x4bQwIN</w:instrText>
      </w:r>
      <w:r>
        <w:rPr>
          <w:lang w:val="en-US"/>
        </w:rPr>
        <w:instrText xml:space="preserve">wiYBklpodCEYt02cuWaUENivTdMFpS9bYdQ1li2VLUSaAC76APRI/2g/9RU7vtjwpAGVM9kraFiH3yPPjpBXRGl60ywli/qof61QrcTMiVvLV5Oi15Nqc9rYohIlsnF7HaFmlHwIqua9Vt1sIMCrOcrm3FNbVJICSOFsg6WtY7JR0IfCcKhW1h1QLe6yEYiLEU0JaxhXKbtq4GvVkhqG17s1rYKRMdAC9rO9Kn+72gBQRq6//XuwlUDNkYl4DjAB</w:instrText>
      </w:r>
      <w:r>
        <w:rPr>
          <w:lang w:val="en-US"/>
        </w:rPr>
        <w:instrText xml:space="preserve">+H7fq9fWo335N2YAtoG4IdeXQpjB1oRW7HW6Vqa4YDBibmJzCPllL1NU4co1/dtEVCTdPbiB3rMNmeZrLC97OA8UIkAU9Q1MrnSUbzNE4YTSpeBHnAsjIeTjOtm6Fx4AVZaA8OtAfTGKwfvoxAh1WdDWp6bkOS2tg+OSX2k9LMHbV8/Hj4jbywSHIv8bPUhW+nSmcH+Oi9m2zE+RiOZ1WcUMztDCYx8/ysyrwiotQTiIxnIg7SmGFxTR3eYI8h/0</w:instrText>
      </w:r>
      <w:r>
        <w:rPr>
          <w:lang w:val="en-US"/>
        </w:rPr>
        <w:instrText xml:space="preserve">1I84OI5keI17BoFDia7yB9X4gsC6iX8Fh4fpkkXlGWlcd85sc8iMoi53vIRwfHoLMD0NkR6A39BM3N9oiJz5KYh56oUu75hQg8SpnwUI6gYExE3E/2iM76GO71AdzrI7gLOzToLQ4Fr3eQArTSMOJemiWp5/OUemVEKy9PBc94HhRhQveQOw8/ArtgN1QcQCZRULHSz7ySMuigQhUpqodU8zCjYRamabmHdNY/AvcGzYK22OJ7xFiUZYLzvJdxin</w:instrText>
      </w:r>
      <w:r>
        <w:rPr>
          <w:lang w:val="en-US"/>
        </w:rPr>
        <w:instrText xml:space="preserve">Nj7qOSwPGqOE2pYDg5RweIjw6OQd+9P0B9R94f4Z7L7vPS9hdO3MqtbpO0KkRaeMgw8PwU1aSUB14RFGXiR7SIq3QPvffxREY3hzoiN38Bfk3RLdgtcUsH9CJOk4RnuRf6UQEJi9ijeVV5IipjVoqiSoX/LfrWyTH8xe8H8Bfk9yfwGn3MLRqA84KXQVYVXpaFJWoc+17hh6EXxlGRBGEY86Q6BIb5MeTicLsuyPGGvcBdCjNmsd+vCdKhQSa8kL</w:instrText>
      </w:r>
      <w:r>
        <w:rPr>
          <w:lang w:val="en-US"/>
        </w:rPr>
        <w:instrText xml:space="preserve">nd46deQTn4TrCpIj9OyzI/kLKzH31Fr2QSLs82V7K9xRfby5lhK1VTjUuTWtbDRWX76h+r+pVon9X61bO2b15F/jPrwLz6wVvdrWxdD8BopZqtyOlwDRquMnbY2aZy/fH05t3l9MpmiaubfXV4Z6tpKeptx7dB3IrNrvvZa4531452s2CYAzgjuylg55i6b4W9Ec2jaR6fz1Pcds9w981OE3TZKArn5+eJ70+tRO5U3TfuGjsIpl32mD62gVgEe8</w:instrText>
      </w:r>
      <w:r>
        <w:rPr>
          <w:lang w:val="en-US"/>
        </w:rPr>
        <w:instrText xml:space="preserve">JwZQnSKML+whaeYKbERWbDdtU5uKBibA8XNR+ls2EveGK7X8lpwhk6Uh7xPM59kZScYbPkfpCmuZ0+BpkwMZSb8qpIy4x6aSTQnmNou4DevSJOijzmEYpuJwJXbI4zFp3ZmYmroTTn6NJyiSlWQWjCjrTL9kqWmmqQ1+nevbpSzDK2XeKImjdUWhLX7rp1qymG9+efl/atlccjn79Sx9O1u8q9GVaNvn798z/jW0Ke&lt;/data&gt; \* MERGEFORMAT</w:instrText>
      </w:r>
      <w:r>
        <w:fldChar w:fldCharType="separate"/>
      </w:r>
      <w:r>
        <w:rPr>
          <w:color w:val="000000"/>
          <w:highlight w:val="white"/>
          <w:vertAlign w:val="superscript"/>
          <w:lang w:val="en-US"/>
        </w:rPr>
        <w:t xml:space="preserve">17</w:t>
      </w:r>
      <w:r>
        <w:rPr>
          <w:color w:val="000000"/>
          <w:highlight w:val="white"/>
        </w:rPr>
        <w:fldChar w:fldCharType="end"/>
      </w:r>
      <w:r>
        <w:rPr>
          <w:highlight w:val="white"/>
          <w:lang w:val="en-US"/>
        </w:rPr>
        <w:t xml:space="preserve">. Cao and colleagues analyzed a cohort of approximately 12,000 samples submitted for clinical exome sequencing and identified 0.3% parental mosaics either by analysis of parental NGS reads or by Sanger sequencing of parental DNA</w:t>
      </w:r>
      <w:r>
        <w:fldChar w:fldCharType="begin"/>
      </w:r>
      <w:r>
        <w:rPr>
          <w:lang w:val="en-US"/>
        </w:rPr>
        <w:instrText xml:space="preserve">ADDIN paperpile_citation &lt;clusterId&gt;R554Y512U992S685&lt;/clusterId&gt;&lt;metadata&gt;&lt;citation&gt;&lt;id&gt;8AEC5BD022C411EC935157A29D9F4BF5&lt;/id&gt;&lt;/citation&gt;&lt;/metadata&gt;&lt;data&gt;eJzFWWtv20YW/SsDAy1sQJT5fiQItoosJ2ns2LCdTYKiKIYzQ3FqitTyYUUpsr99zyX1oKhs2n7Z9QeDj7lz7uPcx4i//HHy</w:instrText>
      </w:r>
      <w:r>
        <w:rPr>
          <w:lang w:val="en-US"/>
        </w:rPr>
        <w:instrText xml:space="preserve">m5Ynz07CyWzqvbwwbXvqWtZsGjme5QUTO7qILt2Xl97J6EQ2y9+qlFtYrUwz9JzIDmzHU4lUynNi7sSxZ9mhnQSJY4vQCiWHlK6qRkHEwvWjWq+KUla4ndy8fs6mk+m7iTXBxfIVq3StnrNXKi/q9VIZy3RzxURRlirjtS7y5+z2jfPWmLx9MBYPN3dsyet0xdfP2d3kvqAbrarn7L5YYLVgi6LiWuhq8Zy9v70AflNmJ89+OUnrevns/Fx+HstC</w:instrText>
      </w:r>
      <w:r>
        <w:rPr>
          <w:lang w:val="en-US"/>
        </w:rPr>
        <w:instrText xml:space="preserve">j4tyfm6ZY8sK/fPKcszAMUwrMkzfCw0bQrS6wvLVajXORazHebYY5zodz4un82UTL5Q8dyzHjUIv+NPlC3HOS+iWqer89nrq+74ZmGZPbA6rFwp7QvFcjWONOylUXpc8G4tisRf/Kzr/6W64EI/nS5l8Z7tfEfpCUwi/gwhHZLpKFbj0x8miyOsUAuQPyde4sn1crhUv6RqCJ19HJ7WuM2LGhIlM51rwjFVN+aTWrEg2sQMp8nmmWN7A5KLWUrEn</w:instrText>
      </w:r>
      <w:r>
        <w:rPr>
          <w:lang w:val="en-US"/>
        </w:rPr>
        <w:instrText xml:space="preserve">Xmqe1xXTOZO6UrxShuANLWQwV1VMqlqJWkkWr5n6DItZpf7VqBwumEMLHldkdQ3kl5Pp21d3N+/fXTxjk6xOi2aebpFbHOIcS3nFYqVy9pgXq5zVBSM8tUVnSVECU3CpqhFL9Tw16rSkrZZN3YNm0CrNi6yYg6RspeuU1aliPOfZuu6sVzmSQD/pet2iFLitakQrW2+M2lvPa1Yq2QiYybNMZdA4IaugcAWNnxQrcoiVSnTyIEE5p8UVg2412LD3</w:instrText>
      </w:r>
      <w:r>
        <w:rPr>
          <w:lang w:val="en-US"/>
        </w:rPr>
        <w:instrText xml:space="preserve">utR8nhcVpUytqroas4eCSV6rEUvUilVrKNFlVKtsBfX3Edpp1Hd7b8dhBDp36SdVVj0VdA6K8p72rcOXqsRqUHbMrmcPr28u7p+Rajp/gpp6Dg1bFyZlt/t6xKhgjI48gie5ZNuKghfk2k6ms2WrR+uxTD3BIFYdVJHvMfH0/t0/q7MWQ6ScMFWpyfh2b9KwLWHVsoCVW5qO2EoBrC6Lagm/wSEAh0qlhgtLtSxK8uXQyUlZLBjHfine0+7/ZpY9</w:instrText>
      </w:r>
      <w:r>
        <w:instrText xml:space="preserve">Mk2TVXyxRFlACsULXZMsOXrn4KMwnM7uz4hFL/k6w0LUXUUaj9nd7P791QM8/YGo3cAoyzaPFEEMiuyJNrLMYGuRzkXWtCaGOwnyDeXqsix</w:instrText>
      </w:r>
      <w:r>
        <w:instrText xml:space="preserve">i8tBWT7p2zfYNL8FRnp3PSzzc3m0XjtkEXOFztd2QZ3BvTrFvw6x2UWank8nl2Z6H2Jo3dYE4buDw4KMBhzzi5TZ5u5KBNwkoTnqtkCFWOLZ/gJMXpIzsctVxx+EP39+i3WDMbtqYV2rosxEL3B5pfGsc/HAGFpSUB7yqdKK7BKVGVmBXyCIymX4kavQetq7z2akTjh3sAIndrmBEA1KXNYc+lZ7n2FRwPEEGDSJYCNGUZeenQ1OgSyFQ/Lamb7x</w:instrText>
      </w:r>
      <w:r>
        <w:instrText xml:space="preserve">IlaJY6JyS43RycUbKTS7O92+p2MAMZO/p5O4MFgbnoM6IeR5cdzbae+7Ucbo3djD26A222abbqWV271rjusyd3LHTsHvqt07TeYpEqTvD4G/kNdKeHMpObVp4Rp7Ymdr6uOMyjN3Fa5VqkXZ1couunhQJ7EsQiroodUwl6B0VzU445ZSjrf/gjE2cN7LYuMnbgaX1LUqdlg3Pqg0cFwKKbPPTIiuh815pkHpP4eOsA7U0krxu5BplGqVlm1dzlPV</w:instrText>
      </w:r>
      <w:r>
        <w:instrText xml:space="preserve">ly16VlwDaAOxmIMaThOoMkvMOi4gbPKO7zQzVWTZm05t306v3929u3qEEvAGJmgUFgVHFXbQ2WYjZVtNFkcENGS+3JR/OWaAT7jTdVCrYnKEzIGfrGu5saB+0OD6w8CB56711I3IeUn1XHPZmkcWoxnndpQ/kTHIp9Ev4Qme6zX10rS8UwknFZvcUU1iP909FidZeKi7B8gJlBq+WdImOUHRVZ9SZsbV+W9CXJZpERv3jW61wk7Ko4qj6LSk4kUK</w:instrText>
      </w:r>
      <w:r>
        <w:instrText xml:space="preserve">ChoN96oKsyZtFDPD/0oi+QYKiKTeeHdNEkyQwtO2eGGouFLxUL4iY2PB6FyAiyetmAU22tX60Lf7TApV03ip1vZkVR+wGbN+8v834Fz5ir4umqqmbPnxELQtMxzQcHBZG7P39ZDxsJIPl7ZJD1W4wiKH/UZsk3V6tcyVoPEIbJ2JPU6iBmvQ+b4cFGoog9LoAZd/i32h/ye4nd6N2PR9itObAw3ut3uQIQd10IbguEITONRDPwLMPvKz4asRuiwx</w:instrText>
      </w:r>
      <w:r>
        <w:instrText xml:space="preserve">Px4fLp+gIuCzZvdAU++3ygY4P20FvfbzfoXr3NaJWdYrdadE39s/9978L7VLl80Tp7KdYLMaYOv9SsI+F/m/q85XKqr+n/KEIHXBQDOjg6oa4SYoMyYzbX3A4+h3ZiAqTNBlOlyev2iMX2565sHhzZua+L61Y8SCQIkm8RESxKSIZWlGSJGYYOYHkfhyI7sxMmWwFnm9EkfuRcrxB+8fp6Zc/TlAhao2GghWfSBddVnSY+aRaxUqUl5qOYSdTXjB</w:instrText>
      </w:r>
      <w:r>
        <w:instrText xml:space="preserve">a0B3w3cQz7dCJDcuWAuc2ERthGMWGMBMZ2Zbrm9LBYgwidSeLI9oB1vXPPbBrFCP28wDwoXhET2btwg2oHwtbeYmhHMs0TMcVBg+VbSRBYEUqkMqMkj1oJz/End33cGdyxUvJ7oemYrRn7cIOl/uW8BzbNiLlSMM0HW5wL7QNN3SCIHGlI+O4Zyykh6h3PdA7/juyONUD0FdpUaXsbg9qSjdIQuBFNv4lKja4HYaGY/um53q2OABtpYeoDz3UB1R</w:instrText>
      </w:r>
      <w:r>
        <w:rPr>
          <w:lang w:val="en-US"/>
        </w:rPr>
        <w:instrText xml:space="preserve">7HKjbM+uRrQ87VN91kkBaniE9G+fx0HaNOHDgZ2kr1xHcVsL5vqkHJOL5Qh9BXkKLHpWcgMsgUIkhvMA1zNiTRujzwLAdP1SOHwUiCfaQJHwU035IM/2Fx6pOh+6la0R1B0u/lPjkVcEDMFiajhF73DEc4pUdxrF0e5Z24kPgyx7wpUIOozsMcTHtZdSG2WUPOnGUGfuG6SnPMC1XGZzbgRG5CZ</w:instrText>
      </w:r>
      <w:r>
        <w:rPr>
          <w:lang w:val="en-US"/>
        </w:rPr>
        <w:instrText xml:space="preserve">BN4Qpu9aC3OwzRbyc9+FtOvU9zNhko8IEY3i7d/DSnRJyARAZHATHMgCNzvUgZ4Jrv214Y+qIHTtJD3D7sJCPQAeTLkn9GAWR70EQikrGtwF6OGNuJbYSOyY3E8UUUKVt6Uu1BN/JD3I893I9HoB84WPVxjxj6TuR7AjRKYKaAoyMQzIilsPxYcg/VsW/mMauuenBXOl8j/IeI18Tjqx2iRcUpclxDujaiSnWRR1ZgWNJUkVBh4EBqh3j9DR4fVI</w:instrText>
      </w:r>
      <w:r>
        <w:rPr>
          <w:lang w:val="en-US"/>
        </w:rPr>
        <w:instrText xml:space="preserve">lmWCBgctGrD7G0bZkgjqEfgUm2iUyNVWTYPApNV7puFPbgSHgI96EH90FpZOowjpp92OFFZiJMPxKo+Ar54ljciCMvQtZaphUjkZAxvRAesfUgV458Cf16CeLFnuVafmIkoXApeGCrLShBQ+5FTpTEIjiwbQg2ve6hTdP29xO0+esB6gwBbJdu+kvgKd+OEDL8waWRRJLgVlm+UjKWvhf0SsLsOICHtW95XPo+8YPSl3jUptE2rThyqcYnRhhFls</w:instrText>
      </w:r>
      <w:r>
        <w:rPr>
          <w:lang w:val="en-US"/>
        </w:rPr>
        <w:instrText xml:space="preserve">GVa1q+VFHo2HvAT98g6UGJx6mz+jKsP3wR636F554dW5EIDRESTcEVI3Ji2zBVELiJicEh6aViJ37k3gPvcjnAvE8xxE57s0JscttxjFBiTDCVTDCGoKckiRXwyMG8EPVSkYSPKl2/0HWD4ADySjfsdodouwIjAQ0KgQ1EDD1GDHdibjBtH4XBVH2uQva7gDS8DS2sef6o1UqLLy1sUYqusuMPA4JpG76LaStwI3Pf50zX4RK13nViB27gkREKKO</w:instrText>
      </w:r>
      <w:r>
        <w:rPr>
          <w:lang w:val="en-US"/>
        </w:rPr>
        <w:instrText xml:space="preserve">Warp9YoVBu3CN1D+HkK8ZCoYH8co1C9Ii3m28OlUhxECjH86KYZ6r9CX7z6B9p9kLlP2blix9xHHzhmD/SBtWLv/ex4lHnpPkdDk68FCmbdF8Luh/o6cdRcs/tb5O7hzfTK2qty4WgR/1PERm6cXY42+7nWkzhNA2Tbo9q3U2K9IO+8UiMKFa5op/4Z840dC9n/sSOXlrWLJhgNnEdx55dXnqmOe1Q8nmDmZq+JlFteSqyZtF+KKJmJnAobwNn+Y</w:instrText>
      </w:r>
      <w:r>
        <w:rPr>
          <w:lang w:val="en-US"/>
        </w:rPr>
        <w:instrText xml:space="preserve">4DyttWNHbcIIwCUrmLzv6bS13y7tODidCRatfSowLoe5HpqhDHgVi4KrES27VEKBWnTirok0QF+4Tqwq24siRmF4MnMYdLA/R3NDrDC/3Q87woCgUpLgsx+wzEC45Z9RlIWF0WpdJzTOwJuKhofH+TX+m45CUcVJdN++iqEOTHzZLWUbMF1+TapcKZcvxY8pWuv/w0p6fEjK0/3/HWL7e0ir3tVp18/frrfwDCweqT&lt;/data&gt; \* MERGEFORMAT</w:instrText>
      </w:r>
      <w:r>
        <w:fldChar w:fldCharType="separate"/>
      </w:r>
      <w:r>
        <w:rPr>
          <w:color w:val="000000"/>
          <w:highlight w:val="white"/>
          <w:vertAlign w:val="superscript"/>
          <w:lang w:val="en-US"/>
        </w:rPr>
        <w:t xml:space="preserve">18</w:t>
      </w:r>
      <w:r>
        <w:rPr>
          <w:color w:val="000000"/>
          <w:highlight w:val="white"/>
        </w:rPr>
        <w:fldChar w:fldCharType="end"/>
      </w:r>
      <w:r>
        <w:rPr>
          <w:highlight w:val="white"/>
          <w:lang w:val="en-US"/>
        </w:rPr>
        <w:t xml:space="preserve">.</w:t>
      </w:r>
      <w:r/>
    </w:p>
    <w:p>
      <w:pPr>
        <w:jc w:val="both"/>
        <w:spacing w:lineRule="auto" w:line="240" w:before="180"/>
        <w:rPr>
          <w:highlight w:val="white"/>
          <w:lang w:val="en-US"/>
        </w:rPr>
      </w:pPr>
      <w:r>
        <w:rPr>
          <w:highlight w:val="white"/>
          <w:lang w:val="en-US"/>
        </w:rPr>
        <w:t xml:space="preserve">Our findings highlight the importance of eyeballing parental NGS data for low-level mosaicism. In addition, we emphasize the significance of recognizing pedigree constellations suggestive of parental gonadal mosaicism.</w:t>
      </w:r>
      <w:r/>
    </w:p>
    <w:p>
      <w:pPr>
        <w:jc w:val="both"/>
        <w:spacing w:lineRule="auto" w:line="240"/>
        <w:rPr>
          <w:highlight w:val="white"/>
          <w:lang w:val="en-US"/>
        </w:rPr>
      </w:pPr>
      <w:r>
        <w:rPr>
          <w:highlight w:val="white"/>
          <w:lang w:val="en-US"/>
        </w:rPr>
      </w:r>
      <w:r/>
    </w:p>
    <w:p>
      <w:pPr>
        <w:pStyle w:val="643"/>
        <w:rPr>
          <w:highlight w:val="white"/>
          <w:lang w:val="en-US"/>
        </w:rPr>
      </w:pPr>
      <w:r/>
      <w:bookmarkStart w:id="9" w:name="_Toc90629820"/>
      <w:r>
        <w:rPr>
          <w:highlight w:val="white"/>
          <w:lang w:val="en-US"/>
        </w:rPr>
        <w:t xml:space="preserve">Novel disease candidate genes</w:t>
      </w:r>
      <w:bookmarkEnd w:id="9"/>
      <w:r/>
      <w:r/>
    </w:p>
    <w:p>
      <w:pPr>
        <w:jc w:val="both"/>
        <w:spacing w:lineRule="auto" w:line="240" w:after="180" w:before="180"/>
        <w:rPr>
          <w:highlight w:val="white"/>
          <w:lang w:val="en-US"/>
        </w:rPr>
      </w:pPr>
      <w:r>
        <w:rPr>
          <w:highlight w:val="white"/>
          <w:lang w:val="en-US"/>
        </w:rPr>
        <w:t xml:space="preserve">We defined the fol</w:t>
      </w:r>
      <w:r>
        <w:rPr>
          <w:highlight w:val="white"/>
          <w:lang w:val="en-US"/>
        </w:rPr>
        <w:t xml:space="preserve">lowing mandatory criteria for novel disease candidate genes: (1) gene was not previously robustly associated with a human phenotype; (2) no other clearly causative disease explanation was found; (3) allele frequency of the respective variant was below MAF </w:t>
      </w:r>
      <w:r>
        <w:rPr>
          <w:highlight w:val="white"/>
          <w:lang w:val="en-US"/>
        </w:rPr>
        <w:t xml:space="preserve">cutoff</w:t>
      </w:r>
      <w:r>
        <w:rPr>
          <w:highlight w:val="white"/>
          <w:lang w:val="en-US"/>
        </w:rPr>
        <w:t xml:space="preserve"> or the variant was absent in controls; (4) inheritance was in accordance with the phenotype in the family and/or the variant co-segregated with the disease in multiple affected family members. Similar to the </w:t>
      </w:r>
      <w:r>
        <w:rPr>
          <w:highlight w:val="white"/>
          <w:lang w:val="en-US"/>
        </w:rPr>
        <w:t xml:space="preserve">ClinGen</w:t>
      </w:r>
      <w:r>
        <w:rPr>
          <w:highlight w:val="white"/>
          <w:lang w:val="en-US"/>
        </w:rPr>
        <w:t xml:space="preserve"> approach, we defined characteristics, including </w:t>
      </w:r>
      <w:r>
        <w:rPr>
          <w:highlight w:val="white"/>
          <w:lang w:val="en-US"/>
        </w:rPr>
        <w:t xml:space="preserve">gnomAD</w:t>
      </w:r>
      <w:r>
        <w:rPr>
          <w:highlight w:val="white"/>
          <w:lang w:val="en-US"/>
        </w:rPr>
        <w:t xml:space="preserve"> constraint metrics, inheritance, and functional data, by which the level of evidence of the candidates was assessed </w:t>
      </w:r>
      <w:r>
        <w:fldChar w:fldCharType="begin"/>
      </w:r>
      <w:r>
        <w:rPr>
          <w:lang w:val="en-US"/>
        </w:rPr>
        <w:instrText xml:space="preserve">ADDIN paperpile_citation &lt;c</w:instrText>
      </w:r>
      <w:r>
        <w:rPr>
          <w:lang w:val="en-US"/>
        </w:rPr>
        <w:instrText xml:space="preserve">lusterId&gt;M378Z638P129T731&lt;/clusterId&gt;&lt;metadata&gt;&lt;citation&gt;&lt;id&gt;1F841EF7AFE60CA0A4A48EECA79B786B&lt;/id&gt;&lt;/citation&gt;&lt;/metadata&gt;&lt;data&gt;eJy1WWtv20YW/SsDf+hugVCe4ZsJiq0sy3VcKzXibLNAWwTDmaE0McVR+bCrFv3ve2ZIWTSdZLHYLVCkEjlzz32c+7J++uPkg5YnL0/YRRqy5UUyv1jGdDGn83AepsvlYp</w:instrText>
      </w:r>
      <w:r>
        <w:rPr>
          <w:lang w:val="en-US"/>
        </w:rPr>
        <w:instrText xml:space="preserve">5kZ0kan528OJHd7kOz4cyeDhJf5TRJFQtklvtpUqQikkwFUaF4IvyAijiOMtzSTdMpXInx+U7tH0wtG3xdlLr6TlWn9v9a8JLgi9kq8lY1pquFekVWqpKq1LwiUje4permFcm1EV3NW22qV0Qc7t7zUkvd7l8Rda+lqoQiRc23CmB3r8haVcqDDMUbRXjTGKEHAfZNqwVpVdPqag0Nu7o8efnTyaZtdy9PT+VvM2n0zNTrU0ZnjLL49OOMf9ysZz</w:instrText>
      </w:r>
      <w:r>
        <w:rPr>
          <w:lang w:val="en-US"/>
        </w:rPr>
        <w:instrText xml:space="preserve">5lyYyGM8oi3LLHG5x/eHiYVSLXs6rcziq9ma3N/emuy7dKnvppFPksS//j8a045TW0KlVzerNaRGESJEE4ugar76DtpstnqmxgsapnwmxPa9XWWt2r053Wp7eUUt/L/Cz5O0u+DqA69f41EtJr9Rz+Uc1fEHCjbay/ZDnElLrZKFDoj5OtqdrNEGrJ9/YuPu0Vr/HR3jv50/Gh+sDL1r6NgsSLY2oF8aLQZR8XvDlXO/hgq6qWmMJSw4apeUFuxc</w:instrText>
      </w:r>
      <w:r>
        <w:rPr>
          <w:lang w:val="en-US"/>
        </w:rPr>
        <w:instrText xml:space="preserve">aY0j5bKamFrtQL8s9K34MbCL99/sbU7YYseG3gJk54SxYbvlMludRl+eLplzcL4icRCyHjdj4j867VzZZ8Rc7hxNLsLDzIdUAiryuwpO1aYH6ndIMQqJpcKtiyIbf7plXbF+ScV/eQjSM3c8KSNEgG4Y7eoNr/JM33B2nXPDfIAlPvSWFqsjKlEl3J65FbbuDACn4hN/jHVMiQ35UcvT8zTWuqF2Q1J9RnQeYkvyLvNoqc1YbLo4LWrZe8vue1JL</w:instrText>
      </w:r>
      <w:r>
        <w:rPr>
          <w:lang w:val="en-US"/>
        </w:rPr>
        <w:instrText xml:space="preserve">yCjNfv4Ei+zWst1+ogIfQHCYejDgr+62M2BWTRcPxpqG94uzGlWe9xvtbrDbfxeI/CUP2tIZem2WmE5DOy/jq3zMhnCdnyClByxMLjQ3hpTrIwoNEnpdwAlCNlrZwzvi+h8cIg2mv1lOCXput1evcvkiQ0oIO0Ny5b4OHLbosqeSygSDixGRPszetLQKh2oxrJYds58Wma+Z/W6hABF+uRR0c+VLUqLeR/TscbVVXNvrznlQbwzUaXHEV9t3HfwO</w:instrText>
      </w:r>
      <w:r>
        <w:rPr>
          <w:lang w:val="en-US"/>
        </w:rPr>
        <w:instrText xml:space="preserve">mM0fBABH2PNDDV4GCXLeearytExPlogduyfsIEB/FU6OchZmQlvu8aLe48uG7Dq+Ypx4eojmy5MpvKgu1Qb5uxZZ8y/Aypq7emVr2DGZriX19YXv2fC8sSGdPWBm2VcAlnN81LtNmtbUgV+3Z9kDdTsvtCUvyVVfpTGn5EGtiAfshVvf7W9rWuEk5H21nypq25sA3nvQYql2CjUA3RlR0AnPMa9WuHsQG2YRYQm2ooQUgYUnVbSLVK12oHtVEtng</w:instrText>
      </w:r>
      <w:r>
        <w:rPr>
          <w:lang w:val="en-US"/>
        </w:rPr>
        <w:instrText xml:space="preserve">wUSAWXh81G7xqy4Q2p+U7Lck/UbzukEJQBgx4Q+boX+DiiNN3OCnSgyEwFR3O9bTDNoI035AHHSighDIpJV0l7jgs3/VghvOwcrtXsYIa92T+Ebfw4HzWqtTA2YjZvlNND1Lp1bysFm1qDMasokNlVqy3C4TIMcePVxNCiNluCEQV6qrL0mg5e5v3VydEXxL6RtiWsO2sT+NC4+tx0KFMjS6QhlWkJTLRaOA/qpp25noQS5hWddSf53MhI/j4MlV</w:instrText>
      </w:r>
      <w:r>
        <w:rPr>
          <w:lang w:val="en-US"/>
        </w:rPr>
        <w:instrText xml:space="preserve">+7MMg+2XCBH6dBZ6cqbJ7Y8jaADw6ZjpODa4+x3nGNzsFFbWA37wPVH/vEsDpDJkKubghKZdfA3bsWzgK8/ZxDAbKrzc400PCJfo9KwY34jOw6zKlO5d92qtZDCfkUl+BYUAaUR+q5B/zzhHUSre02fi4H2t76R2o5A47qdU0vEYwaUgIZaHVpkd6fcFYfvON9WGxVbpyIrf61s5wZbm9xrauVqyeWHk6vFlRYI2sB9mgsPn/JJlQCkMjU7iGg4F</w:instrText>
      </w:r>
      <w:r>
        <w:rPr>
          <w:lang w:val="en-US"/>
        </w:rPr>
        <w:instrText xml:space="preserve">JOgFQegJBnTaMLxNreeUl+xrwJSmj78sXPJ/h+ayvMuv+8MogmBPXfrvUWCST7L28MyDcUheWgnX0D5X8+WSBvyyEEh5czvLRFSFfOuoGv1spOtJ1tHU91syyuoZVENYATJsHgtbUc8/+D6iczWyp0jfpnNeDyI+YGfM65pRjC+UhwxyH0pN6VO0vD2iX9wZ/9gcYWjJbrUvWpy91iBdHoZ5ib+sL1VCMogRplywK87pJq2NZQkVpVFxwScIPfQy</w:instrText>
      </w:r>
      <w:r>
        <w:instrText xml:space="preserve">rPS2XVQvIiL3L0BmXpgteHSHtOdRQQ17a4TYEtphjjyhX</w:instrText>
      </w:r>
      <w:r>
        <w:instrText xml:space="preserve">85HAmLPlCcX5APyFQQTsmgHBo1uSuMg8wcK2cOr1lny6sVet6xqMXrbH1YdoaSmxjOw4YXdqVdzmUtr7AH+vWj6P6Yrumdz6oOz8up+hq8+qRN96Zi+HFo6PPH4tbvn8qfFIU7Y7G18qu3GkWeRm1y1lhSluhsOliyxtW+jDjBZWM4b8iySKqYq4KnktayCwJGecZjYKAc1z/CMmYO4uuxLJ8Mt+CogKVb3hsrdq4iXQoW03/VwC71z0upbYvd4g</w:instrText>
      </w:r>
      <w:r>
        <w:instrText xml:space="preserve">kNsOf/jhxucdLq+Sbd1Y/VA7brzGmcahH3DNTgwGt3TRtetrOStzh/u8XQglB/Vx5UJ17lFPqpWkee4EMKBdZnoSh3aGRXe1RAPbRJ+DLtyPwZY1gvzWmUvsJ/Fu9XjfEHe7BuYyDIg2FFxdR5NEwjr3UTwsvTOIMaqW+lOoI7q5PoeeXI+i5xN5zOUE9Q7fkFdzqjg5/tQniPAGCR3OeeVhYCi9lPPeSFGtCHrDB1QPwQcIU+4cR9A+/r9UEeKH</w:instrText>
      </w:r>
      <w:r>
        <w:instrText xml:space="preserve">2uOad4YTZkx8ewRXNc8YF92IWJdCAKVgtfU8pxuI8gxdS/wj+RMpUg9VIgxVyreITHc71bQs6VoasjsYXaZoVee7RwkfIVZh4GafM48KPYuWHcRYXR/xHCVPs29sR+K1yA+ntFP4Bu2hL3NHB+EyFaY6Qc1nAeD+IPBAg9ZIo4QFPM8myfATu7k+Rr0bAV1iUpjz7DmmKwgcaXj3iFnGQceUnXpyEKZyOfMJXmB9SrpjIKC9GPH+UMIUeE/0t/8h</w:instrText>
      </w:r>
      <w:r>
        <w:rPr>
          <w:lang w:val="en-US"/>
        </w:rPr>
        <w:instrText xml:space="preserve">rVMgp+sY0G3IkeRgnOUdgPRVGwqMZ92FxVHixwposuYjiJBsh29tT1LP5CPas3qMZzKeprTSG0Ja4oz1wSiNWiMz3ULoBzHliXS28UOYqDTMlFRu5ehAwhX53M4J+h/S6mQJXSkpUfXewB46EzMChzIPV8DXzMy+NYXuac8lz4Wd+wEbAvYBn1H7/hNttS95PkN/Xjlzu4FDMApn4vGAemASLc3</w:instrText>
      </w:r>
      <w:r>
        <w:rPr>
          <w:lang w:val="en-US"/>
        </w:rPr>
        <w:instrText xml:space="preserve">CchyLyGGcRQpBFYTgC7u9Pca9/HOFec7Rh8uMEeKXLO0PcwR6XxkmRB3Hg+WA1MipDRsss9FiYSx5EMVORPOK66884PU7lK7LSKDmqnFaUjarrPblajWLMFQ8o2OQHqGboNV7KQfCMCp4lIuYpH1XQ/v4zT4/ZtbIbIn9Gr++0wURdabKaj4jNVZ5GuZeKHInE0hBzR8bRP+JCBYyyJBjVsYOEZ+gXY/TebHIx9ThWG74n7uxguB9JFQh4O0rQOu</w:instrText>
      </w:r>
      <w:r>
        <w:rPr>
          <w:lang w:val="en-US"/>
        </w:rPr>
        <w:instrText xml:space="preserve">I08/I8TrwwLhLQK1bg2sjl7v6Xfd7ZNQT7zWqC/cPfsPVrKDVye8gkL2IkFGXolTRJ0LhSpFYao7SGaZEn+cjtBwnP2uYY37XNKfZbvjXomEfgIvMFDIy8JKMo4L5AagWwPc0USncQwOfxqGPa68865tm4Y94jpmfTlMbIBoWJO9nj+pgFpARkmgaFLZoSPYsxzCRRGkgW5GEQjFK6F/AMeRzqeYmWPI3zrTBI9PkxzD4DwXJUkQiJ5NGA5V7OYC</w:instrText>
      </w:r>
      <w:r>
        <w:rPr>
          <w:lang w:val="en-US"/>
        </w:rPr>
        <w:instrText xml:space="preserve">9VMimCuCioGtcwe/1Zn1qO+9SGY0MhywnuTYmH7uAQ3yKlTATCSyS1aRVlKCScezKL0DxllopoNB/Y21PUy+sR6qXC3Equp8FVG0wr1yNQ1IvA9z2mOENs/dRLVYQCiulIoFtGVIzyyd6egi7GoItNrZuWP4NduT9KkcURmMeMBQGqdJYVYDOToYfigazKkWJZJCPMSqNccvef5dJ4Grga/q70bB44U/WaXB2nAaGymPI08cBrGBpFyKPIZ56UuY</w:instrText>
      </w:r>
      <w:r>
        <w:rPr>
          <w:lang w:val="en-US"/>
        </w:rPr>
        <w:instrText xml:space="preserve">ho5idhPjLZ3j75E6O3sKvk2f5aV3d4PPzo1IiNKXk9WxuzLpX7ZWd49I9N+Y2qvirrb76quu03Af3KCmi++S9/rbrTVR+2YXWZ97829b/mtPudXV1ubj7M3757vbi2XNpthX00/i0Ky5sqhwXCKnGn9sex2sJ5ZnfcFNyWMCNXM/un6ln/l0K7KJmHStnfhpbBIg0vlvHcz84YWybzyM+QiP7y4iKidEFx9N6U3dZqxih1+NW6w15jJ7EK30WtuA</w:instrText>
      </w:r>
      <w:r>
        <w:rPr>
          <w:lang w:val="en-US"/>
        </w:rPr>
        <w:instrText xml:space="preserve">sNi1lIUxbRYJamYUwzq36fgscf4KBm/5sVRQCt+isZ4UQexUWOlEEligOELg+ikBdBgHZEOeMWt1+qHofvUCYhx3hAQTeZph5oH3uFykWYClxmdv6URix/A+I5lhn7K5luLrB36jX2oQKcU3Y5el1d67zm6Gkv27pzj66NsI4bjjhPLbfYmgG8U1ilZ3c1f9Dt79+u7VNLk4ND33DnqBt7inzfnzr5889f/g0jL7BP&lt;/data&gt; \* MERGEFORMAT</w:instrText>
      </w:r>
      <w:r>
        <w:fldChar w:fldCharType="separate"/>
      </w:r>
      <w:r>
        <w:rPr>
          <w:color w:val="000000"/>
          <w:highlight w:val="white"/>
          <w:vertAlign w:val="superscript"/>
          <w:lang w:val="en-US"/>
        </w:rPr>
        <w:t xml:space="preserve">19</w:t>
      </w:r>
      <w:r>
        <w:rPr>
          <w:color w:val="000000"/>
          <w:highlight w:val="white"/>
        </w:rPr>
        <w:fldChar w:fldCharType="end"/>
      </w:r>
      <w:r>
        <w:rPr>
          <w:highlight w:val="white"/>
          <w:lang w:val="en-US"/>
        </w:rPr>
        <w:t xml:space="preserve">. We calculated an evidence score, which could reach a maximum value of 8. Four of the eight criteria can only be applied to genes underlying autosomal dominant inheritance, making the score less informative for autosomal recess</w:t>
      </w:r>
      <w:r>
        <w:rPr>
          <w:highlight w:val="white"/>
          <w:lang w:val="en-US"/>
        </w:rPr>
        <w:t xml:space="preserve">ive inheritance. For autosomal dominant inheritance, a score of 1-3 was ranked as medium evidence, a score of 4, and greater as high evidence. For recessive inheritance, a score of 3 and greater was ranked as high evidence, and below 3 as medium evidence. </w:t>
      </w:r>
      <w:r>
        <w:rPr>
          <w:lang w:val="en-US"/>
        </w:rPr>
        <w:t xml:space="preserve">Published genes were classified as novel diagnostic grade genes.</w:t>
      </w:r>
      <w:r/>
    </w:p>
    <w:p>
      <w:pPr>
        <w:jc w:val="both"/>
        <w:spacing w:lineRule="auto" w:line="240" w:after="180" w:before="180"/>
        <w:rPr>
          <w:lang w:val="en-US"/>
        </w:rPr>
      </w:pPr>
      <w:r>
        <w:rPr>
          <w:rFonts w:eastAsia="Arial Unicode MS"/>
          <w:highlight w:val="white"/>
          <w:lang w:val="en-US"/>
        </w:rPr>
        <w:t xml:space="preserve">We detected 55 different candidate genes in 61</w:t>
      </w:r>
      <w:r>
        <w:rPr>
          <w:rFonts w:eastAsia="Arial Unicode MS"/>
          <w:highlight w:val="white"/>
          <w:lang w:val="en-US"/>
        </w:rPr>
        <w:t xml:space="preserve"> affected individuals from 60 unrelated families with a score of ≥1 (Table x). Inheritance was autosomal dominant for 40 genes (evidence score range 1-7), autosomal recessive for 14 (evidence score range 1-5), and X-chromosomal for one (evidence score 1). </w:t>
      </w:r>
      <w:r>
        <w:rPr>
          <w:rFonts w:eastAsia="Arial Unicode MS"/>
          <w:highlight w:val="white"/>
          <w:lang w:val="en-US"/>
        </w:rPr>
        <w:t xml:space="preserve">During the course of</w:t>
      </w:r>
      <w:r>
        <w:rPr>
          <w:rFonts w:eastAsia="Arial Unicode MS"/>
          <w:highlight w:val="white"/>
          <w:lang w:val="en-US"/>
        </w:rPr>
        <w:t xml:space="preserve"> TRANSLATE-NAMSE and after completion of the study, 15 of </w:t>
      </w:r>
      <w:r>
        <w:rPr>
          <w:lang w:val="en-US"/>
        </w:rPr>
        <w:t xml:space="preserve">these novel disease-gene associations were published and we contributed to 11 of them. </w:t>
      </w:r>
      <w:r>
        <w:rPr>
          <w:lang w:val="en-US"/>
        </w:rPr>
        <w:t xml:space="preserve">All of</w:t>
      </w:r>
      <w:r>
        <w:rPr>
          <w:lang w:val="en-US"/>
        </w:rPr>
        <w:t xml:space="preserve"> the published genes had a score in the high evidence range. (Supplemental Data table 2)</w:t>
      </w:r>
      <w:r/>
    </w:p>
    <w:p>
      <w:pPr>
        <w:jc w:val="both"/>
        <w:rPr>
          <w:b/>
          <w:color w:val="000000"/>
          <w:highlight w:val="white"/>
          <w:lang w:val="en-US"/>
        </w:rPr>
      </w:pPr>
      <w:r>
        <w:rPr>
          <w:color w:val="000000" w:themeColor="text1"/>
          <w:highlight w:val="white"/>
          <w:lang w:val="en-US"/>
        </w:rPr>
        <w:t xml:space="preserve">Variant consequences relative to the status of whether cases were solved, shown as bar graphs. Note the higher proportion of missense variants in unclear cases. ()</w:t>
      </w:r>
      <w:r/>
    </w:p>
    <w:p>
      <w:pPr>
        <w:jc w:val="both"/>
        <w:spacing w:lineRule="auto" w:line="240" w:after="180" w:before="180"/>
        <w:rPr>
          <w:lang w:val="en-US"/>
        </w:rPr>
      </w:pPr>
      <w:r>
        <w:rPr>
          <w:lang w:val="en-US"/>
        </w:rPr>
      </w:r>
      <w:r/>
    </w:p>
    <w:p>
      <w:pPr>
        <w:pStyle w:val="643"/>
        <w:rPr>
          <w:highlight w:val="white"/>
          <w:lang w:val="en-US"/>
        </w:rPr>
      </w:pPr>
      <w:r/>
      <w:bookmarkStart w:id="10" w:name="_Toc90629821"/>
      <w:r>
        <w:rPr>
          <w:highlight w:val="white"/>
          <w:lang w:val="en-US"/>
        </w:rPr>
        <w:t xml:space="preserve">Case reports of particular interest</w:t>
      </w:r>
      <w:bookmarkEnd w:id="10"/>
      <w:r/>
      <w:r/>
    </w:p>
    <w:p>
      <w:pPr>
        <w:pStyle w:val="645"/>
        <w:rPr>
          <w:sz w:val="24"/>
          <w:szCs w:val="24"/>
          <w:lang w:val="en-US"/>
        </w:rPr>
      </w:pPr>
      <w:r>
        <w:rPr>
          <w:highlight w:val="white"/>
          <w:lang w:val="en-US"/>
        </w:rPr>
        <w:t xml:space="preserve">Next-generation phenotyping</w:t>
      </w:r>
      <w:r/>
    </w:p>
    <w:p>
      <w:pPr>
        <w:jc w:val="both"/>
        <w:spacing w:lineRule="auto" w:line="240" w:after="180" w:before="180"/>
        <w:rPr>
          <w:highlight w:val="white"/>
          <w:lang w:val="en-US"/>
        </w:rPr>
      </w:pPr>
      <w:r>
        <w:rPr>
          <w:highlight w:val="white"/>
          <w:lang w:val="en-US"/>
        </w:rPr>
        <w:t xml:space="preserve">In 88 out of 211 individuals who gave consent to computer-assisted prioritization of exome data by image analysis (PEDIA), a molecular diagnosis could be established. In 48 out of these 88 cases the underlying disease is supported by the AI </w:t>
      </w:r>
      <w:r>
        <w:rPr>
          <w:highlight w:val="white"/>
          <w:lang w:val="en-US"/>
        </w:rPr>
        <w:t xml:space="preserve">DeepGestalt</w:t>
      </w:r>
      <w:r>
        <w:rPr>
          <w:highlight w:val="white"/>
          <w:lang w:val="en-US"/>
        </w:rPr>
        <w:t xml:space="preserve">. That means the phenotype of the disorder has been learned by the AI in advance and the facial gestalt of a patient can be evaluated based on a portrait image. The resulting gestalt score can then be used in addition to other p</w:t>
      </w:r>
      <w:r>
        <w:rPr>
          <w:highlight w:val="white"/>
          <w:lang w:val="en-US"/>
        </w:rPr>
        <w:t xml:space="preserve">athogenicity scores to interpret exome variant data. The PEDIA workflow ranked the disease-causing gene for 78% of those cases in the top 10, compared to 54% when only molecular and 37% when only phenotypic information was used for prioritization. In some </w:t>
      </w:r>
      <w:r>
        <w:rPr>
          <w:highlight w:val="white"/>
          <w:lang w:val="en-US"/>
        </w:rPr>
        <w:t xml:space="preserve">cases</w:t>
      </w:r>
      <w:r>
        <w:rPr>
          <w:highlight w:val="white"/>
          <w:lang w:val="en-US"/>
        </w:rPr>
        <w:t xml:space="preserve"> the gestalt scores were particularly suggestive and facilitated the identification of mainly non-coding structural variants. </w:t>
      </w:r>
      <w:r/>
    </w:p>
    <w:p>
      <w:pPr>
        <w:jc w:val="both"/>
        <w:spacing w:lineRule="auto" w:line="240" w:after="180" w:before="180"/>
        <w:rPr>
          <w:highlight w:val="white"/>
          <w:lang w:val="en-US"/>
        </w:rPr>
      </w:pPr>
      <w:r>
        <w:rPr>
          <w:highlight w:val="white"/>
          <w:lang w:val="en-US"/>
        </w:rPr>
        <w:t xml:space="preserve">A female individual (case 393), that presented for the first time at</w:t>
      </w:r>
      <w:r>
        <w:rPr>
          <w:highlight w:val="white"/>
          <w:lang w:val="en-US"/>
        </w:rPr>
        <w:t xml:space="preserve"> the age of eight years with cognitive impairment, generalized muscle weakness, nevi, iron deficiency anemia, poor fine motor coordination, recurrent respiratory infections, and dysmorphic facies, portrait analysis suggested a high syndromic similarity to </w:t>
      </w:r>
      <w:r>
        <w:rPr>
          <w:highlight w:val="white"/>
          <w:lang w:val="en-US"/>
        </w:rPr>
        <w:t xml:space="preserve">Kooled</w:t>
      </w:r>
      <w:r>
        <w:rPr>
          <w:highlight w:val="white"/>
          <w:lang w:val="en-US"/>
        </w:rPr>
        <w:t xml:space="preserve">-De Vries syndrome (</w:t>
      </w:r>
      <w:r>
        <w:rPr>
          <w:b/>
          <w:highlight w:val="white"/>
          <w:lang w:val="en-US"/>
        </w:rPr>
        <w:t xml:space="preserve">Supplementary Figure 3</w:t>
      </w:r>
      <w:r>
        <w:rPr>
          <w:highlight w:val="white"/>
          <w:lang w:val="en-US"/>
        </w:rPr>
        <w:t xml:space="preserve">). Inconclusive ES was followed by WGS, which revealed a 4.7kb </w:t>
      </w:r>
      <w:r>
        <w:rPr>
          <w:i/>
          <w:highlight w:val="white"/>
          <w:lang w:val="en-US"/>
        </w:rPr>
        <w:t xml:space="preserve">de novo</w:t>
      </w:r>
      <w:r>
        <w:rPr>
          <w:highlight w:val="white"/>
          <w:lang w:val="en-US"/>
        </w:rPr>
        <w:t xml:space="preserve"> deletion in </w:t>
      </w:r>
      <w:r>
        <w:rPr>
          <w:i/>
          <w:highlight w:val="white"/>
          <w:lang w:val="en-US"/>
        </w:rPr>
        <w:t xml:space="preserve">KANSL1, </w:t>
      </w:r>
      <w:r>
        <w:rPr>
          <w:highlight w:val="white"/>
          <w:lang w:val="en-US"/>
        </w:rPr>
        <w:t xml:space="preserve">NM_</w:t>
      </w:r>
      <w:r>
        <w:rPr>
          <w:highlight w:val="white"/>
          <w:lang w:val="en-US"/>
        </w:rPr>
        <w:t xml:space="preserve">001193466:c.</w:t>
      </w:r>
      <w:r>
        <w:rPr>
          <w:highlight w:val="white"/>
          <w:lang w:val="en-US"/>
        </w:rPr>
        <w:t xml:space="preserve">1849-4661_1895del. This example illustrates the value of high gestalt scores, which can be used as an indicator for a search of non-coding disease-causing mutations in a target region of the genome that is associated with the phenotype.</w:t>
      </w:r>
      <w:r/>
    </w:p>
    <w:p>
      <w:pPr>
        <w:jc w:val="both"/>
        <w:spacing w:lineRule="auto" w:line="240" w:after="180" w:before="180"/>
        <w:rPr>
          <w:b/>
          <w:i/>
          <w:highlight w:val="white"/>
          <w:lang w:val="en-US"/>
        </w:rPr>
      </w:pPr>
      <w:r>
        <w:rPr>
          <w:highlight w:val="white"/>
          <w:lang w:val="en-US"/>
        </w:rPr>
        <w:t xml:space="preserve">In total, </w:t>
      </w:r>
      <w:r>
        <w:rPr>
          <w:highlight w:val="white"/>
          <w:lang w:val="en-US"/>
        </w:rPr>
        <w:t xml:space="preserve">DeepGestalt</w:t>
      </w:r>
      <w:r>
        <w:rPr>
          <w:highlight w:val="white"/>
          <w:lang w:val="en-US"/>
        </w:rPr>
        <w:t xml:space="preserve"> can quantify syndromic similarity to 299 genetic disorders while </w:t>
      </w:r>
      <w:r>
        <w:rPr>
          <w:highlight w:val="white"/>
          <w:lang w:val="en-US"/>
        </w:rPr>
        <w:t xml:space="preserve">GestaltMatcher</w:t>
      </w:r>
      <w:r>
        <w:rPr>
          <w:highlight w:val="white"/>
          <w:lang w:val="en-US"/>
        </w:rPr>
        <w:t xml:space="preserve">, which is a further development of </w:t>
      </w:r>
      <w:r>
        <w:rPr>
          <w:highlight w:val="white"/>
          <w:lang w:val="en-US"/>
        </w:rPr>
        <w:t xml:space="preserve">DeepGestalt</w:t>
      </w:r>
      <w:r>
        <w:rPr>
          <w:highlight w:val="white"/>
          <w:lang w:val="en-US"/>
        </w:rPr>
        <w:t xml:space="preserve">, can support 568 diagnoses, including ultra-rare disorders. Within the TRANSLATE-NAMSE, cohort 40 cases with a molecular diagnosis are not supported by </w:t>
      </w:r>
      <w:r>
        <w:rPr>
          <w:highlight w:val="white"/>
          <w:lang w:val="en-US"/>
        </w:rPr>
        <w:t xml:space="preserve">DeepGestalt</w:t>
      </w:r>
      <w:r>
        <w:rPr>
          <w:highlight w:val="white"/>
          <w:lang w:val="en-US"/>
        </w:rPr>
        <w:t xml:space="preserve">. In 25 of these cases, corresponding to 17 genes, deep phenotyping could be performed with </w:t>
      </w:r>
      <w:r>
        <w:rPr>
          <w:highlight w:val="white"/>
          <w:lang w:val="en-US"/>
        </w:rPr>
        <w:t xml:space="preserve">GestaltMatcher</w:t>
      </w:r>
      <w:r>
        <w:rPr>
          <w:highlight w:val="white"/>
          <w:lang w:val="en-US"/>
        </w:rPr>
        <w:t xml:space="preserve">. One individual (case 462) a dual diagnosis due to variants in </w:t>
      </w:r>
      <w:r>
        <w:rPr>
          <w:i/>
          <w:highlight w:val="white"/>
          <w:lang w:val="en-US"/>
        </w:rPr>
        <w:t xml:space="preserve">TRIP12</w:t>
      </w:r>
      <w:r>
        <w:rPr>
          <w:highlight w:val="white"/>
          <w:lang w:val="en-US"/>
        </w:rPr>
        <w:t xml:space="preserve"> and </w:t>
      </w:r>
      <w:r>
        <w:rPr>
          <w:i/>
          <w:highlight w:val="white"/>
          <w:lang w:val="en-US"/>
        </w:rPr>
        <w:t xml:space="preserve">POLR2A</w:t>
      </w:r>
      <w:r>
        <w:rPr>
          <w:highlight w:val="white"/>
          <w:lang w:val="en-US"/>
        </w:rPr>
        <w:t xml:space="preserve"> could be established and </w:t>
      </w:r>
      <w:r>
        <w:rPr>
          <w:highlight w:val="white"/>
          <w:lang w:val="en-US"/>
        </w:rPr>
        <w:t xml:space="preserve">GeestaltMatcher</w:t>
      </w:r>
      <w:r>
        <w:rPr>
          <w:highlight w:val="white"/>
          <w:lang w:val="en-US"/>
        </w:rPr>
        <w:t xml:space="preserve"> showed syndromic similarity to characteristic features of both phenotypes.</w:t>
      </w:r>
      <w:r/>
    </w:p>
    <w:p>
      <w:pPr>
        <w:pStyle w:val="644"/>
        <w:rPr>
          <w:highlight w:val="white"/>
          <w:lang w:val="en-US"/>
        </w:rPr>
      </w:pPr>
      <w:r>
        <w:rPr>
          <w:i/>
          <w:highlight w:val="white"/>
          <w:lang w:val="en-US"/>
        </w:rPr>
        <w:t xml:space="preserve">BICD2</w:t>
      </w:r>
      <w:r>
        <w:rPr>
          <w:highlight w:val="white"/>
          <w:lang w:val="en-US"/>
        </w:rPr>
        <w:t xml:space="preserve"> and </w:t>
      </w:r>
      <w:r>
        <w:rPr>
          <w:i/>
          <w:highlight w:val="white"/>
          <w:lang w:val="en-US"/>
        </w:rPr>
        <w:t xml:space="preserve">TANGO2 </w:t>
      </w:r>
      <w:r>
        <w:rPr>
          <w:highlight w:val="white"/>
          <w:lang w:val="en-US"/>
        </w:rPr>
        <w:t xml:space="preserve">(dual diagnosis)</w:t>
      </w:r>
      <w:r/>
    </w:p>
    <w:p>
      <w:pPr>
        <w:jc w:val="both"/>
        <w:spacing w:lineRule="auto" w:line="240" w:after="240" w:before="240"/>
        <w:rPr>
          <w:highlight w:val="white"/>
          <w:lang w:val="en-US"/>
        </w:rPr>
      </w:pPr>
      <w:r>
        <w:rPr>
          <w:highlight w:val="white"/>
          <w:lang w:val="en-US"/>
        </w:rPr>
        <w:t xml:space="preserve">A 13-year-old boy (case 144), born at term to non-consanguineous parents, presented with a global developmental delay, muscular hypotonia, bilate</w:t>
      </w:r>
      <w:r>
        <w:rPr>
          <w:highlight w:val="white"/>
          <w:lang w:val="en-US"/>
        </w:rPr>
        <w:t xml:space="preserve">ral optic atrophy, cardiac arrhythmia, hypothyroidism, chronic urticaria and two episodes of rhabdomyolysis. After an uneventful pregnancy and normal postnatal adaptation, he developed the first atonic seizure at the age of one year. Following a bilateral </w:t>
      </w:r>
      <w:r>
        <w:rPr>
          <w:highlight w:val="white"/>
          <w:lang w:val="en-US"/>
        </w:rPr>
        <w:t xml:space="preserve">masteoditis</w:t>
      </w:r>
      <w:r>
        <w:rPr>
          <w:highlight w:val="white"/>
          <w:lang w:val="en-US"/>
        </w:rPr>
        <w:t xml:space="preserve"> and subsequent mastoidectomy and paracentesis, a first episode of rhabdomyolysis </w:t>
      </w:r>
      <w:r>
        <w:rPr>
          <w:highlight w:val="white"/>
          <w:lang w:val="en-US"/>
        </w:rPr>
        <w:t xml:space="preserve">occured</w:t>
      </w:r>
      <w:r>
        <w:rPr>
          <w:highlight w:val="white"/>
          <w:lang w:val="en-US"/>
        </w:rPr>
        <w:t xml:space="preserve"> at the age of 16 months and recurred in the context of febrile infections. His development was delayed with free walking and first words at the age of 5 years. At the age of</w:t>
      </w:r>
      <w:r>
        <w:rPr>
          <w:highlight w:val="white"/>
          <w:lang w:val="en-US"/>
        </w:rPr>
        <w:t xml:space="preserve"> 11 years, he was able to speak about 30 words and used 2-word sentences. At 18 months, there was an unexplained loss of consciousness associated with gastroenteritis. He developed intermittent loss of muscle tone with fixed gaze, ptosis, and hypersalivati</w:t>
      </w:r>
      <w:r>
        <w:rPr>
          <w:highlight w:val="white"/>
          <w:lang w:val="en-US"/>
        </w:rPr>
        <w:t xml:space="preserve">on consistent with atonic seizures at 25 months. At the age of 13 years, the patient had another episode of rhabdomyolysis, this time with cardiac arrhythmia. Since NGS panel sequencing as well as standard cytogenetic analysis revealed normal results, the </w:t>
      </w:r>
      <w:r>
        <w:rPr>
          <w:sz w:val="23"/>
          <w:szCs w:val="23"/>
          <w:lang w:val="en-US"/>
        </w:rPr>
        <w:t xml:space="preserve">Trio-Based Whole-Exome Sequencing</w:t>
      </w:r>
      <w:r>
        <w:rPr>
          <w:highlight w:val="white"/>
          <w:lang w:val="en-US"/>
        </w:rPr>
        <w:t xml:space="preserve"> was performed. A heterozygous </w:t>
      </w:r>
      <w:r>
        <w:rPr>
          <w:i/>
          <w:highlight w:val="white"/>
          <w:lang w:val="en-US"/>
        </w:rPr>
        <w:t xml:space="preserve">de novo</w:t>
      </w:r>
      <w:r>
        <w:rPr>
          <w:highlight w:val="white"/>
          <w:lang w:val="en-US"/>
        </w:rPr>
        <w:t xml:space="preserve"> missense variant in </w:t>
      </w:r>
      <w:r>
        <w:rPr>
          <w:i/>
          <w:highlight w:val="white"/>
          <w:lang w:val="en-US"/>
        </w:rPr>
        <w:t xml:space="preserve">BICD2</w:t>
      </w:r>
      <w:r>
        <w:rPr>
          <w:highlight w:val="white"/>
          <w:lang w:val="en-US"/>
        </w:rPr>
        <w:t xml:space="preserve"> was detected: </w:t>
      </w:r>
      <w:r>
        <w:rPr>
          <w:i/>
          <w:highlight w:val="white"/>
          <w:lang w:val="en-US"/>
        </w:rPr>
        <w:t xml:space="preserve">BICD2</w:t>
      </w:r>
      <w:r>
        <w:rPr>
          <w:highlight w:val="white"/>
          <w:lang w:val="en-US"/>
        </w:rPr>
        <w:t xml:space="preserve"> (NM_001003800.1): c.2383C&gt;T; </w:t>
      </w:r>
      <w:r>
        <w:rPr>
          <w:highlight w:val="white"/>
          <w:lang w:val="en-US"/>
        </w:rPr>
        <w:t xml:space="preserve">p.(</w:t>
      </w:r>
      <w:r>
        <w:rPr>
          <w:highlight w:val="white"/>
          <w:lang w:val="en-US"/>
        </w:rPr>
        <w:t xml:space="preserve">Arg795Trp). </w:t>
      </w:r>
      <w:r>
        <w:rPr>
          <w:i/>
          <w:highlight w:val="white"/>
          <w:lang w:val="en-US"/>
        </w:rPr>
        <w:t xml:space="preserve">BICD2</w:t>
      </w:r>
      <w:r>
        <w:rPr>
          <w:highlight w:val="white"/>
          <w:lang w:val="en-US"/>
        </w:rPr>
        <w:t xml:space="preserve">-associated SMALED2A syndrome (OMIM #615290) is characterized by motor developmental delay, muscle weakness, muscle atrophy, and distal hyporeflexia with onset in early infancy. Additionally, a homozygous deletion in </w:t>
      </w:r>
      <w:r>
        <w:rPr>
          <w:i/>
          <w:highlight w:val="white"/>
          <w:lang w:val="en-US"/>
        </w:rPr>
        <w:t xml:space="preserve">TANGO2 </w:t>
      </w:r>
      <w:r>
        <w:rPr>
          <w:highlight w:val="white"/>
          <w:lang w:val="en-US"/>
        </w:rPr>
        <w:t xml:space="preserve">(NM_152906.5</w:t>
      </w:r>
      <w:r>
        <w:rPr>
          <w:highlight w:val="white"/>
          <w:lang w:val="en-US"/>
        </w:rPr>
        <w:t xml:space="preserve">):c.</w:t>
      </w:r>
      <w:r>
        <w:rPr>
          <w:highlight w:val="white"/>
          <w:lang w:val="en-US"/>
        </w:rPr>
        <w:t xml:space="preserve">57-1743_*10769del, associated with autosomal recessive recurrent metabolic crises with rhabdomyolysis, cardiac arrhythmias, and neurodegeneration (MECRCN, OMIM #616878), was identified. </w:t>
      </w:r>
      <w:r/>
    </w:p>
    <w:p>
      <w:pPr>
        <w:pStyle w:val="644"/>
        <w:rPr>
          <w:i/>
          <w:highlight w:val="white"/>
          <w:lang w:val="en-US"/>
        </w:rPr>
      </w:pPr>
      <w:r>
        <w:rPr>
          <w:i/>
          <w:highlight w:val="white"/>
          <w:lang w:val="en-US"/>
        </w:rPr>
        <w:t xml:space="preserve">TRDN </w:t>
      </w:r>
      <w:r>
        <w:rPr>
          <w:highlight w:val="white"/>
          <w:lang w:val="en-US"/>
        </w:rPr>
        <w:t xml:space="preserve">and</w:t>
      </w:r>
      <w:r>
        <w:rPr>
          <w:i/>
          <w:highlight w:val="white"/>
          <w:lang w:val="en-US"/>
        </w:rPr>
        <w:t xml:space="preserve"> GYG1 </w:t>
      </w:r>
      <w:r>
        <w:rPr>
          <w:highlight w:val="white"/>
          <w:lang w:val="en-US"/>
        </w:rPr>
        <w:t xml:space="preserve">(dual diagnosis)</w:t>
      </w:r>
      <w:r/>
    </w:p>
    <w:p>
      <w:pPr>
        <w:jc w:val="both"/>
        <w:spacing w:lineRule="auto" w:line="240" w:after="240" w:before="240"/>
        <w:rPr>
          <w:highlight w:val="white"/>
          <w:lang w:val="en-US"/>
        </w:rPr>
      </w:pPr>
      <w:r>
        <w:rPr>
          <w:highlight w:val="white"/>
          <w:lang w:val="en-US"/>
        </w:rPr>
        <w:t xml:space="preserve">An 8-year-old boy (case 312) born to second-degree consanguineous parents presented with motor developmental delay as well as suspected cardiomyopathy and congenital myopathy after </w:t>
      </w:r>
      <w:r>
        <w:rPr>
          <w:highlight w:val="white"/>
          <w:lang w:val="en-US"/>
        </w:rPr>
        <w:t xml:space="preserve">resuscitation due to ventricular fibrillation at the age of 4 years and 3 months. After secondary c-section at 39+2 weeks of gestation, he showed a normal postnatal adaptation. Motor milestones were delayed: he started turning at the age of 10 months, sat </w:t>
      </w:r>
      <w:r>
        <w:rPr>
          <w:highlight w:val="white"/>
          <w:lang w:val="en-US"/>
        </w:rPr>
        <w:t xml:space="preserve">freely</w:t>
      </w:r>
      <w:r>
        <w:rPr>
          <w:highlight w:val="white"/>
          <w:lang w:val="en-US"/>
        </w:rPr>
        <w:t xml:space="preserve"> and crawled at the ag</w:t>
      </w:r>
      <w:r>
        <w:rPr>
          <w:highlight w:val="white"/>
          <w:lang w:val="en-US"/>
        </w:rPr>
        <w:t xml:space="preserve">e of 16 months, and walked freely at 26 months. Muscular hypotonia was first documented at the age of 6 months. His cognitive and speech development were unremarkable. Since NGS panel sequencing, as well as standard cytogenetic analysis revealed normal res</w:t>
      </w:r>
      <w:r>
        <w:rPr>
          <w:color w:val="333333"/>
          <w:highlight w:val="white"/>
          <w:lang w:val="en-US"/>
        </w:rPr>
        <w:t xml:space="preserve">ults, th</w:t>
      </w:r>
      <w:r>
        <w:rPr>
          <w:highlight w:val="white"/>
          <w:lang w:val="en-US"/>
        </w:rPr>
        <w:t xml:space="preserve">e </w:t>
      </w:r>
      <w:r>
        <w:rPr>
          <w:sz w:val="23"/>
          <w:szCs w:val="23"/>
          <w:lang w:val="en-US"/>
        </w:rPr>
        <w:t xml:space="preserve">Trio-Based Whole-Exome Sequencing</w:t>
      </w:r>
      <w:r>
        <w:rPr>
          <w:lang w:val="en-US"/>
        </w:rPr>
        <w:t xml:space="preserve"> </w:t>
      </w:r>
      <w:r>
        <w:rPr>
          <w:color w:val="333333"/>
          <w:highlight w:val="white"/>
          <w:lang w:val="en-US"/>
        </w:rPr>
        <w:t xml:space="preserve">was perfo</w:t>
      </w:r>
      <w:r>
        <w:rPr>
          <w:highlight w:val="white"/>
          <w:lang w:val="en-US"/>
        </w:rPr>
        <w:t xml:space="preserve">rmed. The following homozygous variants were detected in trio exome sequencing: </w:t>
      </w:r>
      <w:r>
        <w:rPr>
          <w:i/>
          <w:highlight w:val="white"/>
          <w:lang w:val="en-US"/>
        </w:rPr>
        <w:t xml:space="preserve">TRDN </w:t>
      </w:r>
      <w:r>
        <w:rPr>
          <w:highlight w:val="white"/>
          <w:lang w:val="en-US"/>
        </w:rPr>
        <w:t xml:space="preserve">(NM_006073.3</w:t>
      </w:r>
      <w:r>
        <w:rPr>
          <w:highlight w:val="white"/>
          <w:lang w:val="en-US"/>
        </w:rPr>
        <w:t xml:space="preserve">):c.</w:t>
      </w:r>
      <w:r>
        <w:rPr>
          <w:highlight w:val="white"/>
          <w:lang w:val="en-US"/>
        </w:rPr>
        <w:t xml:space="preserve">508G&gt;T;p.Gly170* and </w:t>
      </w:r>
      <w:r>
        <w:rPr>
          <w:i/>
          <w:highlight w:val="white"/>
          <w:lang w:val="en-US"/>
        </w:rPr>
        <w:t xml:space="preserve">GYG1 </w:t>
      </w:r>
      <w:r>
        <w:rPr>
          <w:highlight w:val="white"/>
          <w:lang w:val="en-US"/>
        </w:rPr>
        <w:t xml:space="preserve">(NM_001184720.1):c.487del; p.Asp163Thrfs*5. Both variants were classified as pathogenic (PMID: 29422440). Biallelic pathogenic variants in </w:t>
      </w:r>
      <w:r>
        <w:rPr>
          <w:i/>
          <w:highlight w:val="white"/>
          <w:lang w:val="en-US"/>
        </w:rPr>
        <w:t xml:space="preserve">TRDN</w:t>
      </w:r>
      <w:r>
        <w:rPr>
          <w:highlight w:val="white"/>
          <w:lang w:val="en-US"/>
        </w:rPr>
        <w:t xml:space="preserve"> are associated with the autosomal recessive cardiac arrhythmia syndrome with or without skeletal muscle weakness (OMIM #615441). The detected missense variant has been described previously (PMID: 29422440). Biallelic alterations in </w:t>
      </w:r>
      <w:r>
        <w:rPr>
          <w:i/>
          <w:highlight w:val="white"/>
          <w:lang w:val="en-US"/>
        </w:rPr>
        <w:t xml:space="preserve">GYG1</w:t>
      </w:r>
      <w:r>
        <w:rPr>
          <w:highlight w:val="white"/>
          <w:lang w:val="en-US"/>
        </w:rPr>
        <w:t xml:space="preserve"> are associated with two phenotypically overlapping syndromes: glycogen storage disease 15 (GSDXV, OMIM #613507) and </w:t>
      </w:r>
      <w:r>
        <w:rPr>
          <w:highlight w:val="white"/>
          <w:lang w:val="en-US"/>
        </w:rPr>
        <w:t xml:space="preserve">polyglucosan</w:t>
      </w:r>
      <w:r>
        <w:rPr>
          <w:highlight w:val="white"/>
          <w:lang w:val="en-US"/>
        </w:rPr>
        <w:t xml:space="preserve"> body myopathy type 2 (OMIM #616199). The literature to date has reported high clinical variability and no specific genotype-phenotype correlation.</w:t>
      </w:r>
      <w:r/>
    </w:p>
    <w:p>
      <w:pPr>
        <w:pStyle w:val="644"/>
        <w:rPr>
          <w:highlight w:val="white"/>
          <w:lang w:val="en-US"/>
        </w:rPr>
      </w:pPr>
      <w:r>
        <w:rPr>
          <w:i/>
          <w:highlight w:val="white"/>
          <w:lang w:val="en-US"/>
        </w:rPr>
        <w:t xml:space="preserve">KMT2E</w:t>
      </w:r>
      <w:r>
        <w:rPr>
          <w:highlight w:val="white"/>
          <w:lang w:val="en-US"/>
        </w:rPr>
        <w:t xml:space="preserve"> and </w:t>
      </w:r>
      <w:r>
        <w:rPr>
          <w:i/>
          <w:highlight w:val="white"/>
          <w:lang w:val="en-US"/>
        </w:rPr>
        <w:t xml:space="preserve">DDX3X</w:t>
      </w:r>
      <w:r>
        <w:rPr>
          <w:highlight w:val="white"/>
          <w:lang w:val="en-US"/>
        </w:rPr>
        <w:t xml:space="preserve"> (dual diagnosis)</w:t>
      </w:r>
      <w:r/>
    </w:p>
    <w:p>
      <w:pPr>
        <w:jc w:val="both"/>
        <w:spacing w:lineRule="auto" w:line="240" w:after="240" w:before="240"/>
        <w:rPr>
          <w:highlight w:val="white"/>
          <w:lang w:val="en-US"/>
        </w:rPr>
      </w:pPr>
      <w:r>
        <w:rPr>
          <w:highlight w:val="white"/>
          <w:lang w:val="en-US"/>
        </w:rPr>
        <w:t xml:space="preserve">Two children of a consanguineous cou</w:t>
      </w:r>
      <w:r>
        <w:rPr>
          <w:highlight w:val="white"/>
          <w:lang w:val="en-US"/>
        </w:rPr>
        <w:t xml:space="preserve">ple (first cousins), a 15-year-old girl and a 7-year-old boy, presented with a similar phenotype consisting of global developmental delay, muscular hypotonia and microcephaly. Duo exome sequencing was initiated and analyzed under the assumption of an autos</w:t>
      </w:r>
      <w:r>
        <w:rPr>
          <w:highlight w:val="white"/>
          <w:lang w:val="en-US"/>
        </w:rPr>
        <w:t xml:space="preserve">omal recessive disorder given the parental consanguinity and phenotypic overlap. As duo exome sequencing did not prioritize any variants shared by both siblings, exome sequencing of the parents with combined data analysis was started. While a heterozygous </w:t>
      </w:r>
      <w:r>
        <w:rPr>
          <w:i/>
          <w:highlight w:val="white"/>
          <w:lang w:val="en-US"/>
        </w:rPr>
        <w:t xml:space="preserve">de novo</w:t>
      </w:r>
      <w:r>
        <w:rPr>
          <w:highlight w:val="white"/>
          <w:lang w:val="en-US"/>
        </w:rPr>
        <w:t xml:space="preserve"> stop-loss variant in </w:t>
      </w:r>
      <w:r>
        <w:rPr>
          <w:i/>
          <w:highlight w:val="white"/>
          <w:lang w:val="en-US"/>
        </w:rPr>
        <w:t xml:space="preserve">KMT2E </w:t>
      </w:r>
      <w:r>
        <w:rPr>
          <w:highlight w:val="white"/>
          <w:lang w:val="en-US"/>
        </w:rPr>
        <w:t xml:space="preserve">(NM_018682.</w:t>
      </w:r>
      <w:r>
        <w:rPr>
          <w:highlight w:val="white"/>
          <w:lang w:val="en-US"/>
        </w:rPr>
        <w:t xml:space="preserve">3:c.</w:t>
      </w:r>
      <w:r>
        <w:rPr>
          <w:highlight w:val="white"/>
          <w:lang w:val="en-US"/>
        </w:rPr>
        <w:t xml:space="preserve">4743_4744del, p.Phe1582Tyrfs*286) was identified in the brother, a heterozygous </w:t>
      </w:r>
      <w:r>
        <w:rPr>
          <w:i/>
          <w:highlight w:val="white"/>
          <w:lang w:val="en-US"/>
        </w:rPr>
        <w:t xml:space="preserve">de novo</w:t>
      </w:r>
      <w:r>
        <w:rPr>
          <w:highlight w:val="white"/>
          <w:lang w:val="en-US"/>
        </w:rPr>
        <w:t xml:space="preserve"> nonsense variant in </w:t>
      </w:r>
      <w:r>
        <w:rPr>
          <w:i/>
          <w:highlight w:val="white"/>
          <w:lang w:val="en-US"/>
        </w:rPr>
        <w:t xml:space="preserve">DDX3X </w:t>
      </w:r>
      <w:r>
        <w:rPr>
          <w:highlight w:val="white"/>
          <w:lang w:val="en-US"/>
        </w:rPr>
        <w:t xml:space="preserve">(NM_001356.4:c.841C&gt;T, p.Gln281*) was found in the sister leading to two different diagnoses ("O'Donnell-Luria-</w:t>
      </w:r>
      <w:r>
        <w:rPr>
          <w:highlight w:val="white"/>
          <w:lang w:val="en-US"/>
        </w:rPr>
        <w:t xml:space="preserve">Rodan</w:t>
      </w:r>
      <w:r>
        <w:rPr>
          <w:highlight w:val="white"/>
          <w:lang w:val="en-US"/>
        </w:rPr>
        <w:t xml:space="preserve"> syndrome" and “Intellectual developmental disorder, X-linked, syndrome, </w:t>
      </w:r>
      <w:r>
        <w:rPr>
          <w:highlight w:val="white"/>
          <w:lang w:val="en-US"/>
        </w:rPr>
        <w:t xml:space="preserve">Snijders</w:t>
      </w:r>
      <w:r>
        <w:rPr>
          <w:highlight w:val="white"/>
          <w:lang w:val="en-US"/>
        </w:rPr>
        <w:t xml:space="preserve"> Blok </w:t>
      </w:r>
      <w:r>
        <w:rPr>
          <w:highlight w:val="white"/>
          <w:lang w:val="en-US"/>
        </w:rPr>
        <w:t xml:space="preserve">type”, respectively). Reverse phenotyping revealed distinct phenotypes between the children each aligning with the respective diagnosis. This case description is an excellent example of how parental consanguinity poses a pitfall in variant prioritization, </w:t>
      </w:r>
      <w:r>
        <w:rPr>
          <w:highlight w:val="white"/>
          <w:lang w:val="en-US"/>
        </w:rPr>
        <w:t xml:space="preserve">in particular in</w:t>
      </w:r>
      <w:r>
        <w:rPr>
          <w:highlight w:val="white"/>
          <w:lang w:val="en-US"/>
        </w:rPr>
        <w:t xml:space="preserve"> families with more affected children. Moreover, it highlights the need for accurate pre-exome phenotyping as well as the advantage of a trio-approach for the detection of </w:t>
      </w:r>
      <w:r>
        <w:rPr>
          <w:i/>
          <w:highlight w:val="white"/>
          <w:lang w:val="en-US"/>
        </w:rPr>
        <w:t xml:space="preserve">de novo</w:t>
      </w:r>
      <w:r>
        <w:rPr>
          <w:highlight w:val="white"/>
          <w:lang w:val="en-US"/>
        </w:rPr>
        <w:t xml:space="preserve"> variants. </w:t>
      </w:r>
      <w:r/>
    </w:p>
    <w:p>
      <w:pPr>
        <w:pStyle w:val="644"/>
        <w:rPr>
          <w:sz w:val="20"/>
          <w:szCs w:val="20"/>
          <w:highlight w:val="white"/>
          <w:lang w:val="en-US"/>
        </w:rPr>
      </w:pPr>
      <w:r>
        <w:rPr>
          <w:highlight w:val="white"/>
          <w:lang w:val="en-US"/>
        </w:rPr>
        <w:t xml:space="preserve">Therapeutic consequences in Aicardi-</w:t>
      </w:r>
      <w:r>
        <w:rPr>
          <w:highlight w:val="white"/>
          <w:lang w:val="en-US"/>
        </w:rPr>
        <w:t xml:space="preserve">Goutieres</w:t>
      </w:r>
      <w:r>
        <w:rPr>
          <w:highlight w:val="white"/>
          <w:lang w:val="en-US"/>
        </w:rPr>
        <w:t xml:space="preserve"> syndrome 4 (</w:t>
      </w:r>
      <w:r>
        <w:rPr>
          <w:i/>
          <w:highlight w:val="white"/>
          <w:lang w:val="en-US"/>
        </w:rPr>
        <w:t xml:space="preserve">RNASEH2A</w:t>
      </w:r>
      <w:r>
        <w:rPr>
          <w:highlight w:val="white"/>
          <w:lang w:val="en-US"/>
        </w:rPr>
        <w:t xml:space="preserve">)</w:t>
      </w:r>
      <w:r/>
    </w:p>
    <w:p>
      <w:pPr>
        <w:jc w:val="both"/>
        <w:spacing w:lineRule="auto" w:line="240" w:after="240" w:before="240"/>
        <w:rPr>
          <w:highlight w:val="white"/>
          <w:lang w:val="en-US"/>
        </w:rPr>
      </w:pPr>
      <w:r>
        <w:rPr>
          <w:highlight w:val="white"/>
          <w:lang w:val="en-US"/>
        </w:rPr>
        <w:t xml:space="preserve">A 10-month-old girl (case 892) presented with developmental regression, muscular hypotonia, and lack of maintaining visual fixation. Trio exome sequencing revealed a homozygous missense variant in </w:t>
      </w:r>
      <w:r>
        <w:rPr>
          <w:i/>
          <w:highlight w:val="white"/>
          <w:lang w:val="en-US"/>
        </w:rPr>
        <w:t xml:space="preserve">RNASEH2A</w:t>
      </w:r>
      <w:r>
        <w:rPr>
          <w:highlight w:val="white"/>
          <w:lang w:val="en-US"/>
        </w:rPr>
        <w:t xml:space="preserve"> (NM_006397.</w:t>
      </w:r>
      <w:r>
        <w:rPr>
          <w:highlight w:val="white"/>
          <w:lang w:val="en-US"/>
        </w:rPr>
        <w:t xml:space="preserve">2:c.</w:t>
      </w:r>
      <w:r>
        <w:rPr>
          <w:highlight w:val="white"/>
          <w:lang w:val="en-US"/>
        </w:rPr>
        <w:t xml:space="preserve">859T&gt;C, p.Tyr287His) classified as “variant of uncertain significance” in accordance with the current ACMG criteria. Subsequent reverse phenotyping showed laboratory findings highly suggestive of “Aicardi-</w:t>
      </w:r>
      <w:r>
        <w:rPr>
          <w:highlight w:val="white"/>
          <w:lang w:val="en-US"/>
        </w:rPr>
        <w:t xml:space="preserve">Goutieres</w:t>
      </w:r>
      <w:r>
        <w:rPr>
          <w:highlight w:val="white"/>
          <w:lang w:val="en-US"/>
        </w:rPr>
        <w:t xml:space="preserve"> syndrome 4” (positive interferon signature in peripheral blood, increased interferon-alpha activity in the CSF, CSF leukocytosis) leading to the reclassification of the variant as “likely pathogenic”. Treatment with the JAK inhibitors </w:t>
      </w:r>
      <w:r>
        <w:rPr>
          <w:highlight w:val="white"/>
          <w:lang w:val="en-US"/>
        </w:rPr>
        <w:t xml:space="preserve">Ruxolitinib</w:t>
      </w:r>
      <w:r>
        <w:rPr>
          <w:highlight w:val="white"/>
          <w:lang w:val="en-US"/>
        </w:rPr>
        <w:t xml:space="preserve">, a </w:t>
      </w:r>
      <w:r>
        <w:rPr>
          <w:sz w:val="23"/>
          <w:szCs w:val="23"/>
          <w:highlight w:val="white"/>
          <w:lang w:val="en-US"/>
        </w:rPr>
        <w:t xml:space="preserve">treatment option proposed for selected interferonopathies</w:t>
      </w:r>
      <w:r>
        <w:rPr>
          <w:highlight w:val="white"/>
          <w:lang w:val="en-US"/>
        </w:rPr>
        <w:t xml:space="preserve">, was started. This case illustrates the value of specific laboratory constellations for variant (re-)classification in selected disorders and the therapeutic consequences once a genetic diagnosis is made. </w:t>
      </w:r>
      <w:r/>
    </w:p>
    <w:p>
      <w:pPr>
        <w:jc w:val="both"/>
        <w:spacing w:lineRule="auto" w:line="240" w:after="240" w:before="240"/>
        <w:rPr>
          <w:b/>
          <w:highlight w:val="white"/>
          <w:lang w:val="en-US"/>
        </w:rPr>
      </w:pPr>
      <w:r>
        <w:rPr>
          <w:highlight w:val="white"/>
          <w:lang w:val="en-US"/>
        </w:rPr>
        <w:t xml:space="preserve">PIK3CA</w:t>
      </w:r>
      <w:r/>
    </w:p>
    <w:p>
      <w:pPr>
        <w:pStyle w:val="644"/>
        <w:rPr>
          <w:highlight w:val="white"/>
          <w:lang w:val="en-US"/>
        </w:rPr>
      </w:pPr>
      <w:r>
        <w:rPr>
          <w:highlight w:val="white"/>
          <w:lang w:val="en-US"/>
        </w:rPr>
        <w:t xml:space="preserve">Proteomics from patient-derived fibroblasts as functional validation (</w:t>
      </w:r>
      <w:r>
        <w:rPr>
          <w:i/>
          <w:highlight w:val="white"/>
          <w:lang w:val="en-US"/>
        </w:rPr>
        <w:t xml:space="preserve">MDH2</w:t>
      </w:r>
      <w:r>
        <w:rPr>
          <w:highlight w:val="white"/>
          <w:lang w:val="en-US"/>
        </w:rPr>
        <w:t xml:space="preserve">)</w:t>
      </w:r>
      <w:r/>
    </w:p>
    <w:p>
      <w:pPr>
        <w:jc w:val="both"/>
        <w:spacing w:lineRule="auto" w:line="240" w:after="240" w:before="240"/>
        <w:rPr>
          <w:highlight w:val="white"/>
          <w:lang w:val="en-US"/>
        </w:rPr>
      </w:pPr>
      <w:r>
        <w:rPr>
          <w:highlight w:val="white"/>
          <w:lang w:val="en-US"/>
        </w:rPr>
        <w:t xml:space="preserve">In a 4-year old girl (case 1127) from a non-consanguineous east Asian family with global developmental delay and muscular hypotonia compound heterozygous variants of uncertain significance c.755C&gt;T, </w:t>
      </w:r>
      <w:r>
        <w:rPr>
          <w:highlight w:val="white"/>
          <w:lang w:val="en-US"/>
        </w:rPr>
        <w:t xml:space="preserve">p.Ala</w:t>
      </w:r>
      <w:r>
        <w:rPr>
          <w:highlight w:val="white"/>
          <w:lang w:val="en-US"/>
        </w:rPr>
        <w:t xml:space="preserve">252Val and c.884G&gt;T, p.Gly295Val were identified in </w:t>
      </w:r>
      <w:r>
        <w:rPr>
          <w:i/>
          <w:highlight w:val="white"/>
          <w:lang w:val="en-US"/>
        </w:rPr>
        <w:t xml:space="preserve">MDH2 </w:t>
      </w:r>
      <w:r>
        <w:rPr>
          <w:highlight w:val="white"/>
          <w:lang w:val="en-US"/>
        </w:rPr>
        <w:t xml:space="preserve">(NM_005918.2). Additional clinical findings comprised ataxia, stereotypic </w:t>
      </w:r>
      <w:r>
        <w:rPr>
          <w:highlight w:val="white"/>
          <w:lang w:val="en-US"/>
        </w:rPr>
        <w:t xml:space="preserve">movements</w:t>
      </w:r>
      <w:r>
        <w:rPr>
          <w:highlight w:val="white"/>
          <w:lang w:val="en-US"/>
        </w:rPr>
        <w:t xml:space="preserve"> and growth delay. She had progressive cerebellar atrophy as shown by serial MRI studies as well as delayed myelination. EEG displayed frontocentral </w:t>
      </w:r>
      <w:r>
        <w:rPr>
          <w:highlight w:val="white"/>
          <w:lang w:val="en-US"/>
        </w:rPr>
        <w:t xml:space="preserve">spikes</w:t>
      </w:r>
      <w:r>
        <w:rPr>
          <w:highlight w:val="white"/>
          <w:lang w:val="en-US"/>
        </w:rPr>
        <w:t xml:space="preserve"> but she never had seizures.  </w:t>
      </w:r>
      <w:r/>
    </w:p>
    <w:p>
      <w:pPr>
        <w:jc w:val="both"/>
        <w:spacing w:lineRule="auto" w:line="240" w:after="240" w:before="240"/>
        <w:rPr>
          <w:highlight w:val="white"/>
          <w:lang w:val="en-US"/>
        </w:rPr>
      </w:pPr>
      <w:r>
        <w:rPr>
          <w:highlight w:val="white"/>
          <w:lang w:val="en-US"/>
        </w:rPr>
        <w:t xml:space="preserve">The variants in </w:t>
      </w:r>
      <w:r>
        <w:rPr>
          <w:i/>
          <w:highlight w:val="white"/>
          <w:lang w:val="en-US"/>
        </w:rPr>
        <w:t xml:space="preserve">MDH2 </w:t>
      </w:r>
      <w:r>
        <w:rPr>
          <w:highlight w:val="white"/>
          <w:lang w:val="en-US"/>
        </w:rPr>
        <w:t xml:space="preserve">were classified as variants of uncertain significance. Subsequent RNA-sequencing from fibroblast RNA revealed no reduction of </w:t>
      </w:r>
      <w:r>
        <w:rPr>
          <w:i/>
          <w:highlight w:val="white"/>
          <w:lang w:val="en-US"/>
        </w:rPr>
        <w:t xml:space="preserve">MDH2 </w:t>
      </w:r>
      <w:r>
        <w:rPr>
          <w:highlight w:val="white"/>
          <w:lang w:val="en-US"/>
        </w:rPr>
        <w:t xml:space="preserve">transcripts and no aberrant splicing. However, subsequent proteomics showed a significant (P = 1,88E-05) protein reduction of 60% (FC = 0,402, Supplementary Figure 4). In comparison with 97 fibroblast prot</w:t>
      </w:r>
      <w:r>
        <w:rPr>
          <w:highlight w:val="white"/>
          <w:lang w:val="en-US"/>
        </w:rPr>
        <w:t xml:space="preserve">eome samples processed in parallel, the protein levels found in this case were the lowest (Supplementary Figure 4). To date, only three unrelated patients have been reported in the literature with MDH2 deficiency who presented with a more severe phenotype </w:t>
      </w:r>
      <w:r>
        <w:fldChar w:fldCharType="begin"/>
      </w:r>
      <w:r>
        <w:rPr>
          <w:lang w:val="en-US"/>
        </w:rPr>
        <w:instrText xml:space="preserve">ADDIN paperpile_citation &lt;clusterId&gt;G416U764J154N877&lt;/clusterId&gt;&lt;metadata&gt;&lt;citatio</w:instrText>
      </w:r>
      <w:r>
        <w:rPr>
          <w:lang w:val="en-US"/>
        </w:rPr>
        <w:instrText xml:space="preserve">n&gt;&lt;id&gt;86C4FEEE4D0E11ECA95F70AF510204A5&lt;/id&gt;&lt;/citation&gt;&lt;/metadata&gt;&lt;data&gt;eJzlWtuOG0ly/ZVEP8wFYLKz7lVaDLxUi63WpbVyd49mPYPBIG9F1nSxiluX7qEG+gD/hR8MeOVnw09+6x/ziSqyWSxqNLswDBjwi0QWMzMiT5w4EZldP/x68lNmTp6cxOGZfz6fz/1nYu4487NZEpxHYnYeOMIV/iw4mZyYdv1TvZQORjt+ksSRi</w:instrText>
      </w:r>
      <w:r>
        <w:rPr>
          <w:lang w:val="en-US"/>
        </w:rPr>
        <w:instrText xml:space="preserve">PwwltKNlNaRl2hXuZ7RIhYykrEOPZViVlbXraUp+NxW+cmTH06WTbN+cnpqfpmaMpuW1eLUEVNHOOHpz1P583IxdfF56jhT4fiYRcNrjL+/v58WWmXTIl9Ni2w5XZR3p+tWraw5daMkTjz394ev9Kmsmkzntj59e3kWuK4n3GQwLc+K26xYLFs1tXlt7zJbTXW5Oq1sU2X2zp6us+z0Wgjh8sRNoq+c8GtP+InL/3zyIzAqM9rr57YDj/OsXlqg/</w:instrText>
      </w:r>
      <w:r>
        <w:rPr>
          <w:lang w:val="en-US"/>
        </w:rPr>
        <w:instrText xml:space="preserve">uvJqiya5RYdIzf4REhvrKzwEfOikw8dhMVPMm9oXOBFPAwFjZJpmuWZbLKywC/P7BobW9miYWXKLq3JtMzZc1tY7LaesDfdQDw6w5DKsrSs2GXWlHpZFqbK8MOzrLaytjQ205bdWKmXQIJdlPU6a2Q+YSJ0hdv9OmHnlSy0/UM/9rpcLzPJZ0WTrUvsjn1bZHe2qrNmM2Fnb66u2beXVyxyY3/CXry5nl9dsm8dETv4VtRN1rRN79CVhQuVXrKyY</w:instrText>
      </w:r>
      <w:r>
        <w:rPr>
          <w:lang w:val="en-US"/>
        </w:rPr>
        <w:instrText xml:space="preserve">Ge0fsVkYdhsAT8mW8MidER04MR0sAr2ftGuZDHY+Y3Vy6JDY+9Vh1GLp8sJi50wCtjlw38VemmLCWZWWGDzh8+vemHz1bLMm/fsewK0XQ1WiIMo9Nkb2y5tpWy1eFxz+n8DrkOu7Pc0wGdHIGILlv0WlNHLZsK8IPb335qlxTbxb5XDcD0d+fcCcxcViHdn2dOszMtFBzzNOrN5zr564T49+xpbLlcrkFyChg17+BeWf/nwzwVwyyybNeUq+0trm</w:instrText>
      </w:r>
      <w:r>
        <w:rPr>
          <w:lang w:val="en-US"/>
        </w:rPr>
        <w:instrText xml:space="preserve">W2YbH9hux9qNsvhWNEtXveoDTbw8JG9xXI1v27NJx9LnUuAnThOErPnWcrrtuL/dGebhnwz9pc9WvuABIk7YS+lhj81uyyL0uw3POlXRhYZW5XNQUijwBVB//tvcPYMstPjvbSAoqk2XSRfS1UCv7LaBiQr7EGUdqmJ6FdI9rZu5B19bmFnF8FzqdscYz8xpM+MGqQdQPSvDXtW2doQkc9tQ79WcEjWtWURCCkcD4R6HPLI7EeiOm50wGI3mIDxl</w:instrText>
      </w:r>
      <w:r>
        <w:rPr>
          <w:lang w:val="en-US"/>
        </w:rPr>
        <w:instrText xml:space="preserve">SqLYmjnIxzIvzwIDbS26iJ9CagQh5b+/arHVYRfd+td9+vv0GOmRbyqOytbmmgsyyVCA3ZZcGUNVB/+ijV/i/FvsyZ7+Ag65OuHf4fAd4M/ATDFEBsfx/AalimhDaVBWxHD4fHbh48GTK6It5Od3mLI1cPH9OFjZTGVrcu2YihCnZO5XddE6StZdVzuZ+xsZ5R/O5dk1q91TRFRWASJHkYCJB4+2fk34E9XFBp8zzM9kPr/ecr/FrQXD//Rc/ON1</w:instrText>
      </w:r>
      <w:r>
        <w:rPr>
          <w:lang w:val="en-US"/>
        </w:rPr>
        <w:instrText xml:space="preserve">be24vMilUWDvJG5NGSaED3KisPVXhSQkZX8G3U8iHzkMglip3+PzByVxjK3yAjZa+VY1p/KTQ7lOitBoIV9LKVd4l2UyJ4SnL/5M4si4QnAdz2bsu/ANrQIKJnIqua3C+xOrieHud8xp9YZ8QKqbe+1rJvcHijIm7nL/IuLwa/tGqJ/s+kE4dXRHv9XIr3P8ND7hKjCh1rDCQt53aV7/8MZDRrk7IuVXHSI/g0U+H/WycxBzqYqwWgmjYEc1E/YW</w:instrText>
      </w:r>
      <w:r>
        <w:rPr>
          <w:lang w:val="en-US"/>
        </w:rPr>
        <w:instrText xml:space="preserve">v6lzeo/IhArW0+J7XaaVlNqARUps6bO8PLZhctAoRK5xVYHcKyQcQ2pxnJjqnJhC2DDvsIElN77JXKHYZ+wBDhpOLlPsddl0e0cO0Actos0JSt/kXkpNSiG77JmFK1dWV9X5RpbTdtCU5AI9O0vryqraqY36LwpY1hl1yXmqYxLpBpRdS2bJXmHj6u26YJcs6xg3c7wf7OsLHhfVJY8Maxu1c8ACw4AJvIdxu6zZskAfL7hmI2CgPVsBQ19jwnLz</w:instrText>
      </w:r>
      <w:r>
        <w:rPr>
          <w:lang w:val="en-US"/>
        </w:rPr>
        <w:instrText xml:space="preserve">bpE/mZywtb1Bvis8LUCLl0rUNmUoCSttL0k4yHFzOb2rjOY42fac+eLZSov0QDQCETXqorIRbRM8zYzU3a+xQBP6qY1pO+YmGYYqHLkcM3SqlwxdPHYxHA79bK8x3dVYivQJrkGwNhevkFEVuvcwoO8rOsuOQgauIeTSufIlgTvN51mMvib3VHCa0zoYle0eT7dyQM6K03zZL5BsgAHnEaIT+SNZHW2KLIUuYc8BBVgG6mDz1LrdgX9bLbEIChgl</w:instrText>
      </w:r>
      <w:r>
        <w:instrText xml:space="preserve">/zvJ0+2XOnRSyGw/dMMe8tWOK1lBCKCptuqBv5bOAcEmdCzI2C+HIKH2kYhv8sQ3C0upBi9Vx0L7rPc8Gaztj0q+tmbGWIMAa+sOQLuMGFoOzvspmxmTNYHMt+QZ0hP0+rh9ntmUgtrQboBe7sI04j</w:instrText>
      </w:r>
      <w:r>
        <w:instrText xml:space="preserve">jKGOdkqEN1UuJQRuNABCN7rI6k10e3aGRNI+ZBK8sPaHeARPrdt2lD9bOqkHmdA5D/qp2PXRwgC3lumRLbAZxuaUBupOnyZ5ASyS1srYAXLonHhluQAYiBk0vSiDH1ksL0OB9qTdo02W3AsgqF7JY5Bk9qdtaW7iicFIFDykbu+wnjsMztPtEZV6mfLfRT+Q+6M9kXpewXZc66/jZhRjHc0DGil3rRXVC7zrprSrs10INyKGoBQknlDqnW4nLsbE</w:instrText>
      </w:r>
      <w:r>
        <w:instrText xml:space="preserve">Jm5OGkpbILWxnHWxzyipq52SLEM87iflTJzHXvReYZ9fAtaRobOigLxe27s7sDncCumNIyxyHAzz74cfJyc9o1RDWFBmJQbOVrSjX2PYxBWbZ9SaLbeHD/O3ti0rdxEsCY3UkfUfb2PciFUolnFgkWihhpat8R/S3L3Q58HhdQTWjBVkq+PDrCZAixScnr8m9DI0+fZYrpFXnLzVfDV1VnMyyhs9zfnmL5m3FaHh/ceTryJVBmnARRIqjnEdcOr7</w:instrText>
      </w:r>
      <w:r>
        <w:instrText xml:space="preserve">lsRtLD8ee0ElDDKakHa9y8mFy4MPlwIdLkqWRC8/kxq74P7aE9uWjAwqGtHZiHoZScBFb7NRTinsqsHGgbBRGcu/AYI3Pms+qn+HByAGcnqCqe9MmilI/EZJL7UdcpNrlcWAQbddPfBEmgVLu3nQ3e2x0NjA6Kwqp6OQyMnu2BOfAZZwqZ4+2bSyFHwFoBWNcCBtz6aUAP02FFb5jPTfa294vMXbgIPCb/C4bW38qi+IeJX45CLrruK5KYo/7Whs</w:instrText>
      </w:r>
      <w:r>
        <w:instrText xml:space="preserve">uQqN5EqQOd12rtSviJPIGQX9cYWz76cD20+5ktKAD2MgBao0e/q2Ebj19dCDyVOrbRPNUx0DeqIirKLA8EY6WRifKeoOgP64wdmB+NvBgvkK6td3J8WwceGhrwbrRvX3t6dS6IF2aekDfeh6XChywSoauLyIhpT+IPE0f2341MP2KCq+kFmZMuXNS09uMvdqb1nGSBsrlypiYi8jzeeLoiEcwGaZ+7DpJeLB1mj82fvZ6yPYzKBZ68EKy1x27hw6</w:instrText>
      </w:r>
      <w:r>
        <w:instrText xml:space="preserve">8K3M6vd2U7T3rZ23TThjphIDc2Ahp51mfK9+zFAubuF7kxaG3d2OwypErQ0eWOAk0n0iBd7Iu6By8j4BJUnAPaiOcxOHClTFPLL66nvUCR3sids3Afj9/bPvdwPY7mYOCR/S/7u4k3j3ajZMkTIwIuFESehc5iiubIvmi0EAGvECkA+Z1s48i//rFQexRaV+zFyO7d3QspUuXgvXjt3LraEclfsg9x3cBdqhgOYXcemkSOj7EzrF78/tFxj6cDzx</w:instrText>
      </w:r>
      <w:r>
        <w:instrText xml:space="preserve">4TI/x3l/brqWlm5/zRw8C31jPkQA+1hrCkygOJZDcs9ZTiQmtdNK9B/slPis8bS2LkfErHEzodDpQHRtAcZFqViRENJFwlYT4lKZGxUGohIz3lrfzx2afD8w+ryS6xpHdOXAolmUK08/3sIcxoit8nqrE40InPo8dG3EnQonztOsGItmb3i/xWbI/fNTZEdOvyvb9iOlKhY6bBtzVARU4A81PYsWNmyLNdCK1Gtjezv9svKHHm5HZS3RyaOn2YfZ</w:instrText>
      </w:r>
      <w:r>
        <w:instrText xml:space="preserve">iCRkHxLExKSC2+OS7MfdM4MWOkFZ4A7D76b9T3MZbfYbjtkQfzC/pTzLFoLgpnbiudgzKqYBxmUieoJvgoU2F0VK6bhIMavrhOkd1/eagr0CK85slUv3hr0eEn6mMfScrg/7iZkD4yHN0bLgOBZTGGqSc1Uj7SAQyUKEFBwcdzm6JIzeeHzQYOIfStfbzI8E1/W445S66RfbO5uTP8730aqgdui6PBzL14RBJb5B6PE5MbOLIcZQeFJ9Prjd27uX</w:instrText>
      </w:r>
      <w:r>
        <w:rPr>
          <w:lang w:val="en-US"/>
        </w:rPr>
        <w:instrText xml:space="preserve">LoXMvcVxFvX955NtLiU65H7vFxlEyMBrtO7otsIT4YoXmQWjpf+vpcKDCNP3I8tCulccsma0yEPPlnhvod4F8CG7ArgixcaVQCaVOUIt9tLr+wGQ3e2zz+4HN77PFUat7V1vNvn+0GBLdUsfh0veBtwxDLgEzLHpeEgeOE8qhRZr9+0UuOxK8S0t3Z4PERyevvQgNFuoN5DZBqYmjWHPp+tZP0e</w:instrText>
      </w:r>
      <w:r>
        <w:rPr>
          <w:lang w:val="en-US"/>
        </w:rPr>
        <w:instrText xml:space="preserve">dEdqC0/fSx4Zthj3VTqkz2bdTQ8IWU+pbd7LsrNK5GB4SpgdqKxEd7F3kRCmzo28jGXhgM0q+bfmR3aDZbjYtqQwfjfYp50DcRgceeESEQdiCvGs2EDD0bBj76iXjQSHezP2twibNnfQRvRldEyIBBapskiqxrOHo5pLZysdHYtTz0EfM0FIExZojwdoWx7bfzgfG3OK/hEIgD4biRphvRgnWDt8RKA+MLL0Dn7hOVlYTGWo1WTvvIJV+oQA/a6G</w:instrText>
      </w:r>
      <w:r>
        <w:rPr>
          <w:lang w:val="en-US"/>
        </w:rPr>
        <w:instrText xml:space="preserve">7+2PbVdwPbV6UCC9h3I8s3/aV2N3R7enBDX8WewyPPpS4mDrgKY8l1oCIvdVIZOION9/M/m7ltntkxoZ/LBR3NB7kbqATiHVvuSYFzQ4J/lC/BaAcnNqMCJdyBlG7nH6F9eYA29QhjnSKtu6CmI2/Y271agbwJqrblvvA96lR95FKKKqOgpDLyDSr5YfO0XeSzhW1RoJKMq/jDfzbZYlDRIuNqMDnkUZfLKYo4qqiDJt51Qk94jhMNe5du+t9t9Z</w:instrText>
      </w:r>
      <w:r>
        <w:rPr>
          <w:lang w:val="en-US"/>
        </w:rPr>
        <w:instrText xml:space="preserve">nN5bI0UPzZYM/UHyYBj1yNPacRDg5emqJrdCPpeX6MSjsspdsVxrYvBrYvypyS4ND226q8pT8lsotH06mXamMTwX0vwSFJIqFjHxUrUQnaJgG1jgeNy26Boz5xuO1rqbKi397BKanVy5pd73ftGCiJcUPupCEOSTEadOWZiJvAhAEqiOcOa3Y3/bNnA7QLfcEe77q7mufneatv815d9kcFCULjVJbigBCibqBN4yqOIu77MXoK37UyGEB/vNTJhx</w:instrText>
      </w:r>
      <w:r>
        <w:rPr>
          <w:lang w:val="en-US"/>
        </w:rPr>
        <w:instrText xml:space="preserve">8nJzqDpaeb11lxi0HbV2cAU5nLarooy0Vuu/dTto/+YZl/Y4sv8uqbL4p29Y0nvqAF6m/+zndubrOio/Hurxiz/p2Zk+71FbpUJYff/jS7unlx9poEbb3SXWoO3qjJ6TJje9lFTtxaer/l4AaI3nDh76k6bK+9uoo9ZS+n9Ie5af9HH7qvK+8LS6/EzL2z2D+fhzM3eeo482gWuInvee78/DwQ4oyuvO7KvF11bxwJ0XlRLFq5oAedQOnKyi52SL</w:instrText>
      </w:r>
      <w:r>
        <w:rPr>
          <w:lang w:val="en-US"/>
        </w:rPr>
        <w:instrText xml:space="preserve">so8mPfi6deGCL9aBP9OWP/MhH9TbV7VUcgqLSJSxOQcOvESQTIbLQTSKW1RReATHZUEOMkSnZrbEjb7ZlRhB7dTPDIp+sSX6NhM9agn0iNK5GJSUBqa0o9/wUWn8lG0stBWX1eVjZbFCdPUnDS0nXei+J1pipZAcqmartHr0tNwG2HdEjNVzIjLNekjtPbSt5nzfs/LugpkWUH6BvZAdVr6Kt+1MmHDz/+N9zRUXU=&lt;/data&gt; \* MERGEFORMAT</w:instrText>
      </w:r>
      <w:r>
        <w:fldChar w:fldCharType="separate"/>
      </w:r>
      <w:r>
        <w:rPr>
          <w:color w:val="000000"/>
          <w:highlight w:val="white"/>
          <w:vertAlign w:val="superscript"/>
          <w:lang w:val="en-US"/>
        </w:rPr>
        <w:t xml:space="preserve">20</w:t>
      </w:r>
      <w:r>
        <w:rPr>
          <w:color w:val="000000"/>
          <w:highlight w:val="white"/>
        </w:rPr>
        <w:fldChar w:fldCharType="end"/>
      </w:r>
      <w:r>
        <w:rPr>
          <w:highlight w:val="white"/>
          <w:lang w:val="en-US"/>
        </w:rPr>
        <w:t xml:space="preserve">. A discussion of molecular and clinical findings within a MDT concluded that the variants in </w:t>
      </w:r>
      <w:r>
        <w:rPr>
          <w:i/>
          <w:highlight w:val="white"/>
          <w:lang w:val="en-US"/>
        </w:rPr>
        <w:t xml:space="preserve">MDH2 </w:t>
      </w:r>
      <w:r>
        <w:rPr>
          <w:highlight w:val="white"/>
          <w:lang w:val="en-US"/>
        </w:rPr>
        <w:t xml:space="preserve">are the most likely the cause for the encephalopathy in this case, however, with an attenuated phenotype compared to the cases published. </w:t>
      </w:r>
      <w:r/>
    </w:p>
    <w:p>
      <w:pPr>
        <w:pStyle w:val="644"/>
        <w:rPr>
          <w:highlight w:val="white"/>
          <w:lang w:val="en-US"/>
        </w:rPr>
      </w:pPr>
      <w:r>
        <w:rPr>
          <w:highlight w:val="white"/>
          <w:lang w:val="en-US"/>
        </w:rPr>
        <w:t xml:space="preserve">Methylation analysis helped to reclassify variants in </w:t>
      </w:r>
      <w:r>
        <w:rPr>
          <w:i/>
          <w:highlight w:val="white"/>
          <w:lang w:val="en-US"/>
        </w:rPr>
        <w:t xml:space="preserve">KMT2D</w:t>
      </w:r>
      <w:r/>
    </w:p>
    <w:p>
      <w:pPr>
        <w:jc w:val="both"/>
        <w:spacing w:lineRule="auto" w:line="240" w:after="240" w:before="240"/>
        <w:rPr>
          <w:color w:val="333333"/>
          <w:highlight w:val="white"/>
          <w:lang w:val="en-US"/>
        </w:rPr>
      </w:pPr>
      <w:r>
        <w:rPr>
          <w:i/>
          <w:color w:val="333333"/>
          <w:highlight w:val="white"/>
          <w:lang w:val="en-US"/>
        </w:rPr>
        <w:t xml:space="preserve">De novo</w:t>
      </w:r>
      <w:r>
        <w:rPr>
          <w:color w:val="333333"/>
          <w:highlight w:val="white"/>
          <w:lang w:val="en-US"/>
        </w:rPr>
        <w:t xml:space="preserve"> heterozygous missense variants were identified in two individuals and initially classified as “likely pathogenic” based on the ACMG guidelines </w:t>
      </w:r>
      <w:r>
        <w:fldChar w:fldCharType="begin"/>
      </w:r>
      <w:r>
        <w:rPr>
          <w:lang w:val="en-US"/>
        </w:rPr>
        <w:instrText xml:space="preserve">ADDIN paperpile_citation &lt;clusterId&gt;A551O818K298H982&lt;/clusterId&gt;&lt;metadata&gt;&lt;citation&gt;&lt;id&gt;35DBF6284D1211ECA84C84C6CB680507&lt;/id&gt;&lt;/citation&gt;&lt;/metadata&gt;&lt;data&gt;eJy1WWtz2zYW/SsYfci2M6LMNynPZHYd23k0dtZbN82HJOMBAVBCTRFakLSjdPLf91xQD0p2mmZ3m4ctgsA99577pPj+99</w:instrText>
      </w:r>
      <w:r>
        <w:rPr>
          <w:lang w:val="en-US"/>
        </w:rPr>
        <w:instrText xml:space="preserve">GNlqPjUZScPXuehnl8FoRBcH56ksen+JeePktzP/Gz0Xgku+VNM+cBdgdJoCQv0lyUZeSrUmVFqLKsCPw8F1MVSKyWqkxxSjdNp3AkwefOVqPj96N52y6Pj47kp4k0emLs7CjwJ4Ef5UczvZiEfpBMIh/baV+Djff395NaFHpSV4tJreeTmbk7WnbFQsmjMMniIE/zb25fiCNuWy0q1RxdXZ7GSRxnSXRwjIvFbFKr9kga0Rxdt7yW3Mrm5kWnpa</w:instrText>
      </w:r>
      <w:r>
        <w:rPr>
          <w:lang w:val="en-US"/>
        </w:rPr>
        <w:instrText xml:space="preserve">p0rZqb0tibdq5uXtWtskurWt5qU9+Y8uZa/btTtVA3v3Kred02k6UsRx9BnNHE2aM2woxKN3MFH/w+Wpi6na+5Wilu8ZF2jr44GusbXrWO/Mj3/CgldnlZ6ko7FXDnTC1h40LVLTMluzSVEl3FLYMZ7FJJLXjFXijYp0UzZq9rPZu37EzzWW0arLELXhjLW2O1wv1/WjUzNXupADtnT9i10GQee1vrO2Ub3a7G7MrYtoL4ze4xe3t9MmHBR3Zqqk</w:instrText>
      </w:r>
      <w:r>
        <w:rPr>
          <w:lang w:val="en-US"/>
        </w:rPr>
        <w:instrText xml:space="preserve">rNFClyslAW2DW74u3cVGammxbyT+dYnJkxe1WBWqMbd5i9D3G4s5asGJh3zK7mRtX6E52rJG7/rWEvTbPULa/Gm5tjdmL1Z1PztSJk7RlWX3ANp9mm6OxszC65XfVau037tF2BKN5aR9G1EoRNyzveNkwOLHynG2HqRsP+S13d8+5WqfFw9RGcl90ClOzEnoIEJ3fnt83NnWNA+S/zoQtI0pbIxxnt3bFqzWwt7ugbCG8c4fcI+ce5huHdougoRO</w:instrText>
      </w:r>
      <w:r>
        <w:rPr>
          <w:lang w:val="en-US"/>
        </w:rPr>
        <w:instrText xml:space="preserve">ba7Lx2wOPa2at+G0M2tXuaD/hzlCK9viI7eiB74KP/Tbgj5yuKu7zZETMQdMA/rzTKQq05uzANO6lnClUG+TI3ptrXYHB/PDj3VQ4Hdv5FmA+4PYzLvwT3W8lwviDCH43O/tawCJ1QCWoh+IVCM/kKwiAcT35+e8Ve1Sh5bYeogVq75COXn39aomDRQSwMzu0z8bblc1QIFEeod4tUcbr0q98oK9/Iv0eSjkIX96V54I/1OphuxLxrP2/LU++SMd</w:instrText>
      </w:r>
      <w:r>
        <w:rPr>
          <w:lang w:val="en-US"/>
        </w:rPr>
        <w:instrText xml:space="preserve">SosX88lEDaXUG3GnKGAU5M7HTbeNJx8lUyn1l0Eb5Af3hnFvs607mX3N6hhT7Q6hk6DrWLS940HIo3qm3X5QptDZ6paGjYdmAna7btwk5TFHSm97owqdasuzC7W3fhY8bZbwYbGRVjVTddw6wSZgFt5fYYCdv2qcPiMWibThFcmMXmwp1sGiP6PnVA4pYpatZF01ouqIf/8l/B/XByevniRwZ777TpmmrFpLpTlVmqnhxOdn8HNZMfgh+RCG77kj</w:instrText>
      </w:r>
      <w:r>
        <w:rPr>
          <w:lang w:val="en-US"/>
        </w:rPr>
        <w:instrText xml:space="preserve">ctxAkukbrrnbqesVaJed2XwzlvmLoz1R3gLF9qCQXu0VfdeS7v1sExR0B47dyabjZfdi2r1afWo95je012wifsGYqsNMuWkMjUCvZYPqPLrx8bM7FJ12owsTBuFavNPUP2goRFL5ORRE/Xwire0JLgiE0z6xzf65YIKxunQ7PkdU0fcMO0q6VDo2OVcnsRovQLbNWqwoX6hKDvF/sPcDAS0epl21+TUWqpNzgU7as+fDdLUjfGSmSiY+NO27ZXba</w:instrText>
      </w:r>
      <w:r>
        <w:rPr>
          <w:lang w:val="en-US"/>
        </w:rPr>
        <w:instrText xml:space="preserve">0yuEasLiv1ydWXdq4b1sx12WLDA/XJQ4VSNeOCDvFa43ixApf3TMw5wgz1uKGT21jYD5NJHw7AQLK08EAf3gg7WoCHIY+ze2NvZ/DvkiRhQo2cilY7fq2CtIaKZ4tCBVutWWyljP9suiDWL69+HG8z7FvjJGsNo7RAXXRn3Gfljjb/hyIycWNXb7Ob6ZoWTGDnw0hEUmrUF3zqAfsdkOKEaCo+S0zNO56QVNRwkDsIt0E52rHskkzXlEyOzZ5JEN</w:instrText>
      </w:r>
      <w:r>
        <w:rPr>
          <w:lang w:val="en-US"/>
        </w:rPr>
        <w:instrText xml:space="preserve">Tz801uwMCtwmUfZbAEzOyXwAZFRS9gLFKaL5f4CT5JiQIxKIF+kCsN6ygy4f5HU3FM0Vt18o8z6TCJnHv6RDqkaq1r43QCtHPSUgldQqGNg6EZZb2LH+/DaEkUQJ4W4w8j9mFU6VsFww6XO/jZtpxyQs9qEkhldO9Igd2zmpZIxQ+j/vrDyANJUlG6F7tQYYivuoWcnh9nK9Tm6D+cNL+EHQhA+GiQ+ZfGKuPadNvbvdefNhgIKPjJCNX0wSsq1B</w:instrText>
      </w:r>
      <w:r>
        <w:rPr>
          <w:lang w:val="en-US"/>
        </w:rPr>
        <w:instrText xml:space="preserve">NdrojmHXzduw5QJRKQ6h2ezFyBLFw5gUBIA1eY4TqXsuQeciF+YxeoXQtD7SRjkAc/qMlsAo+ZJdK014nTxEV53/V5g/P9WglG9xYaNcPD4e7Yj6h0qidjHeqP1Tq6xyFkhWRzvD9M023sHdbBDWHOA+0uksa7coZWbBCMq/3gIi9thC62VelBl5ibrkJhVZtW0wPx3Rg5GKpeoTLCtW50OiEc+tR4yDJaloPCMe4THVWhq3pH9vb2NZyzwiDIPY</w:instrText>
      </w:r>
      <w:r>
        <w:rPr>
          <w:lang w:val="en-US"/>
        </w:rPr>
        <w:instrText xml:space="preserve">rWPrq+rimyniE+Hlqw3JUFtq5+KHX6jqMztDR5LTkaBAaU2E+8OIyxUvZ1Y3T8/uN49JvpLHxSdlWFTdspBcYv1tPiMRxTUr2r2Hrz94xXwFt/xZSFqUyjyI/jqQriMChzX5TTUMV+KmWR8kKGWTTNRf8VU+2+YJnmXpT69LUK72Cnhc6/j8BRC23IqGsyR9uGJrDrTjnj7IK3LX39MvpZo0VSm6Btm2/FsiLIhPTyQOSen/uRl+dx5JWSY07KVZ</w:instrText>
      </w:r>
      <w:r>
        <w:rPr>
          <w:lang w:val="en-US"/>
        </w:rPr>
        <w:instrText xml:space="preserve">RxUgBp2A4EjL6M92DfDGDf8M81GvQB9Mln/Zm92cLyYMqLiHOvLGLu+QDzeBIW3lT4RSLDVEwzvoOlw4eQe5bOlbX6APEZPD4wtIhFTLOfJ9Np6vlKZV6eyshLVQruw0LkfIBIhw8RzwaIZxx14xBQi1t2tgP0oywulYJ1gcSPIvCmZRB6wTSexjyQ4DsZAOLwH5poFvwA74wPHZmmsYDnEi9QEpjZVHjTMJt6YTzNZBDk02k0sA9nD9F+GqD91F</w:instrText>
      </w:r>
      <w:r>
        <w:rPr>
          <w:lang w:val="en-US"/>
        </w:rPr>
        <w:instrText xml:space="preserve">X6MHhe4KTGoPkczzXKsp+2yEEgVRoVqceLMvb8gKfeNBLcQ2QjkvhUCKl2yPtiDpV4926gxTu+wiD67lAPa+SKuY09flbEMkoT6ZVZksGzfuzlKgk9FU7TLCFewnCAT8cPYS8HqJdczrsH0fRSzSQ62xY0z0VUxjzzEl5GMLrMvKLMYk+kSZLlQVLmxSBv3OlD0PMB6HmF9nzI+MUKTeB852EVBKUvQi/NQ0QwxXIhcZkkSSqiPJdpMoCkw9+NeL</w:instrText>
      </w:r>
      <w:r>
        <w:rPr>
          <w:lang w:val="en-US"/>
        </w:rPr>
        <w:instrText xml:space="preserve">10Y90AVPqlAomZN00KOFcitvIk8b0wDVGu0jIJ82IHuj5/iPt6gPua2+oA9Vejqltl3Sz1eoccpNM8zbinIlRqXySpV2SgWSUyQb3AohwE9EDGIfrLiwH8S6WlZheHhVHNF8ztM1Y4dL//E6Z+mPj0DfU2rXkkcj9F7yhSeGE6Lb1cBIGXxamvslTmaTIdFEwIPtRnoM1hkaS2PWis/+p4RXMCniY66x59T9HINXarrT6hn6q4iFFcfFkiEHMEYq</w:instrText>
      </w:r>
      <w:r>
        <w:rPr>
          <w:lang w:val="en-US"/>
        </w:rPr>
        <w:instrText xml:space="preserve">RAWFnkcSETHosSmwV1JEHPK9+J8wU9UWCWks9WF7q+xen1y41GoM9yO5kZg4l3ghFjs/T3efVU1U8q+/RJ3S2eRv4TEtA8/bNvRW513TulUdyKOTvp32r07xJogsPNq6ubk59/eXV6QaG6XAhaGr7zwMyhqv2WvmnnE+rJNAmQVrdqNehrpIMnO4qDezyWU5pEp3n8/Dw9CafPguA8O0nCaRxF4fnz54iLU99B1bMOQwV2u7Z3R9/B0lVA75Ro7H</w:instrText>
      </w:r>
      <w:r>
        <w:rPr>
          <w:lang w:val="en-US"/>
        </w:rPr>
        <w:instrText xml:space="preserve">PeDRL8zRP08Enu5yFp3Ttw934Hj9b9ixIf3iXtLmVCmSByiUZS+Dk6MjpV6hfcDwX+o0uXKcVmAxOFWkeEyhRPMx+Z4iMiIqrHfjz1sqkfBkEa8zijeiiNOP8ExDPMq/RqRjfPMaJj6h8dlwhURVPHq/pCF5ZbcNTazi1dGEFUrrc4ms4XXBO7SwxydnJrOYa8z/+Y0SqFxYbNN9yxckW72Ot+1+jLl4//ATCGVR4=&lt;/data&gt; \* MERGEFORMAT</w:instrText>
      </w:r>
      <w:r>
        <w:fldChar w:fldCharType="separate"/>
      </w:r>
      <w:r>
        <w:rPr>
          <w:color w:val="000000"/>
          <w:highlight w:val="white"/>
          <w:vertAlign w:val="superscript"/>
          <w:lang w:val="en-US"/>
        </w:rPr>
        <w:t xml:space="preserve">21</w:t>
      </w:r>
      <w:r>
        <w:rPr>
          <w:color w:val="000000"/>
          <w:highlight w:val="white"/>
        </w:rPr>
        <w:fldChar w:fldCharType="end"/>
      </w:r>
      <w:r>
        <w:rPr>
          <w:color w:val="333333"/>
          <w:highlight w:val="white"/>
          <w:lang w:val="en-US"/>
        </w:rPr>
        <w:t xml:space="preserve">: The first case is a three </w:t>
      </w:r>
      <w:r>
        <w:rPr>
          <w:color w:val="333333"/>
          <w:highlight w:val="white"/>
          <w:lang w:val="en-US"/>
        </w:rPr>
        <w:t xml:space="preserve">months old otherwise healthy girl with neonatal hyperinsulinism. Since congenital hypoglycemia secondary to hyperinsulinism can be a feature of Kabuki Syndrome 1 in-depth phenotyping in the context of disease-associated features was recommended by the MDT </w:t>
      </w:r>
      <w:r>
        <w:fldChar w:fldCharType="begin"/>
      </w:r>
      <w:r>
        <w:rPr>
          <w:lang w:val="en-US"/>
        </w:rPr>
        <w:instrText xml:space="preserve">ADDIN paperpile_citation &lt;cl</w:instrText>
      </w:r>
      <w:r>
        <w:rPr>
          <w:lang w:val="en-US"/>
        </w:rPr>
        <w:instrText xml:space="preserve">usterId&gt;V678J955F316C139&lt;/clusterId&gt;&lt;metadata&gt;&lt;citation&gt;&lt;id&gt;5B7740184D1211EC9DD870AF510204A5&lt;/id&gt;&lt;/citation&gt;&lt;/metadata&gt;&lt;data&gt;eJzNWdlu40YW/ZWCgMkCmGoWdzpoTNSSu9ux3TZavWAQBEFtlGpMsjRcrFaCfNV8wvzYnKI2mnI7mbd5sS2qqs5dzj11r/nz76NftRydj8JXcRy4NAlm1KP0YprOZknsTl6</w:instrText>
      </w:r>
      <w:r>
        <w:rPr>
          <w:lang w:val="en-US"/>
        </w:rPr>
        <w:instrText xml:space="preserve">H1PXcYBKOzkayXf1aLxnF6lRFivs8USnFJi/LYteVURIEnqcYS5UbCCWjMMUuXdetwhaKv+/VZm0qWePj283KLPKNUIVmP5Cr2U00wa+bD94Mvxhv7zWpN6WsTKF+IMvNSlW6rNtcl7oucFJb5aPzn0fLplmdv3ghv4yl0WNTLV5Qd0xdP3lRBzTwIwceOa5LfceaYlfXWL5er8el4Hpc5sW41Mvxwjy8WLW8UPKFl6ZuHKfJny4vxAtWNVrkqn5</w:instrText>
      </w:r>
      <w:r>
        <w:rPr>
          <w:lang w:val="en-US"/>
        </w:rPr>
        <w:instrText xml:space="preserve">xdzONwzROgj7Kn1v0C2JqtI3NM0YjfuWvLG/sstB3HdePIjyGubmulwq5+31UmLJZ7mK8UazCn55L09EfZyPG66Ziwm6/+/j+7nZ+cU5mqhaV5oo0S0WEjalgOWGlJIXJlWhzVpFMl1KXi5qYjKxYo1XZ1GStm+UwO+S7q/n3ZL00ZFWpGsu2q5a9/BLZAssQYcqFKnUDsEFGyXdvL78/60xgda3qujNNl0JLVQpljbia4/PAlLeXY3Jz8eHt7Wx</w:instrText>
      </w:r>
      <w:r>
        <w:rPr>
          <w:lang w:val="en-US"/>
        </w:rPr>
        <w:instrText xml:space="preserve">+Tj4rIo1oC3yt5GPXMsWaFtYNfJSaLUoDOHt+iuMzdjga5tW6bqw/by+7fTDgAb4wuFFwXcIQU9qNtfpXCyMRrG6ZMKuNU7YFVxUiYjKd228K1SyNNLlZaFWPybzl221Nvjkja0Uq1VSmXinR6AeVb4h6YHnLrCPUdR9bBnNyJu47PIJ4KpBw74quz0hmKiJYWzN7FHlgle72InjwwK4H/vuL+cfrDwjazdPBwMq1qhRRdcN2PCN8Q2w2Gp0hpnv</w:instrText>
      </w:r>
      <w:r>
        <w:rPr>
          <w:lang w:val="en-US"/>
        </w:rPr>
        <w:instrText xml:space="preserve">nkY+lsUkVj5FsIZPvSvKShN9vo2crfPsk+H5MJqDsokvSU/7h4La8L826PDiIHzZ6iBaz1h38JWtWY7EwD7BXWmxTqj1NxmR6+256/XF+efsOzn4YcspmtjNkwPA5KdiGoECWerFEHpslKy29H7Rpa2SnUitTITlne2LY5UwI04IuNv6wqWjF0v6mf3tUQvswyyODJ1u2V0qYBapjF1m5qQtTrZbw/UjfujZCd7TYG4oIiCXLc1UuLCPgvz2rVAY</w:instrText>
      </w:r>
      <w:r>
        <w:instrText xml:space="preserve">EBfNtlRnZUQxkXAHYbqqXps2ldRAlWSMeu9DZrVJnGT4jz9h+DHMXLRBX29Ahbie1uLVlrfIc0SjZAidCT2355V3SGl2oLnSPvOzrAKQCeV7p2khlD8VJuoDVYLFpG1SdqrcBt5mwhckWi4o9HLhorcdX6gv</w:instrText>
      </w:r>
      <w:r>
        <w:instrText xml:space="preserve">qtqs5DR8hOwXOqxA02NzAPNRY27lWM47ibDbb0hhDOxvd5Paumn5dqFi9x7FaZ2F22enK5rE0nn9NXJExq8k4+LeD9SlhCLxoukxI/aAlrKxhFB7DzG4dTJupFa4dK3JdSlrEmrzZ1gii87FEzUO44BS+nYI8bGH235O5qh60QGyvGTeIiKmQGVsUT247O/5xmcMPY8Xl43wyJo9tuLMSYEuzc/J4NLmx6Udaz8ikLMk35L2BJkJOx+S6rbSyx+c</w:instrText>
      </w:r>
      <w:r>
        <w:instrText xml:space="preserve">STPu2Jm+hfV24/wr8Hc5lTQWHZppx1ex0/aKE/CNVO5n4oL4gV09gnOGvtm5MuVvzpFNHXbRHD8P8im1yVPnUgE2LLvNHX58+HPmsd4neH9OdjA+m2J5p7LavGMwqqKvcoiBKc7E0Jt/vOSM3EAYmlm2tmuYpyGPEBkF6nPh9nJ927E4ZCPxJNi5LVFvTNt3qV9rsir7zbrqn/1xoq7lDwIsvyF514tY7tRasRimSdgUHPmws/MerMXlTodbIbQX</w:instrText>
      </w:r>
      <w:r>
        <w:instrText xml:space="preserve">NlmTeoNabXpSu8dRGw668bStQUW6+/QoFplVbwLgzMrN9FH5fViqHyeOvx+r4xRz3NNQRMtPp4qRAIQtE5p0W9zlu3qchbzQr9Bl5DeZoyXbRmxpz31++D8XUdjEVVuOeIZ/xY/kcWw+mbUl1zNlXi7u35i9W+QHi7ECtzvtHUdpzelcnFv4rVX6Hx0yqHBcc63bd4dLJbZltWdDnHkHSmxNP7lRZ1pv8gZWWlf3zzgbfndTDsJ6/7upf9OCv4P8</w:instrText>
      </w:r>
      <w:r>
        <w:instrText xml:space="preserve">fCLeEgQvWSm1+5LUco0Pp1o2VbO31t8KtbWczz/cdL/DwJDM57k48+xmzyj9NW5Usz9ocs9foIGO4PYtdos5hBbpD2znsFu/v5V2NlCfSgiX7k4C3Gy+5G2N89ARXXpKplNNUZJGUlEkmgziJUhZHMnTD3XjUTVBp4viR69oLs8WFhBno599H2nYa9ho9H11dW390VdtR6Ippcq1U52FVsKaxc9ToH2xFumXbkdjzUsriDGMY87njysR1kpAljhf</w:instrText>
      </w:r>
      <w:r>
        <w:instrText xml:space="preserve">GQaZCX3KXY3HOuiOxGfPWI8jJxVUPc1JsyAW5KtFSNgPgn8yyrEHN7YYtehQGqecC0xUec9yUpw4LVOSwzBMJw9idCXlE350wtGDWw58x9BQD4Ne6FrbBnR1gM5fyLA2FE4cuYJVMnCQLfSdQaUBd5kc8EkfY3f4h7F0P9q7CGvRybAB9haLX96zJGbk7hjxLKfcTz/ESiTk4lpnDEkUd5UvXlXHCVRId0Y9HDA34qWfAT0yoIfhMFTn56QDrhxH</w:instrText>
      </w:r>
      <w:r>
        <w:instrText xml:space="preserve">GbZ454JuHWMfM4T538cP1wjSlIpXhEdZuHgJ+6gF+0vUa7eY/h6DvcMPco/gaTT4doFMuYiYi6cBB5DoLUif1aehE0o2EG6eZ68dH6OMRQwPmPQPm6C4H2G9ZztEhkPkBOPAE9YHsgGOR9VkCWChHBVKKMIjiJOvxa7d/iPqmD/sGDQIqez4kt1oy8uYILL0EM1+SOUFigx27CQpMSIfHofS8gAWS94mN3UPU62kP9Rrdco3xazqAfdVWFfSMdIs</w:instrText>
      </w:r>
      <w:r>
        <w:rPr>
          <w:lang w:val="en-US"/>
        </w:rPr>
        <w:instrText xml:space="preserve">PLkvPVcCLUgFup9xJExY6ARM8FrFIE9nj9u6AIfhtD/s2Z9kQ1kgGrSO3B1QuJLjlJ47iKF+X4QcqSjoe9ZRLEwG2sR7qdv8Jv/ouf2I51JSduqxKW+O4Jz4dnaaMp1GQheB2hnAL0DoRrnICaJgX8Iwi7j34/REnWnbTlzLMN4qRmwH+tVqjeexWbrETcFsGaQpl9oAd+MhylGWOFDKhIsh4Qt</w:instrText>
      </w:r>
      <w:r>
        <w:rPr>
          <w:lang w:val="en-US"/>
        </w:rPr>
        <w:instrText xml:space="preserve">Mjdrf9WV5rVg4gLyAsaIyP7KJ+FNDAS51AutZd4TsJp9wR0g0ESyNQuxft7fbn5QuT1/0Adb5ky55q+SwBeRh1Es/zHTeEZnKGj3HiJdBwjyeyh2k3P6vTSuQnfk6N3PRUmrm4FbwEdApsBbsuBaIAsUMexhH3AlxWR0S7+SSf/XTmECs7sg5VUrPfyOQAKpQKmR/Ar4jiaoiZcpKESifyJXVxOwcs7N2HdvOzoLperlm1OZVmjDoM9vSQecxj5U</w:instrText>
      </w:r>
      <w:r>
        <w:rPr>
          <w:lang w:val="en-US"/>
        </w:rPr>
        <w:instrText xml:space="preserve">YBCkchwLFSDqeZcGQYqRCayULZR96fcKIbj2SjHiJ/qFr7v6BjAxB6IaNhHDtRHIaQyBBRlugzIiGyBO2HF9Ee7Hb7CX8nnx8xuNJk0hSMfB6AY7RRudqQ7fodlzOlpIJUBfAPOs1jKFfsOkEmOVWuH2WsV7q7E06o9Yhb+oF1NHoccfRC//m3g5moEcvcrMnsyLQo8SlLY2rlKtvJRyZjR/JQuejPPB5n/dAPjjphQF/HOhlZn8jYhbTzXdcP9W</w:instrText>
      </w:r>
      <w:r>
        <w:rPr>
          <w:lang w:val="en-US"/>
        </w:rPr>
        <w:instrText xml:space="preserve">SMpr6Uke+g0wvAeEuBhAegfYy+EJaoqHdPHo54Vk5McUI+Vve0JJGBj/NxVYSCIv5KOCmFfLmZH3IISRyqXl1j77NCwtp8SDi0qaUd+o9Skvk08RUgaeLCzUwyJ3W9wPF4SlWUUugX7VFud8DzbV+FwWqA/JktFqZ81PilKggCjprOmL0nvDBzUs6V46lIgHQ8ilVyRN4f8DxyqdVJ3zdT6Pi7GaQHntCYRi5660AkKQrcJpZ7uC2ohJ7b9uuRtB</w:instrText>
      </w:r>
      <w:r>
        <w:rPr>
          <w:lang w:val="en-US"/>
        </w:rPr>
        <w:instrText xml:space="preserve">yOGP2BuURonPxqg0bgHl/uXgmhLzXQ9vHCmEWuxsIU+0d/X+YvVflNXr38pmyLl777jT2gfvm/vUu6R9sBtPeqVqxCYzXZvgvavplpNiv7b8S7u18n7z9cTq8v7ONC2Ef9N0U54yrfDVfWhntUbzdI2Jc3TmGnhN0YNdrNW2M7NNlRzaxt8EF0f5oEry+iiZe+ovQinoReGvi+d/H6dei6U3sJPJi8Law53pY55aK1bc35SNlLRth/qdjE0MiP0f</w:instrText>
      </w:r>
      <w:r>
        <w:rPr>
          <w:lang w:val="en-US"/>
        </w:rPr>
        <w:instrText xml:space="preserve">PTiI7jgHpJYk3eNuXHV2JNxbbvnFxkzpp8g8YYJ/k8daGJAldSEFGFESWLXbQXrkQfGduo1HBEqF0f5gqV+HHmUGl1FaMcdA1MTyJB41TEoeCBfd9oxMUXIM5Yw+xbLl2/NpXSC8x7Gdim7PB3WV5rXuEaGZ03Vds9ujbCBmy3pAvURcG0jeHK/rtpfF+xtW5++3Fhn1pm7OP5jnVxuuv+KXW1XTX6449f/gvHWGVU&lt;/data&gt; \* MERGEFORMAT</w:instrText>
      </w:r>
      <w:r>
        <w:fldChar w:fldCharType="separate"/>
      </w:r>
      <w:r>
        <w:rPr>
          <w:color w:val="000000"/>
          <w:highlight w:val="white"/>
          <w:vertAlign w:val="superscript"/>
          <w:lang w:val="en-US"/>
        </w:rPr>
        <w:t xml:space="preserve">22</w:t>
      </w:r>
      <w:r>
        <w:rPr>
          <w:color w:val="000000"/>
          <w:highlight w:val="white"/>
        </w:rPr>
        <w:fldChar w:fldCharType="end"/>
      </w:r>
      <w:r>
        <w:rPr>
          <w:color w:val="333333"/>
          <w:highlight w:val="white"/>
          <w:lang w:val="en-US"/>
        </w:rPr>
        <w:t xml:space="preserve">. However, no Kabuki-like symptoms could be observed questioning a disease association of the variant identified. The second case is a </w:t>
      </w:r>
      <w:r>
        <w:rPr>
          <w:color w:val="333333"/>
          <w:highlight w:val="white"/>
          <w:lang w:val="en-US"/>
        </w:rPr>
        <w:t xml:space="preserve">two year old</w:t>
      </w:r>
      <w:r>
        <w:rPr>
          <w:color w:val="333333"/>
          <w:highlight w:val="white"/>
          <w:lang w:val="en-US"/>
        </w:rPr>
        <w:t xml:space="preserve"> boy with mild motor delay and muscular hypotonia who was included in TRANSLATE-NAMSE due to a suspected neuromuscular disorder. Similarly, no Kabuki Syndrome associated features could be observed. </w:t>
      </w:r>
      <w:r/>
    </w:p>
    <w:p>
      <w:pPr>
        <w:jc w:val="both"/>
        <w:spacing w:lineRule="auto" w:line="240" w:after="240" w:before="240"/>
        <w:rPr>
          <w:color w:val="333333"/>
          <w:highlight w:val="white"/>
          <w:lang w:val="en-US"/>
        </w:rPr>
      </w:pPr>
      <w:r>
        <w:rPr>
          <w:color w:val="333333"/>
          <w:highlight w:val="white"/>
          <w:lang w:val="en-US"/>
        </w:rPr>
        <w:t xml:space="preserve">For a functional assessment of the variants, DNA methylation of these two cases along with positive (confirmed diagnosis of Kabuki syndrome) and negative controls was analyzed with EPIC arrays as previously described </w:t>
      </w:r>
      <w:r>
        <w:fldChar w:fldCharType="begin"/>
      </w:r>
      <w:r>
        <w:rPr>
          <w:lang w:val="en-US"/>
        </w:rPr>
        <w:instrText xml:space="preserve">ADDIN paperpile_citation &lt;clusterId&gt;W713D161Z451W174&lt;/clusterId&gt;&lt;metadata&gt;&lt;citation&gt;&lt;id&gt;BA2B3F104D1211ECA4A884C6CB680507&lt;/id&gt;&lt;/citation&gt;&lt;/metadata&gt;&lt;data&gt;eJzNWdtu3Mh2/ZWCHiY20GwX76QHRqKbbVmWjzD2zAAeHAyKdemu02xWo8iW3Br4X84B8</w:instrText>
      </w:r>
      <w:r>
        <w:rPr>
          <w:lang w:val="en-US"/>
        </w:rPr>
        <w:instrText xml:space="preserve">hnnzch/ZW32jWrZGicIkvhFFlX7vvbau8jf/jj63aqj50cnx9FJ/DLkyVkYheH56XFyXBTJaXZ6khU85fnR6EgtF7+3UxHidJVHWV6EoSmSKClNzCuVlIlI06IUlTR5kSS5NiqB1Eyvbp1XLaQurz5EJz8yMdFMdMw1re5+ZGrVdq6x4kemF7a1k0Z0S69/ZHOnNHOG2Waqve1EIzW0LX199Py3o2nXLZ4/e6Y+jZWzY+cnz0I+DnkZP6u8sM0zc</w:instrText>
      </w:r>
      <w:r>
        <w:rPr>
          <w:lang w:val="en-US"/>
        </w:rPr>
        <w:instrText xml:space="preserve">SuqOOMQoJMtjt7e3o4bWdlxU8/HjZ2OJ+7m2WJZzbV6FidpybMiHRxf/+WhxO7oX5EPZxHUtwxDQ23bqUZy/ziau6ab4nBJaRQr/C+mMystPP4f8Sg8+jw6sm3b/C7qjrQmGQ+iMM1wqrNdralEtXOKnb07ZnPdTVe16Kxr2MK7G6t0y0TDhJRLLzrNKuvmws+0pwz2aQ+8hoBWu3zjvIKwVlZ27boYsCWqtvNCkgtn24MWuunkjah1043YVHfau</w:instrText>
      </w:r>
      <w:r>
        <w:rPr>
          <w:lang w:val="en-US"/>
        </w:rPr>
        <w:instrText xml:space="preserve">4lutFu2qNONnuM5U7ZFnWFSTgWpQNXuYK9aoYQ3rl42nfC2XjFRNc7PRc0WrqVSt2N2snW3JX/3HnrNGtc5b2EIkrWQM9tMxuy19noEp/ZhwkevF85ThMZ5NrWkQ7N61Vr8WCcMkTWt0V60mj3ps/I0UNpYaXv/N2ZJca2FgiXWLqtutQBcUcAJ66YasSiLfC9FDYc8eYg/UTKs3GlARBcduxUtQzrszToJYrGoV6RTQOuCXGU3WiI4NhdySk52j</w:instrText>
      </w:r>
      <w:r>
        <w:rPr>
          <w:lang w:val="en-US"/>
        </w:rPr>
        <w:instrText xml:space="preserve">mo47ALKRhjGfc1PF69YazsU+nZq5XQET1jVI0Lqum5HrJ26W5giYYuYBEKCLnjm5jq4BUSYaFsn7Ro2t7abrpHBtimQqx4TaE2E33Ys/MRqNwmMqxXVtJn0/gywN2YfkGcmayiGSZSBYt6D0MHE7VQ3DF5TYWCWUkjI8X39F8sNiMkufrRivqgpQnLuRvR1Z9ACzTsnre5BQorW4ekOqd/k0K9G+AuEUB53S9kmMJBsYztUghGIl2ubUEImkKde4</w:instrText>
      </w:r>
      <w:r>
        <w:rPr>
          <w:lang w:val="en-US"/>
        </w:rPr>
        <w:instrText xml:space="preserve">RIE4zv08CCDUveeIXdNZ01fvQWENYncTh2srqj/jO2Y8W4OQ3rBeiJgbWfnm+gIUFM7mQIw7VJK3bZmWbPOa9H1jYPT6xZ9iMUxuxq0OmXXNhKCLbK5FbtXv44i7zGzwwtVSTPptNlob3ehb/NAyVw3Zd+yQ3qp9Y2uW1KMQ+ibNQRF3Tq20N4AwQhrhwDVq7pXxkdCc16DPPyoF5pr8Z2+SOe3ZHYL6K/NkNhwsNwjkicL9oLxMefxUxawSlMhg</w:instrText>
      </w:r>
      <w:r>
        <w:rPr>
          <w:lang w:val="en-US"/>
        </w:rPr>
        <w:instrText xml:space="preserve">Q/ijQPQkVrm6Ll09Bi/LQhinsAQ9NBqtb/p+3hDi0SgridaMCCVZuMAIaeFxxheqzF7b+e2Fr4GQIEWAk6fQwPY9bHBERCJJbLbMI3XEvlCdnVzA0oAm6kBaLa8Pqx+T7VTW9ltXQ9mxZgIHiio15UHx180wGm37PrOfqeXPa27uZUte3Lx7tXTEai2nk9d3d2xjzDrl3N29eWfjURXj9grjTI17CfgQng5Zac4gZxSy53DZ+8achWd/lpjqoGyi</w:instrText>
      </w:r>
      <w:r>
        <w:rPr>
          <w:lang w:val="en-US"/>
        </w:rPr>
        <w:instrText xml:space="preserve">jTPErKDjq60n2xVID9b4303v0fh9Lxlx40gAm/ZK++WixH7/+PuPU9eL0nvq7XzYOIPWk4xD6Dp5wak49EzKzp3tWx65n4vp87V/RNCD3gLtsIsT3cndnZ2zkJTh46ptQSrwOEFSGluHQh69b8X9ZleCL/DX1+AtQOnGPnUQ/t4RyzECHkp4O4m+E2ofV+82oyAQX5eu3ZhyQ90wrUXkyWSglWU8WL36+kdEotI+tVKPuLOMWWRFpkW3RinI5bxi</w:instrText>
      </w:r>
      <w:r>
        <w:rPr>
          <w:lang w:val="en-US"/>
        </w:rPr>
        <w:instrText xml:space="preserve">KNmTVv5pZzhwBJ/JQ76porrMXuDrhUGPDm7FxdPeBiyS9daCZ/e1+5GzB5V9bUg347ZNWYsDv03FH7EOoWpulU2YmXGebh5/F0ajttZjenpWqrQdFZjPM6AmvedUJ13CjsQBwiy4YM/B8F9sL/VdnFnJxReyOP9rzs9g+M9NpCVDTZfOd11oEEK5hvWehRd056JibBsg3NELoLLPpARi5MwKtgllb8eeu7H7AbM+FosAT+A1tbK6+Zf2kEq3y7Vr</w:instrText>
      </w:r>
      <w:r>
        <w:rPr>
          <w:lang w:val="en-US"/>
        </w:rPr>
        <w:instrText xml:space="preserve">Z0EV+ITETa2gzYYFr/gcZw/bNP7Xl4jHAF8yW9k56uGoTliH7/8068pAtPoTvsaYY7ZX7BWN+2uSm9tczdiJ8LP0aHIqSZCuaUVyyNhABPfHPkGynvzB6nEmiEqh64aUNKAKfYR0eFjBaC1NJ0Gp7+G8tcaLFWvSSQrQ/Tg8Mn3kele4l4XPqJuw3gD98+sqDTtLTsWfHL28ezp9zP8/w3dglWtf2h+7xlp3fbORWNoa+pH/7V3tGaihUb93Qr7y</w:instrText>
      </w:r>
      <w:r>
        <w:rPr>
          <w:lang w:val="en-US"/>
        </w:rPr>
        <w:instrText xml:space="preserve">7rM9xVtRTcs/Tj4v/x7NwizCOP8K32w83g4zv9nJ+L6ATutl+02sdt1YQ/pJ+9X75DL1dNveYpNiO418OTo+W+4y//NLT2WDSzmNd20aYV/jvVu85gca7bKIbp5C5LkXEsem7hIirjKdBgXaZWXhgudC8MLnocq0xG9BaGrPSQ451lQlCld/sWymzpc/3/746i/nWAfxIl35Jn1Ld3A34k70dim95VK29HLhKMr6+9EgIx5bQEYRhLrdzhC5XFiE</w:instrText>
      </w:r>
      <w:r>
        <w:instrText xml:space="preserve">hWkutAB12kZVELJIC4yHcdlnKUlvUPBst491HP0eXTPkauBI1fIndD1gSMfaRpf7ayrUGuwYxRIWUUBz3kSVFVmgjguyrzKs0KYcG+dhA9N/jQw+ZPzqwN7v1pszGitvcWcZ2XBw4BHogh4qKq</w:instrText>
      </w:r>
      <w:r>
        <w:instrText xml:space="preserve">gjIwJClNlaZFrEcl8b3Etfmjzw8Am7klet+LA7InHtOjYh53ZTMaJNnESFChvwKs8DESUJkFWqqQ00sgozPZm1+KPZhdNK9rDYMWEZtQ+vWkqjC4LGeQRWY2yKKi0RLZDFaVRqlUUy0GwvfjjCUbRuwOrb/oFa2ezNDpMElMFqKNCSWUYlGkeB7zETbdSiSnkwOabr5T0/cDi+1V9Yx9k12GSTNn7nc24kllS5DyQSQmbSSiCMk95UPIEEJZ5nmb</w:instrText>
      </w:r>
      <w:r>
        <w:instrText xml:space="preserve">pILu9+J9kV//twOh//H3m/M2XfzR6NsgwL00k05gHuioApyhC++QF6qpUYWSWZ9kQTgMdh+bfDMy/wYkD6++0XHz5R83e7CyHSWxSo6MgLCQsy8IEgosoKCse5zqLTFgN8ryRP7R6NrB6Jm6g+ABRGtdTdrYzKqWSPKySICmjCjBOq0DkugiiKI7jRKRG3usekn60upgvuLse1vdXTRy1L2+WJlkpgWCAJ0d5IxVUoQ6DUEYyjFKjCsmHVr/CTCc</w:instrText>
      </w:r>
      <w:r>
        <w:rPr>
          <w:lang w:val="en-US"/>
        </w:rPr>
        <w:instrText xml:space="preserve">Dqye4XR/yo6uxDE7FEnZP9u3DhZEi4igp6spVnCHaJA+kyE0hVCqlEANu3Os4tH46sH5ai6V6AOkPWO1mt4KmCzvdOWB0BTCX6KWUGCuhQSAL+BOrpOBFmmgZ7x0Y6Dh04HyI7vO2fzt2dZgDQW/jzvfYLpIqrGJdon85io1qB6JMVaDAziLOCPEDhPXih3YvBmYvmol70Mh+MvFCG80u9maL0q</w:instrText>
      </w:r>
      <w:r>
        <w:rPr>
          <w:lang w:val="en-US"/>
        </w:rPr>
        <w:instrText xml:space="preserve">hIwCyKG/C00pgJeRUkmJRElXlmomEzb1Uc2r4c2L4UHW6bD5H2i61rdrnnrqosTKRTwEuhpzCjgzIsqiDLw6LQGU9MNIA3CR8aPR4YPW5A4p0+MPlayJlu+t30eB+zqooK8QagZVClxDwutZRBmpZVXCgMJTMwvFdxaP6XgflfNBZHOzsM+RojbeoMSv3LfihWWidRhd4qckVANzAfAuhGI2YJMtOD6bTTcGj954H1nz3WkEPbl667E9pb5Zbs53</w:instrText>
      </w:r>
      <w:r>
        <w:rPr>
          <w:lang w:val="en-US"/>
        </w:rPr>
        <w:instrText xml:space="preserve">3wVSpB2SLIsAURh8qgUOg6Y5JChGFSyiHOBjoeonzYaOc3gl3RG0tsmN5i/X1QfboCCVvRu+q16JZuTFVJXgQKG1nARcaJWdF1hdSqzLWJhgDcK3mU0pf1g2y8dkBtrQecngB/hTZlkJclD3iWYTkJI6wKElmoUlUKM+j3jfyjg0zjNmgPIfgrcUSPn3vbQqRyxTV6Tmqa3CHiLqssDBR60CTYxUIzWAWHSh7lu3XyxeFEe2X15B7Z6RKV12C3PI</w:instrText>
      </w:r>
      <w:r>
        <w:rPr>
          <w:lang w:val="en-US"/>
        </w:rPr>
        <w:instrText xml:space="preserve">0BgxJkJ3iF3AtamJUowmhgfi3+X2+/a/oQ1Q5aTxghE8MRcJzCbCKJ75QI4ihUYZUWWGWKAfZ78ccXQjd/sJldadu/nPCDlTCnoVkorA5GwTrAj6UFFTdcxlrIKsuHPb/T8OhkE74S/iswp9/scLQVmQHfmCiIEwWMq6zA2k8rhDRpGqcx8i3vYXyt4U8h3jzAmm1muPqKphngXFRxpQGoIMyrkkJX2IvjkHZEo4F9DLpquIRvVTxK8a7x4nB/+Y</w:instrText>
      </w:r>
      <w:r>
        <w:rPr>
          <w:lang w:val="en-US"/>
        </w:rPr>
        <w:instrText xml:space="preserve">v+hAbbE3xSlkJycJzKsSPyooxB9UkVhIkoMow6/Bu0di999BlXPWmh72T1Fp7g+eZLMpZIVws/njg3qfVYuvn20b9O6xe6+aH2L35olvMXMf+BFLQvvv8T9Mw25O/ulcCxx6W41utvxPR5kbB4/fvxTx8uTt+e9y5Xur5/MT3aXEqP1v7PNH1DPrjB0WfkoDI44m5p+QdtxqdF8vI8O47KkzA8z4/TqExwRTt/+TLl/HS9aDWTpZiQD7rXTl8YKN</w:instrText>
      </w:r>
      <w:r>
        <w:rPr>
          <w:lang w:val="en-US"/>
        </w:rPr>
        <w:instrText xml:space="preserve">9hFse8iNOMj/MkBr7h7ny9oe8/l9Mr1v4TN0dVyLErlfYj0BQFV7rIcfVMshCTOOHYMTKTJOAiuhC3iEvqDYTKRKkwL4JEYFhySTdH7Nq4cKRRGGVpleQEBuXk+SdYPBOdoI/qtn3pEPkEF2sDDGm6ZV80by3yj7vj884v+0dvnaT8bY70qTkH/imlC2KA8cwLetv2bxN6SqXfZvCdmOstT7DL9amjz5//+p8Quu1M&lt;/data&gt; \* MERGEFORMAT</w:instrText>
      </w:r>
      <w:r>
        <w:fldChar w:fldCharType="separate"/>
      </w:r>
      <w:r>
        <w:rPr>
          <w:color w:val="000000"/>
          <w:highlight w:val="white"/>
          <w:vertAlign w:val="superscript"/>
          <w:lang w:val="en-US"/>
        </w:rPr>
        <w:t xml:space="preserve">23</w:t>
      </w:r>
      <w:r>
        <w:rPr>
          <w:color w:val="000000"/>
          <w:highlight w:val="white"/>
        </w:rPr>
        <w:fldChar w:fldCharType="end"/>
      </w:r>
      <w:r>
        <w:rPr>
          <w:color w:val="333333"/>
          <w:highlight w:val="white"/>
          <w:lang w:val="en-US"/>
        </w:rPr>
        <w:t xml:space="preserve">. First, CpG sites which showed significant epigenome-wide association with Kabuki syndrome were identified in an epigenome-wide association. Second, a support vector machine (SVM) was employed to the epi-signature to distinguish between variants with </w:t>
      </w:r>
      <w:r>
        <w:rPr>
          <w:color w:val="333333"/>
          <w:highlight w:val="white"/>
          <w:lang w:val="en-US"/>
        </w:rPr>
        <w:t xml:space="preserve">an</w:t>
      </w:r>
      <w:r>
        <w:rPr>
          <w:color w:val="333333"/>
          <w:highlight w:val="white"/>
          <w:lang w:val="en-US"/>
        </w:rPr>
        <w:t xml:space="preserve"> Kabuki-like methylation pattern and those without. Int</w:t>
      </w:r>
      <w:r>
        <w:rPr>
          <w:color w:val="333333"/>
          <w:highlight w:val="white"/>
          <w:lang w:val="en-US"/>
        </w:rPr>
        <w:t xml:space="preserve">erestingly, both cases yielded a SVM score &lt; 0,10 indicating that the variant has no typical effect on DNA methylation. Based on these findings the variants could be reclassified to “variant of uncertain” applying the ACMG criterion “BS3: Well-established </w:t>
      </w:r>
      <w:r>
        <w:rPr>
          <w:i/>
          <w:color w:val="333333"/>
          <w:highlight w:val="white"/>
          <w:lang w:val="en-US"/>
        </w:rPr>
        <w:t xml:space="preserve">in vitro</w:t>
      </w:r>
      <w:r>
        <w:rPr>
          <w:color w:val="333333"/>
          <w:highlight w:val="white"/>
          <w:lang w:val="en-US"/>
        </w:rPr>
        <w:t xml:space="preserve"> or </w:t>
      </w:r>
      <w:r>
        <w:rPr>
          <w:i/>
          <w:color w:val="333333"/>
          <w:highlight w:val="white"/>
          <w:lang w:val="en-US"/>
        </w:rPr>
        <w:t xml:space="preserve">in vivo</w:t>
      </w:r>
      <w:r>
        <w:rPr>
          <w:color w:val="333333"/>
          <w:highlight w:val="white"/>
          <w:lang w:val="en-US"/>
        </w:rPr>
        <w:t xml:space="preserve"> functional studies show no damaging effect on protein function or splicing”. Of note, Supplementary Figure 5 displays a case with a SVM score &gt;0.3 but &lt; 0.5. This case was found to have a pathogenic </w:t>
      </w:r>
      <w:r>
        <w:rPr>
          <w:i/>
          <w:color w:val="333333"/>
          <w:highlight w:val="white"/>
          <w:lang w:val="en-US"/>
        </w:rPr>
        <w:t xml:space="preserve">KMT2D</w:t>
      </w:r>
      <w:r>
        <w:rPr>
          <w:color w:val="333333"/>
          <w:highlight w:val="white"/>
          <w:lang w:val="en-US"/>
        </w:rPr>
        <w:t xml:space="preserve"> variant as </w:t>
      </w:r>
      <w:r>
        <w:rPr>
          <w:color w:val="333333"/>
          <w:highlight w:val="white"/>
          <w:lang w:val="en-US"/>
        </w:rPr>
        <w:t xml:space="preserve">high grade</w:t>
      </w:r>
      <w:r>
        <w:rPr>
          <w:color w:val="333333"/>
          <w:highlight w:val="white"/>
          <w:lang w:val="en-US"/>
        </w:rPr>
        <w:t xml:space="preserve"> mosaicism in blood DNA. </w:t>
      </w:r>
      <w:r/>
    </w:p>
    <w:p>
      <w:pPr>
        <w:pStyle w:val="643"/>
        <w:rPr>
          <w:highlight w:val="white"/>
          <w:lang w:val="en-US"/>
        </w:rPr>
      </w:pPr>
      <w:r/>
      <w:bookmarkStart w:id="11" w:name="_Toc90629822"/>
      <w:r>
        <w:rPr>
          <w:highlight w:val="white"/>
          <w:lang w:val="en-US"/>
        </w:rPr>
        <w:t xml:space="preserve">Comparison of reported disease genes in TRANSLATE-NAMSE to other cohorts</w:t>
      </w:r>
      <w:bookmarkEnd w:id="11"/>
      <w:r/>
      <w:r/>
    </w:p>
    <w:p>
      <w:pPr>
        <w:jc w:val="both"/>
        <w:spacing w:lineRule="auto" w:line="240" w:after="240" w:before="240"/>
        <w:rPr>
          <w:highlight w:val="white"/>
          <w:lang w:val="en-US"/>
        </w:rPr>
      </w:pPr>
      <w:r>
        <w:rPr>
          <w:highlight w:val="white"/>
          <w:lang w:val="en-US"/>
        </w:rPr>
        <w:t xml:space="preserve">In the German healthcare system, genetic testing of the more common amongst the rare disorders is performed with gene panels, </w:t>
      </w:r>
      <w:r>
        <w:rPr>
          <w:highlight w:val="white"/>
          <w:lang w:val="en-US"/>
        </w:rPr>
        <w:t xml:space="preserve">e.g.</w:t>
      </w:r>
      <w:r>
        <w:rPr>
          <w:highlight w:val="white"/>
          <w:lang w:val="en-US"/>
        </w:rPr>
        <w:t xml:space="preserve"> for retinitis pigmentosa, or hearing impairment.</w:t>
      </w:r>
      <w:r/>
    </w:p>
    <w:p>
      <w:pPr>
        <w:jc w:val="both"/>
        <w:spacing w:lineRule="auto" w:line="240" w:after="240" w:before="240"/>
        <w:rPr>
          <w:highlight w:val="white"/>
          <w:lang w:val="en-US"/>
        </w:rPr>
      </w:pPr>
      <w:r>
        <w:rPr>
          <w:highlight w:val="white"/>
          <w:lang w:val="en-US"/>
        </w:rPr>
        <w:t xml:space="preserve">For a comparison with other </w:t>
      </w:r>
      <w:r>
        <w:rPr>
          <w:highlight w:val="white"/>
          <w:lang w:val="en-US"/>
        </w:rPr>
        <w:t xml:space="preserve">cohorts</w:t>
      </w:r>
      <w:r>
        <w:rPr>
          <w:highlight w:val="white"/>
          <w:lang w:val="en-US"/>
        </w:rPr>
        <w:t xml:space="preserve"> we first ordered all diagnostic grade genes (DGGs) by the frequency of submissions of pathogenic and likely pathogenic variants to </w:t>
      </w:r>
      <w:r>
        <w:rPr>
          <w:highlight w:val="white"/>
          <w:lang w:val="en-US"/>
        </w:rPr>
        <w:t xml:space="preserve">ClinVar</w:t>
      </w:r>
      <w:r>
        <w:rPr>
          <w:highlight w:val="white"/>
          <w:lang w:val="en-US"/>
        </w:rPr>
        <w:t xml:space="preserve">. Disorders caused by genes in the first quartile such as </w:t>
      </w:r>
      <w:r>
        <w:rPr>
          <w:i/>
          <w:highlight w:val="white"/>
          <w:lang w:val="en-US"/>
        </w:rPr>
        <w:t xml:space="preserve">USH2A</w:t>
      </w:r>
      <w:r>
        <w:rPr>
          <w:highlight w:val="white"/>
          <w:lang w:val="en-US"/>
        </w:rPr>
        <w:t xml:space="preserve">, </w:t>
      </w:r>
      <w:r>
        <w:rPr>
          <w:i/>
          <w:highlight w:val="white"/>
          <w:lang w:val="en-US"/>
        </w:rPr>
        <w:t xml:space="preserve">ABCA4</w:t>
      </w:r>
      <w:r>
        <w:rPr>
          <w:highlight w:val="white"/>
          <w:lang w:val="en-US"/>
        </w:rPr>
        <w:t xml:space="preserve">, and </w:t>
      </w:r>
      <w:r>
        <w:rPr>
          <w:i/>
          <w:highlight w:val="white"/>
          <w:lang w:val="en-US"/>
        </w:rPr>
        <w:t xml:space="preserve">BMPR2, </w:t>
      </w:r>
      <w:r>
        <w:rPr>
          <w:highlight w:val="white"/>
          <w:lang w:val="en-US"/>
        </w:rPr>
        <w:t xml:space="preserve">are more prevalent than phenotypes associated with genes in the 4th quartile. We also </w:t>
      </w:r>
      <w:r>
        <w:rPr>
          <w:highlight w:val="white"/>
          <w:lang w:val="en-US"/>
        </w:rPr>
        <w:t xml:space="preserve">noted the year in which phenotype-gene associations were first reported to assess since when a diagnosis could be established. We then compared the characteristics of the variants identified to TRANSLATE-NAMSE to a cohort reported by Turro, et al in 2020. </w:t>
      </w:r>
      <w:r/>
    </w:p>
    <w:p>
      <w:pPr>
        <w:jc w:val="both"/>
        <w:spacing w:lineRule="auto" w:line="240" w:after="240" w:before="240"/>
        <w:rPr>
          <w:highlight w:val="white"/>
          <w:lang w:val="en-US"/>
        </w:rPr>
      </w:pPr>
      <w:r>
        <w:rPr>
          <w:highlight w:val="white"/>
          <w:lang w:val="en-US"/>
        </w:rPr>
        <w:t xml:space="preserve">Turro, </w:t>
      </w:r>
      <w:r>
        <w:rPr>
          <w:i/>
          <w:highlight w:val="white"/>
          <w:lang w:val="en-US"/>
        </w:rPr>
        <w:t xml:space="preserve">et al.</w:t>
      </w:r>
      <w:r>
        <w:rPr>
          <w:highlight w:val="white"/>
          <w:lang w:val="en-US"/>
        </w:rPr>
        <w:t xml:space="preserve"> subjected 9,802 individuals with a suspected rare disease to WGS and reported pathogenic or likely pathogenic variants in 1,138 cases. About a quarter of these variants were assigned to genes with a high disease prevalence (</w:t>
      </w:r>
      <w:r>
        <w:rPr>
          <w:b/>
          <w:highlight w:val="white"/>
          <w:lang w:val="en-US"/>
        </w:rPr>
        <w:t xml:space="preserve">Supplemental Figure 6 and 7</w:t>
      </w:r>
      <w:r>
        <w:rPr>
          <w:highlight w:val="white"/>
          <w:lang w:val="en-US"/>
        </w:rPr>
        <w:t xml:space="preserve">). In contrast, in the TRANSLATE-NAMSE cohort most disease genes are ultra-rare, and more frequent diagnoses were underrepresented. Th</w:t>
      </w:r>
      <w:r>
        <w:rPr>
          <w:highlight w:val="white"/>
          <w:lang w:val="en-US"/>
        </w:rPr>
        <w:t xml:space="preserve">e enrichment for ultra-rare diagnosis can be explained by gene panel sequencing that has been performed in advance to ES. Most of the diagnoses established in the TRANSLATE-NAMSE cohort also required medical knowledge that was generated in the last decade.</w:t>
      </w:r>
      <w:r/>
    </w:p>
    <w:p>
      <w:pPr>
        <w:pStyle w:val="643"/>
        <w:rPr>
          <w:highlight w:val="white"/>
          <w:lang w:val="en-US"/>
        </w:rPr>
      </w:pPr>
      <w:r/>
      <w:bookmarkStart w:id="12" w:name="_Toc90629823"/>
      <w:r>
        <w:rPr>
          <w:highlight w:val="white"/>
          <w:lang w:val="en-US"/>
        </w:rPr>
        <w:t xml:space="preserve">Predictor for diagnostic yield</w:t>
      </w:r>
      <w:bookmarkEnd w:id="12"/>
      <w:r/>
      <w:r/>
    </w:p>
    <w:p>
      <w:pPr>
        <w:jc w:val="both"/>
        <w:spacing w:lineRule="auto" w:line="240" w:after="240" w:before="240"/>
        <w:rPr>
          <w:highlight w:val="white"/>
          <w:lang w:val="en-US"/>
        </w:rPr>
      </w:pPr>
      <w:r>
        <w:rPr>
          <w:lang w:val="en-US"/>
        </w:rPr>
        <w:t xml:space="preserve">1577 </w:t>
      </w:r>
      <w:r>
        <w:rPr>
          <w:highlight w:val="white"/>
          <w:lang w:val="en-US"/>
        </w:rPr>
        <w:t xml:space="preserve">cases with ES were analyzed by using the least absolute shrinkage and selection operator (LASSO). The dataset was randomly divided into a training set incorporating 1256 </w:t>
      </w:r>
      <w:r>
        <w:rPr>
          <w:highlight w:val="white"/>
          <w:lang w:val="en-US"/>
        </w:rPr>
        <w:t xml:space="preserve">cases (861 unsolved or unclear, 395 solved) and a test set incorporating 321 cases (222 unsolved or unclear, 99 solved). The binary response of a case being solved or not solved </w:t>
      </w:r>
      <w:r>
        <w:rPr>
          <w:lang w:val="en-US"/>
        </w:rPr>
        <w:t xml:space="preserve">was regressed on</w:t>
      </w:r>
      <w:r>
        <w:rPr>
          <w:highlight w:val="white"/>
          <w:lang w:val="en-US"/>
        </w:rPr>
        <w:t xml:space="preserve"> 49 subcategories of clinical features using the logit function as a link function and controlling for age, sex, sequencing laboratory, and the use of the PEDIA workflow (</w:t>
      </w:r>
      <w:r>
        <w:rPr>
          <w:lang w:val="en-US"/>
        </w:rPr>
        <w:t xml:space="preserve">https://github.com/Ax-Sch/TNAMSE_exomes/blob/main/resources/hpo_categorization_08_10_2021.txt</w:t>
      </w:r>
      <w:r>
        <w:rPr>
          <w:highlight w:val="white"/>
          <w:lang w:val="en-US"/>
        </w:rPr>
        <w:t xml:space="preserve">). The model was fitted on the training data and the penalty parameter was tuned via ten-fold cross-validation. The resulting model was then applied to the independent test set and validated its predictive performance using the Receiver Operator </w:t>
      </w:r>
      <w:r>
        <w:rPr>
          <w:highlight w:val="white"/>
          <w:lang w:val="en-US"/>
        </w:rPr>
        <w:t xml:space="preserve">Characsteristics</w:t>
      </w:r>
      <w:r>
        <w:rPr>
          <w:highlight w:val="white"/>
          <w:lang w:val="en-US"/>
        </w:rPr>
        <w:t xml:space="preserve"> (ROC) curve (Supplementary Figure 8). We then refitted the model on the whole cohort </w:t>
      </w:r>
      <w:r>
        <w:rPr>
          <w:lang w:val="en-US"/>
        </w:rPr>
        <w:t xml:space="preserve">of 1577 case</w:t>
      </w:r>
      <w:r>
        <w:rPr>
          <w:highlight w:val="white"/>
          <w:lang w:val="en-US"/>
        </w:rPr>
        <w:t xml:space="preserve">s and validated the resulting model on an external and independent cohort (Supplementary Figure 9). The results are available in a web service (</w:t>
      </w:r>
      <w:hyperlink r:id="rId17" w:tooltip="http://www.tnamse.de" w:history="1">
        <w:r>
          <w:rPr>
            <w:color w:val="1155CC"/>
            <w:u w:val="single"/>
            <w:lang w:val="en-US"/>
          </w:rPr>
          <w:t xml:space="preserve">www.tnamse.de</w:t>
        </w:r>
      </w:hyperlink>
      <w:r>
        <w:rPr>
          <w:highlight w:val="white"/>
          <w:lang w:val="en-US"/>
        </w:rPr>
        <w:t xml:space="preserve">). Users can specify the age, sex, and assigned HPO terms of their patient while the remaining</w:t>
      </w:r>
      <w:r>
        <w:rPr>
          <w:highlight w:val="white"/>
          <w:lang w:val="en-US"/>
        </w:rPr>
        <w:t xml:space="preserve"> confounders are estimated as the mean effect of the TRANSLATE-NAMSE cohort. The service provides a point estimate of the diagnostic yield as well as a relation to the densities of the diagnostic yields of TRANSLATE-NAMSE patients resulting from the model.</w:t>
      </w:r>
      <w:r/>
    </w:p>
    <w:p>
      <w:pPr>
        <w:pStyle w:val="643"/>
        <w:rPr>
          <w:highlight w:val="white"/>
          <w:lang w:val="en-US"/>
        </w:rPr>
      </w:pPr>
      <w:r/>
      <w:bookmarkStart w:id="13" w:name="_Toc90629824"/>
      <w:r>
        <w:rPr>
          <w:highlight w:val="white"/>
          <w:lang w:val="en-US"/>
        </w:rPr>
        <w:t xml:space="preserve">Gene length calculation</w:t>
      </w:r>
      <w:bookmarkEnd w:id="13"/>
      <w:r/>
      <w:r/>
    </w:p>
    <w:p>
      <w:pPr>
        <w:jc w:val="both"/>
        <w:spacing w:lineRule="auto" w:line="240" w:after="240" w:before="240"/>
        <w:rPr>
          <w:highlight w:val="white"/>
          <w:lang w:val="en-US"/>
        </w:rPr>
      </w:pPr>
      <w:r>
        <w:rPr>
          <w:highlight w:val="white"/>
          <w:lang w:val="en-US"/>
        </w:rPr>
        <w:t xml:space="preserve">The leng</w:t>
      </w:r>
      <w:r>
        <w:rPr>
          <w:highlight w:val="white"/>
          <w:lang w:val="en-US"/>
        </w:rPr>
        <w:t xml:space="preserve">ths of the coding sequences of genes were calculated based on CCDS (CCDS.current.txt file downloaded from https://ftp.ncbi.nih.gov/pub/CCDS/current_human/ on 22 July 2021). Genes causing diseases according to OMIM (n=4369) were obtained using the files gen</w:t>
      </w:r>
      <w:r>
        <w:rPr>
          <w:highlight w:val="white"/>
          <w:lang w:val="en-US"/>
        </w:rPr>
        <w:t xml:space="preserve">emap2.txt and mimTitles.txt, which were downloaded on 15 July 2021. Boxplots comparing all genes (n=18,598), OMIM disease causing genes (n=4,369), TRANSLATE NAMSE diagnostic grade genes (n=347) and TRANSLATE NAMSE research variants (n=56) are displayed in </w:t>
      </w:r>
      <w:r>
        <w:rPr>
          <w:b/>
          <w:bCs/>
          <w:highlight w:val="white"/>
          <w:lang w:val="en-US"/>
        </w:rPr>
        <w:t xml:space="preserve">Supplemental Figure 10</w:t>
      </w:r>
      <w:r>
        <w:rPr>
          <w:highlight w:val="white"/>
          <w:lang w:val="en-US"/>
        </w:rPr>
        <w:t xml:space="preserve">.</w:t>
      </w:r>
      <w:r/>
    </w:p>
    <w:p>
      <w:pPr>
        <w:pStyle w:val="643"/>
        <w:rPr>
          <w:b/>
          <w:highlight w:val="white"/>
          <w:lang w:val="en-US"/>
        </w:rPr>
      </w:pPr>
      <w:r/>
      <w:bookmarkStart w:id="14" w:name="_ua2fyp3zmtau"/>
      <w:r/>
      <w:bookmarkStart w:id="15" w:name="_Toc90629825"/>
      <w:r/>
      <w:bookmarkEnd w:id="14"/>
      <w:r>
        <w:rPr>
          <w:lang w:val="en-US"/>
        </w:rPr>
        <w:t xml:space="preserve">Secondary Findings</w:t>
      </w:r>
      <w:bookmarkEnd w:id="15"/>
      <w:r/>
      <w:r/>
    </w:p>
    <w:p>
      <w:pPr>
        <w:jc w:val="both"/>
        <w:spacing w:lineRule="auto" w:line="240" w:after="240" w:before="240"/>
        <w:rPr>
          <w:highlight w:val="white"/>
          <w:lang w:val="en-US"/>
        </w:rPr>
      </w:pPr>
      <w:r>
        <w:rPr>
          <w:highlight w:val="white"/>
          <w:lang w:val="en-US"/>
        </w:rPr>
        <w:t xml:space="preserve">Pathogenic (class 5) and likely pathogenic (class 4) variants were only reported if the patient had previously agreed on being informed about secondary findings (SF). The list of actionable genes was based on the recommendations by the ACMG v2.0 </w:t>
      </w:r>
      <w:r>
        <w:fldChar w:fldCharType="begin"/>
      </w:r>
      <w:r>
        <w:rPr>
          <w:lang w:val="en-US"/>
        </w:rPr>
        <w:instrText xml:space="preserve">ADDIN paperpile_citation &lt;clusterId&gt;Q851E217T598Q212&lt;/clusterId&gt;&lt;metadata&gt;&lt;citation&gt;&lt;id&gt;3E6EB25478650098B57E7C89FCDA04AD&lt;/id&gt;&lt;/citation&gt;&lt;citation&gt;&lt;id&gt;3C19409C6B7B0AC884AD0DBF5E9B07D2&lt;/id&gt;&lt;/cit</w:instrText>
      </w:r>
      <w:r>
        <w:rPr>
          <w:lang w:val="en-US"/>
        </w:rPr>
        <w:instrText xml:space="preserve">ation&gt;&lt;/metadata&gt;&lt;data&gt;eJzNWnlv3MiV/yqE/pgkgKpdvMlZDDZSS7ZnbDmG5cS7mASDYtVjN2M22eEhWQnmu+/vFclu9uGxZxa7CAwYLbLq3ffjj/+6+KkwF99e+LfR7bUXBnEShVKmyXUY38bLJH2+vLmSwdXNxeWF6bc/tWvl4nSYK1fGlLkm9SJXB5nnel6UpH6myFeJm8Yy9tIgxK2ibXvClRi/+6a8+PbHi3XXbb999sx8Wpi6WNTN6</w:instrText>
      </w:r>
      <w:r>
        <w:rPr>
          <w:lang w:val="en-US"/>
        </w:rPr>
        <w:instrText xml:space="preserve">pkrF670k2erYrPwpOsvYh/H+VyLg4+Pj4tKZ8WiKjeLqlgvVvXDs22fbcg88/w4Sbwg/eLxjX6mmq7QJbXP3t4t/djDv2B27etoGdCewt/R8TcIqi7A8Hk4EEf1kyo7PhD6Ukg/ivAYYMuiXRNU8a+LTV1161FkT6Qa/GQAFz9fXqg8L8pCdUVd4elN8VC0+OnUufOCKgJ77aVzQ1twuqGq4+d3ZApdVHTpXDfFaq02jqqM86HG+9+1zsu63RadK</w:instrText>
      </w:r>
      <w:r>
        <w:rPr>
          <w:lang w:val="en-US"/>
        </w:rPr>
        <w:instrText xml:space="preserve">u3Dl6p5UI0ZruDZvV7XdYmLddvV1aVzp9pW6XXfUtcBz5/vrxZOo1cNUfXH1Yh+wdJZD4AWZHqwoLK2a5Rmlr+vHF0WlYVOn0CDxYu7/LOlf/RUgdbVpdOtqSGnaB3lbOsOrBS4kdcNv3Aa0vWqKlgI9n5D2xqqrVbMbwEIBhdwHsdbHK2Map6cvKgMjrROXzVUqo6M09UWHL/QVqQWQ90YahgYv9vT5GS9ledmFM6DKnuyF7a4y8LWqqGF8x63r</w:instrText>
      </w:r>
      <w:r>
        <w:rPr>
          <w:lang w:val="en-US"/>
        </w:rPr>
        <w:instrText xml:space="preserve">jaAoFXlLOuypBXt9IB7k54s5S+Yc/7j91fLuxd/YM4AqXxydvZgBVAW+slpOxA9aHUmxRmB3Vp1Dm22a9UW/2T2mLcNi0ZV2tKgShrkxK8mskcpbOu2LTIYV/fER9ter0FO25ddCwk524Y6arvdLVO0um/Z+GAJO2r4iNXfiVpGUKN8wKyjttu6qDrL4oe6+cgHXzR1v2X+vt9r8fmkOFCxnBDd7oznxWA89zM51M5GfRzMZAOBGatbCDyroUIQs</w:instrText>
      </w:r>
      <w:r>
        <w:rPr>
          <w:lang w:val="en-US"/>
        </w:rPr>
        <w:instrText xml:space="preserve">sVfRVYSjlVqRZOnzCxnZyyPa6omntl0YBqrejRdqP7Ecpk/WO0hP2yCvR44ZX8WZY13eNpS1fYtZFtraiFHUFD2jBicOfWWrEH28NjOqghBwHOuqqoHhXdE3XCQBf1Q0KOTQXF914IHELiFpttBDwAP9GROBGINZq0eyMngwqyQpn7AOQDqJi1d1+zIzv2WdJEX2gI01KmiPAU4oOOrmdIfV+Adf1oC7XtY3+TC7Yl2cBcOb6jVTZEBNPt/Uc3MZ</w:instrText>
      </w:r>
      <w:r>
        <w:rPr>
          <w:lang w:val="en-US"/>
        </w:rPr>
        <w:instrText xml:space="preserve">Xd+pLuEOgG3bgqCBKkB5A0L5JxntEQfZybpbPpuFAHUbt18YA94dYkgB4hM59OWrNXxCY5vrQOf7EbiRk0TxwF1JhS167ovIUuaiMM95l6V5Z7GFTUb/Cbn92wNXdH1g6D+8MvRcW8nTNpfLyqAV+VfLyw7/aZuxPAEXpzZ0Fs8MCxVPrUDR0wE3v2dNBtJ0bBT0HCMwwQiFkc7+jShyYm9olWbLdLnwvmwi8H/pEEbQ7xmFRYwaSQpPUQJ1Sl25</w:instrText>
      </w:r>
      <w:r>
        <w:rPr>
          <w:lang w:val="en-US"/>
        </w:rPr>
        <w:instrText xml:space="preserve">y0HvcaGIWZpxz/YtQEHLpv3JeJe22+thj5nI7j8CPOudN03TCbzrxsaFMCk4/9qVTPNo1dZofdbBjHI6xQu+1dJCtFNWecCHQr3+oa5GnhgzjQHc3bjBZIadFVyWXNomyM8Rvm5pJTPwtnX5EIuDsBpy1VXFIrQ1ix5XSIS4dmPKDfGmiz2EhN4Ok6k57lBHKepL43vm1gGaeip1HeTQPu5wfW/Q3qwBhY5Lu4yEijajNXCt6CalQjaxsOTq3xNb</w:instrText>
      </w:r>
      <w:r>
        <w:rPr>
          <w:lang w:val="en-US"/>
        </w:rPr>
        <w:instrText xml:space="preserve">hvrHFsEpYnwIym5Dui7dY1i5sd/XRScvVXJTL1bMj9F03J98K7OELcc+4gtuOu4Irp4wSWGY08O1aorpU6kkQIVKGoolUiRJLERqD914Ge5JnJxGL7cTddRPR3g/eF+hvcHOB3suHLujzBfI9479uiAOPI8maWREnnqKiFjHQnlhkpoCuKI/FAFMtgj5tvHeD98mOH9oJ7g/B9O2K3Nk2MPDliDxM28VAXClzGwhkEqUGpHQieRF3rQqtYH7OL6M</w:instrText>
      </w:r>
      <w:r>
        <w:rPr>
          <w:lang w:val="en-US"/>
        </w:rPr>
        <w:instrText xml:space="preserve">dr7Obv3qlHrE15fKVSWzv2e2YByT5HrCzfwcyHTOBCZ8iPhRZEbua6XuZnao7XXj9Fev5uhvW6Qhpx3x2jrJnfsuQGrlEkI4WqRZBmYdaUrVGYgYpklbhSR1KGeYcXtY6TL1zOky3WDoK2c10do77gbgBW/3us2jAJXpbEI8xBGJUNXJFGqBMkoRvpUJk3SPeLh/jHqqznqq83TKVr9oi8QTK72eH2VEwVRJtxIJrCpmISK0ghmbUIZaniuH87wD</w:instrText>
      </w:r>
      <w:r>
        <w:rPr>
          <w:lang w:val="en-US"/>
        </w:rPr>
        <w:instrText xml:space="preserve">gCOEb97fepGx7jfoGDLFOqJd3vkXi7DJMxJRFkAaSuphUpNLEyeKJlnWZxltEc+QThxpru5M/UwhAp2fXeE/0+/u1FVQaVjj09CNyk8KBKxggRk6OUii1UuojxQylV+GGb5Hv8E4Rj/q9sZ/lfEEfz2GHmDtso49uSAOg2TPDOpQRChVMC6IpGGESQRJplPOZzZdmwTanv/GPHLudhfUmGKE6m/o/XGebmXeBy5fuYhbCWR9IQkkwulVSaSlJI0T</w:instrText>
      </w:r>
      <w:r>
        <w:rPr>
          <w:lang w:val="en-US"/>
        </w:rPr>
        <w:instrText xml:space="preserve">r</w:instrText>
      </w:r>
      <w:r>
        <w:instrText xml:space="preserve">Lc92dexbePkd7Nffmu0GsFmR578wfVtciJd3t3lnGUJh7cOXbjmFWdCHTrRrgpunm065Qks9g13P9l1KrRp3iLEurftHPMnpsmhHghfAX9SkLoTFMJwZuMkCCSKEtnLE8QjnG/fjHD/ZrasiDnxXG8RjVI+iPStj09StzzZWBMJuIgZAeDtSUuhUJHSodp7Mswntn4DsQx/hn2I6y/ut/bkRb6ic7y2BNRFLt</w:instrText>
      </w:r>
      <w:r>
        <w:instrText xml:space="preserve">CevD9zE9J5KRCN5Cww4SnAGPpgfrsN2H7GVWCLkDr9dProvoIGOMIpkWHX6pmsarrVUkLVDHTo/9cl99R9U3ZfPdN1W++8+U3DKD97mtnN2h/BuNv0fCglbwaZi/DqIMra7x8+/anq3fvv1++Zp/cbjQ/mk9mUOJTORY5jP0jPU3ZnBEJVC+7WmaqYxYsCi7Q6seKeHJy6y+T4PltdOWl1657G1+FXhr4vnf7/Hko5ZILk4e67DdkJzIWa7XqUXH</w:instrText>
      </w:r>
      <w:r>
        <w:instrText xml:space="preserve">hb1QNwMzlJasZOc/zolSGcpFKD2Qy0YN974dQqHKHMY6EipnoOxPihAoNsouKTOBLl5IAaVWmPinfKDc3CVPRghFNo8X6ce6r0BO5MgSz8Lm+CQOhgtDNyQtzN2Zkpta3n4DxBiUqD46K9nmNtmmFyiuHzRKXYd9Xr4usUQ1E1zW9ffS61iyw8YgV1O0GHR0Qb9HlN4uPjXosun/+ccVP2Someb5RVk5v+ZTzajh18TP7yZjKlm4ayHQZXcfX8mq</w:instrText>
      </w:r>
      <w:r>
        <w:instrText xml:space="preserve">JgHJ1I2+un4e36bWMb7zDKWKOyG+MylCXUp7FPlFEOcV+5PuZGwc6joxvjE260xTR+xVTxGjhpvJrx4gxxIs69cvzwGOonx0IThA/NxCcAJ0d/XkHo7+YR3+fmRxOjci7L/UgZ0ZhX9mCXPLkIRqaKBpGVc79c+fBW8g/fHt2QPX1rcJxWJwNC2+KFt14ASDf8hjgXN82jAxg8MRjjmKjmmJo3oCUTK/HuQMPfax3WalME7xxZInqcKCitu3emiD</w:instrText>
      </w:r>
      <w:r>
        <w:instrText xml:space="preserve">jNc/yuIN8KLjP4v50TeWWudpMj51/oFXk5nWC11LzUGjuj68Mt8Pc7Q7DtTOkFy36SW6nOwLFHIHQHUI3dr5So0uv6s6piDvYiam25xabJ3P8FM3bDnPddwA2DB/P4BpHEQwxIzt3Yq4gMjtHaKeuvyyZtS1kYFtnA3SDYHiqZycidiAwnR/EdfaoHQmwBBE6UUSoDPQbFK16mLo+8pC5zjoF05vmrAgs+xnh9xXPmIgHOrtpJShrChqGk6p6mkY</w:instrText>
      </w:r>
      <w:r>
        <w:instrText xml:space="preserve">2ek+BndkA/+UwFbCGjUJ0Yl9ttyCDZzY1a7lxENH4ck52jMmdbm9Wm9lIdIdi5yS6aHS/ae1Aled2kLadYI4TM/YrmAbP56Y5Kc+gGQzgLsbxJWgaTHc3xrCjaATzfsC+ngTX7kbefTvoyNnaJUaPDH2O8cc1Wa3gAWu76NjO2MvrytYrbJKI2WvAxIudwx5SVra1JU+Zh6Idx+Q8TwXEYpgjM0U2FhyCcR7Z80y9taPOyt6crG00l8li+W1rZ0R</w:instrText>
      </w:r>
      <w:r>
        <w:instrText xml:space="preserve">WwMVAnp3iWOPJ2ITZph6QgRTPalXOOce+ZNQwkm4g9XE3Z2t6M2pvh3USCA+abQlldWOtHKbETxtrsRv1xObXIV4NChiHdtPkXOO84lEgHUaLvfkv3tf816aGWNhAEGmNHcMfBGGexVmHoAOec1ycTwVtODwa+XEQ9i9/W2Cd9gvztQI71wbNIM80GcAw4YTwMhpp5mPtFxcqw4x2VeM96x8A7PEiH4LZMGN30IR/HMy5pWGKBldcrXnVMc4Guyk</w:instrText>
      </w:r>
      <w:r>
        <w:instrText xml:space="preserve">g827BLmE4kDR1v1o7kLqaKLdKe2AMNgUUPFiFUcAZ7UOWM5AgJ7BlKbtNaTgX8JtN3WTo0bqRNF6NcAifjZnbPhvEzvfmaFnu9zvmd0uJO8X0VNZODqf+7NIgqay37LazYaTuG7Wb3c8nk6MqHtjOCw7nH/YTcTtztocqejwAp5AOtjt40zwaf7Lqq1k1MOTvdhfdTusBxm+xWscah+VjcmkHI22LTweAeWNVPFi1jCHQ9kuOGzq2lml3jks7qtl</w:instrText>
      </w:r>
      <w:r>
        <w:instrText xml:space="preserve">MCs59Gxs9kS85NE9CmPP3uC7gKf0WLclu3K1rm5rZLHkaPcWjuilWBUfxk2pkSCt7EpUxxTQvzhGAR8sfxveb+mGYddbVMPT/j90v2OWQRDdEnQOtgK9CWdGOibQeFxaDpM05ER943TDHB+4wnSIjZ/p9jBgo2+XzcYXQUIee56B6Ow0Zg/UMWzon77t+mM+rdmAbjy9nc3TQCZvprZC2fTfomoU1BWymoIdun4YhPFM60jI2eHU1LRxB/7DxYyp</w:instrText>
      </w:r>
      <w:r>
        <w:instrText xml:space="preserve">Za3viTmKHjVYcuxw3dTwUmkEqvDDkBu5rVt2/tNL+5b312zE/I8mhG+ro0nkNM24QEvBziagA5qpCjacZ482nS15LLi6dF6rg4N9mfbNi6M0TekYzHj3cvr+F+BRnFeBdcpuZwWL+XDGq1grzDaz9vxE35r/OwNlv8f9XUGqEXls72HV/j9g8F6Z6KqHR45xisb6s+0GW7+mTas8C3wPaU8bP3yCIrCHSBn5ZKQ7Vy7XaUum8LEoo6eCPw7Mjmu/</w:instrText>
      </w:r>
      <w:r>
        <w:instrText xml:space="preserve">HzdhQvY8pbUbbG2sjj1ySLxEvTHP6ZcPnlcLu+qd1UTv3HC8OhDpImv2ED0w8n7FDi+KOkCtAdru5nJPxZmpBXtq+wrl/ahGWLp0Pql3DA6xMb5ZfECho42LBzCU7fJxxqKW3qqydq7Krz5jw1ynrCsWW2lgtXRd2oQr3ujz4PR75dWCbjygt1ZCH9p+XFNwjtex6HZpY512tYbfT2bMInqsNN0N7lv+P8Bx6ynFtBYtoaAUjGJX6zYTjwH7ewpi</w:instrText>
      </w:r>
      <w:r>
        <w:rPr>
          <w:lang w:val="en-US"/>
        </w:rPr>
        <w:instrText xml:space="preserve">HwDCcPh8gVIfkVq9w/i9FgwwGz14i1sKgB9hfUPm7Qq95ML2/PqL51TUitMy1cmvUSUy76jvYNdi8GQqazVAOTlTsPRSxkeAe1QoZ/8jgX9NjMUbMt1RV7VP5oGbW+Tm3mlFno/k5F//FSD/bn47J5TP7U+OFeaZdFXhhICPpqcDksVKJocAkiYllbsIkddW/2f70M4u9utHjNk3yLkv6wo29UP</w:instrText>
      </w:r>
      <w:r>
        <w:rPr>
          <w:lang w:val="en-US"/>
        </w:rPr>
        <w:instrText xml:space="preserve">hBEH5p7acyP3Sj1BNxpgMhtYpEBhJE4OtMuakJZRx9Ye33ar6OgYU/HQ/MDZWcfF7tl2CujBNXZ0J5FAkZRaFIvDgXka9lFscUKOntkY73T5acP8xlgRTdFM4PxxsC/gzFHhwQmyCVlBkpSIaekL4JhaIgEXEq8yBM/Cybb9/49slGd87tB5RpT5avUw34gZ+IMEqONbBc96iSPuyFkUjXzVMTCRXkGjQlocgiNxWhodyPeD+m4j1N9vrJDvRkBQ</w:instrText>
      </w:r>
      <w:r>
        <w:rPr>
          <w:lang w:val="en-US"/>
        </w:rPr>
        <w:instrText xml:space="preserve">qrPMJ7C6z7nXruxcbNyBVRGvgg2I1EEvtKUCYDSolkPF/S3J6i/OHtfAmouGV4e4zxgScM9uC4yI8TGUvSIvETqJ3CXCSkYqG9lJd/Mfidbbbt9WO0L+a7P5Rm5cnq7yU1ttLZr/5CEweks1REsd06JiBAu6EI00SHiYzi0M32aIf7J8Z2PTe2eruGF12f0bsnYNo+Ao8fHNPV59wbI0Ndz3buQZYkWSBMmCdCZppEGsESfJdSL0zTIAhm2+8Jwj</w:instrText>
      </w:r>
      <w:r>
        <w:rPr>
          <w:lang w:val="en-US"/>
        </w:rPr>
        <w:instrText xml:space="preserve">Ft7+cyeY+AY2VyTJkrwtCLRRTEJzGhJASz93uB+aFWIX/3IBEOhUxlIrJEe1CbMdIPPJVks924vf6VnwKcEgW/94Tvp//1hQ8FPB1qN0tSAWchIfOEhHJjLbwogdjcMDLZPE6d+VDg1c3B2hgZ+eYsRWnkesLzo+Rkmf+KygeCv9/sqCIVqTiF88S+CzcyCoGMMiVUAhmmvkQInVE1QfjKhfY52/KBJXGPSTuz7jYUEcGUskRBXBnuKZPD5hOXoN</w:instrText>
      </w:r>
      <w:r>
        <w:rPr>
          <w:lang w:val="en-US"/>
        </w:rPr>
        <w:instrText xml:space="preserve">RUu9EsqJxfdy/nyWbp3PfHIYXLEdWY1lnOvplBSNeRK60LILSnmUhTSoSKMl8HhBTrydnCe4RwgvrNSUSDz6HOeHNeZX7IH8nE7hGBf+H1Xg363uztKFZaugTrMRz4Ih8ZIEdCCJXvJ6h1lcySPX0jgJPF+OlK/ixdMeI/9CX9z6zr90trX4YmiRAIcg2q4giKi5JcuIQSJveka/QsEJzf1v/GD2EQAFH9hCR0FhshvQh+nshMBInvUeyTyqJZLj</w:instrText>
      </w:r>
      <w:r>
        <w:rPr>
          <w:lang w:val="en-US"/>
        </w:rPr>
        <w:instrText xml:space="preserve">7/IczN+xnqG/VQGOf9+bIEtZZw05Oy5A4NIbRr4UwxKI9CSlzhxyHXJUjXykdJF7pB6AVx7Bt3tsYf7v+/rr6njd6v3n3PF92f22fvF+C24uKtoKDtr1t0H6+294vv9HTRHcRJuoiiyEvD/aJ7vyb9zKI78gwsRxuKA0TNLDIyCXLfRIGGftJMHy26fdSUOYURlIj0K0MUOZlUidCU5CYK49yl/N9o0f23/wHybs2p&lt;/data&gt; \* MERGEFORMAT</w:instrText>
      </w:r>
      <w:r>
        <w:fldChar w:fldCharType="separate"/>
      </w:r>
      <w:r>
        <w:rPr>
          <w:color w:val="000000"/>
          <w:highlight w:val="white"/>
          <w:vertAlign w:val="superscript"/>
          <w:lang w:val="en-US"/>
        </w:rPr>
        <w:t xml:space="preserve">24,25</w:t>
      </w:r>
      <w:r>
        <w:rPr>
          <w:color w:val="000000"/>
          <w:highlight w:val="white"/>
        </w:rPr>
        <w:fldChar w:fldCharType="end"/>
      </w:r>
      <w:r>
        <w:rPr>
          <w:highlight w:val="white"/>
          <w:lang w:val="en-US"/>
        </w:rPr>
        <w:t xml:space="preserve">. However, we reported variants in seven genes based on discussions within the MDTs as secondary findings as it was concluded that variants fulfilled the criteria to be reported as actionable findings: </w:t>
      </w:r>
      <w:r>
        <w:rPr>
          <w:i/>
          <w:lang w:val="en-US"/>
        </w:rPr>
        <w:t xml:space="preserve">BAP1</w:t>
      </w:r>
      <w:r>
        <w:rPr>
          <w:lang w:val="en-US"/>
        </w:rPr>
        <w:t xml:space="preserve">, </w:t>
      </w:r>
      <w:r>
        <w:rPr>
          <w:i/>
          <w:lang w:val="en-US"/>
        </w:rPr>
        <w:t xml:space="preserve">PMS</w:t>
      </w:r>
      <w:r>
        <w:rPr>
          <w:lang w:val="en-US"/>
        </w:rPr>
        <w:t xml:space="preserve">, </w:t>
      </w:r>
      <w:r>
        <w:rPr>
          <w:i/>
          <w:lang w:val="en-US"/>
        </w:rPr>
        <w:t xml:space="preserve">DICER1</w:t>
      </w:r>
      <w:r>
        <w:rPr>
          <w:lang w:val="en-US"/>
        </w:rPr>
        <w:t xml:space="preserve">, </w:t>
      </w:r>
      <w:r>
        <w:rPr>
          <w:i/>
          <w:lang w:val="en-US"/>
        </w:rPr>
        <w:t xml:space="preserve">GHRHR</w:t>
      </w:r>
      <w:r>
        <w:rPr>
          <w:lang w:val="en-US"/>
        </w:rPr>
        <w:t xml:space="preserve">, </w:t>
      </w:r>
      <w:r>
        <w:rPr>
          <w:i/>
          <w:lang w:val="en-US"/>
        </w:rPr>
        <w:t xml:space="preserve">KCNJ11</w:t>
      </w:r>
      <w:r>
        <w:rPr>
          <w:lang w:val="en-US"/>
        </w:rPr>
        <w:t xml:space="preserve">, </w:t>
      </w:r>
      <w:r>
        <w:rPr>
          <w:i/>
          <w:lang w:val="en-US"/>
        </w:rPr>
        <w:t xml:space="preserve">SBDS</w:t>
      </w:r>
      <w:r>
        <w:rPr>
          <w:lang w:val="en-US"/>
        </w:rPr>
        <w:t xml:space="preserve"> and </w:t>
      </w:r>
      <w:r>
        <w:rPr>
          <w:i/>
          <w:lang w:val="en-US"/>
        </w:rPr>
        <w:t xml:space="preserve">G6PD</w:t>
      </w:r>
      <w:r>
        <w:rPr>
          <w:lang w:val="en-US"/>
        </w:rPr>
        <w:t xml:space="preserve">. </w:t>
      </w:r>
      <w:r/>
    </w:p>
    <w:p>
      <w:pPr>
        <w:jc w:val="both"/>
        <w:spacing w:lineRule="auto" w:line="240" w:after="240" w:before="240"/>
        <w:rPr>
          <w:highlight w:val="white"/>
          <w:lang w:val="en-US"/>
        </w:rPr>
      </w:pPr>
      <w:r>
        <w:rPr>
          <w:highlight w:val="white"/>
          <w:lang w:val="en-US"/>
        </w:rPr>
        <w:t xml:space="preserve">In t</w:t>
      </w:r>
      <w:r>
        <w:rPr>
          <w:highlight w:val="white"/>
          <w:lang w:val="en-US"/>
        </w:rPr>
        <w:t xml:space="preserve">otal, we identified medically actionable incidental findings in genes unrelated to the phenotype, but with immediate implications for management in 17 patients (1.1%). In eight cases the incidental findings occurred in genes included in the ACMG list v2.0 </w:t>
      </w:r>
      <w:r>
        <w:fldChar w:fldCharType="begin"/>
      </w:r>
      <w:r>
        <w:rPr>
          <w:lang w:val="en-US"/>
        </w:rPr>
        <w:instrText xml:space="preserve">ADDIN paperpile_citation &lt;clusterId&gt;R297F275U865Y658&lt;/clusterId&gt;&lt;metadata&gt;&lt;citation&gt;&lt;id&gt;3C19409C6B7B0AC884AD0DBF5E9B07D2&lt;/id&gt;&lt;/citation&gt;&lt;/metadata&gt;&lt;data&gt;eJy1WWtv5Max/SuN+eDcAOIs34+9MBJppN21V9oIKyV</w:instrText>
      </w:r>
      <w:r>
        <w:rPr>
          <w:lang w:val="en-US"/>
        </w:rPr>
        <w:instrText xml:space="preserve">7A8Mwmt3NYWf5mPAhrWLsf8+pbs4M5+EbO0EM2B6R3VWnq06dKpI//Lz4ScvF60Ww8rLQzVbxVXLlXq7SNLy8dq+v3kQ32ZWbXPuLi4UcNz/1Jfewusi4JyXP01CoIk8CpWJVqCSIgyD3klAksQykTDPs0n0/KmwhC2NXLV7/sCiHYfP61Sv5ZSlbvWy79SvPXXpukL5a63rpu1689DIX62lhj5XPz8/LRuR62VT1stHlct0+vdqMea3kKz9JozC</w:instrText>
      </w:r>
      <w:r>
        <w:rPr>
          <w:lang w:val="en-US"/>
        </w:rPr>
        <w:instrText xml:space="preserve">I58t/pVVr4NTwzuKPOHOrgf0XDMFApftSIX4/L+q2GcrpnC+Kd/TT9ZLFVxOC5ideDWQpClzHDeIYqwY9VBSZj0q0da0ayQfdNj0r2o51atN2g27WrC1YjwW4272wQjcSF3umGyYq3WjBK6a+tLVivJFsrRr62au/j6oRWHjBCC4bN7Ct2P9cru7esoc37Mlfur9/zTjbtJUWL6wfcBsIBvI2lIpd1qqD7Yat2qpSa0XX75Q07t6qRg1a9MbjW/K</w:instrText>
      </w:r>
      <w:r>
        <w:rPr>
          <w:lang w:val="en-US"/>
        </w:rPr>
        <w:instrText xml:space="preserve">IP3AcnvdDxwWd8lr3ouIaRl6zx1L1Cuc5PCPvFJOq1+tGSbbpdM07Xb0wTlaZkqMw6+CtU307dkKZqNQThLWFoPvBomiBuWOlQoxLQaY3Xfukpep6NrS4Xm3oVPX2Mvv7yCs9vOzs9ap70kL1S3YpYQmxU7RxOAtd9wwXNpUaFBA/tdXYDJQbAiJb1bOmHVijYK7fHqofgYmzfhR0tRirned2HGBMLX8hTH3ZjpU0FnMFt01Pp0LIdCOqsddPJjO</w:instrText>
      </w:r>
      <w:r>
        <w:rPr>
          <w:lang w:val="en-US"/>
        </w:rPr>
        <w:instrText xml:space="preserve">8quhoG8QA/xMIH6Jm8AyKQoTIqS+z9TZcZ5cOJR9McjrFeyQgB36pAWuA06F95h2inQ8c1AM3iSo9r2l1P1YD4vddg7QOqqv3CwhZpxXCTVAbsG2jhC602CMghOT/wmywxNYgwnR8vtkARqnNSQh6+9zQ5gLBtCz52yjXhr82a3sXuyIRuhNjDaIjtz02I9oNnSl/MRuorkAN8IJtEHtTCp01A7tLttpistQFQ8BKvjZBQdZh2ngvt4GzVUx/j73</w:instrText>
      </w:r>
      <w:r>
        <w:rPr>
          <w:lang w:val="en-US"/>
        </w:rPr>
        <w:instrText xml:space="preserve">NEeyioMVY8e7cwZ9LZbKCC5RtPRDPqMrbBpZqgs2e9VDCJm7sCvYQWdW3Bh6XT7q32Ab+WZFF0Htb3EYLDs2wZ6o82W4oJIYN7Y5tE122jKW7vaAImQBrC4/oasmTE4WJU09cV+AP0BQghL1JrkGSwUJ9NtnNiSKjnLK387oNiEaaoEFiMLkxLAeV6GpnGFvzF6LfAL2yCcCCXcRwYoH1oOvE771a7Om/fGzpr7pFWIggUFqp/4FAHIgwlE2bglA</w:instrText>
      </w:r>
      <w:r>
        <w:rPr>
          <w:lang w:val="en-US"/>
        </w:rPr>
        <w:instrText xml:space="preserve">HZy6wcc+ytZXDAwWGb4hwcPHvCasV7d+zXa8Bk6i46rFmuGAUm+TQKF2uJsy0jOgjNMWVdKY700WM6rB1i/uUfxgwy3VhxQwhBMNZp/vPls69qqwQlHpdoiI3BLjjSNwkyJCKvu2s7pZdO65LhqjzLXKTtCfyYFoAKgswBypGc5HiDCfoCcQsmK0os+gFdKduu1xLEm0DDWc0Em6PYPpaP+Y27LRv7pbi/rA7/JttC73jhKcxPPnUdp/Jy1uA3pi</w:instrText>
      </w:r>
      <w:r>
        <w:rPr>
          <w:lang w:val="en-US"/>
        </w:rPr>
        <w:instrText xml:space="preserve">SBqSq3VDZEk96GwCBmjc4CYNpqluRs6l4Ip5rkvNPpr2JTiMl1FHMokY9H5jjaAebnT31xKvRWqTUN7NpwPbvfqdup/MA+TdeTWFZEmybS29J2usvB4Yh6goNgdIySaAeNKjgRczMMv2ucNUONdFEU++rjXqiX5I0b4MwP99zqVEp46ZsK7m9L1rTmomWMNFv9ajt9FqTip9MI7at7CFyCQZQ1WFnAQGemE/R61TdPhHR0d4aZW787+4XeGmbaK3</w:instrText>
      </w:r>
      <w:r>
        <w:rPr>
          <w:lang w:val="en-US"/>
        </w:rPr>
        <w:instrText xml:space="preserve">UwJAVnEtzE9qpkbaNZZKNtDwX4oOqM9uQYRZlW2WkTr/XCIts189h0o51w9g1B9PbqWRY9mCEGokn42CGB2or9ti4fLFvQCSY4MxogrQZB5trCtZWsAnBiNy+XJhAEdIJS48xVZSsnfJfb4CffFiUlLU9uBPtMGpF2sW8jPkYNMPM8aNoSZNgUehKG5qZYRDNaEraVuIu2BWSXvLaQPoEkja/69m7tt9o1DXutv3QNheoUQxRokQPHQZs+vPD5ZL</w:instrText>
      </w:r>
      <w:r>
        <w:rPr>
          <w:lang w:val="en-US"/>
        </w:rPr>
        <w:instrText xml:space="preserve">dT/0ZTa7FmKgu2C1o3EES8HMFVcDhGs2n1eTx+ssFBhOxvGBvuSbx7/OxW5P17qUCgGnptaIWvR2D7xE+Tl0FfiHWY52DMX9uyFVvgvkBbP8rdGP+64wdo+66Uf+hlRbSa2YHCti7Edo8DyZ/qZDR455ivL5rRxvLR/WF92eN7w3tkdH1DxCREiHtUJcNJ6lelXyjKvZOV0jSwR+Hayc33zU9HnLGwU7vU0ubYftgOPJMI/kKeiG7AxqYo/5yUqh</w:instrText>
      </w:r>
      <w:r>
        <w:rPr>
          <w:lang w:val="en-US"/>
        </w:rPr>
        <w:instrText xml:space="preserve">c/1Tqlj2QXhwE1Uaa6oQWbM98hofGxZ1CrwDsvr6Yw/iwfQR5Z54r2MNLD1m6YJ94X6ICTEyvV/8ioMBGw4KcR/ZBlG1bHWbpnlctu6yG9gyFf12yLjFs8dpk6UrT/E3ldXHwe1ry28x2nzFactuHtpPKA81/kHkqvQEPsexjK8Db7dqzDt7wmh6G9kf+L/k5rJTj2QqM6NQaJJiS+s3WxwF/7kFmKwx29XmB4AOaW7vG+r/oDh0Mlb2C1oLQ1va</w:instrText>
      </w:r>
      <w:r>
        <w:instrText xml:space="preserve">/SPlHLUoslvvtk5vfPCMiyzQr95KfaNrlOIDXOOa1HWhqOw5uUewrFNqoUB7NGh3/iPC36llPinmvmqZ/qZ74jJ2/VFYzdEbNz5X4/6v09IYFHa6nNym2ueBKgXkCQV28/uHHi8X0Nkr6UZELj4d+FLqx6/NQFgnnqVShTFOZuIWM0szj2P43dE3UNB7BK2zc4UVDrqeQvMZBCnqgwlOlXf</w:instrText>
      </w:r>
      <w:r>
        <w:instrText xml:space="preserve">xbXorYF16NeWeUpU4Qu/SiiI+gSgfMPy+mKYsO9fBA59FdT69MHnjHEXJcaTth3si5+MfBv4HjJX7kBGFoz09PHgO9c1q8h1JwZszYl3g8DyIvznwnyUXouILHTg4IThiInHuZjNyEXjxV3Lg02xdfLw5AvZ9heg+Gvxz5vJSqoubzfuc08Nwk9UTucF/FjhvHkZP6SeHEgXDzJFEhd/2902n/sduH7+exQIvuNPv+yPUVhwKYhdaxDDNX5dJ1lB</w:instrText>
      </w:r>
      <w:r>
        <w:instrText xml:space="preserve">v5jhvIyOEqTJ0kc4swSoMc0dg7pt3HXj/NT/sJY9qLOddpBoIwSJ0oTo8zsCpHTEmf9sFIXc8rMhk7PCwEMKWRk8de5kRSFUGcJ7zgyR6T2X4MajXDtCrx9IXxTh35vYHX1c5p4SfSy5XnxFkYALAXO2kScEflbqgypdwk43unN6cuv7+f+fye0yPD/bHHJ3rDYBZap16SuomrhJMGKdKuosJJFU8c4aPSgijBeb2ZU9p+7PbtzcwtRrOK3Rx5fa</w:instrText>
      </w:r>
      <w:r>
        <w:instrText xml:space="preserve">c6M+nc7NxGMgmVyDMnTuLccaMUAIQXOVGWiih14yTy8r1bu/+EbFdzsrWbElV0dSbvvgNqBxCeIDzGNRb0bIwOdbVDFqowT9M8dGRUpI6bC+VkMZgQeCrzoywLw1DMkE0WjrE9zmPyCMExMTlG5jlR5CdOHCYnmlApiNnjPmBBJHiUxdxxIYeOm7mpk6fCR9qkdIPQ52mezTSBth9juvo4w3TVjeiWH8+CQt37ThBk/3cMqu0KZqxYTL6IhJenmY</w:instrText>
      </w:r>
      <w:r>
        <w:instrText xml:space="preserve">NiUY5bpMrhXiIcP04RNi+KZT7XKew+kanruU5RR74+iyiLPd/xgzg9QnQn3qvqSaHer3eoFI95kqF4ksBDGUkOIVM5d3iKGGaBCwmdodpaOEF2c4CMHgvPZZC4FcBL6h1D+1NHUwF7v09hJlWsFKiUpxzhyrGPywKcTz2FpGbCi2eiYvefqMq82azYw3gsKTSO8E72bLXvJzEkXcSea0oA0p7lTpap1OFxHohQocX67t7x1sKJ6w8nioaaw5zx4X</w:instrText>
      </w:r>
      <w:r>
        <w:instrText xml:space="preserve">zKgijDfxLvCOBfMNasW+D7sOdRwoXrKbBHkvDFATpAgYYQ8SBIMetyN0/3+CYDx/DuZuju6AgoynO4Eug/8uUGR7g+8aHHdHO3Q5UEbiTTGEJQCKBKYiQuTgvHUxhhCt/1pJgJgd1+ErPbk5hxdntMYnqjjHHkdtZ+Ykw/kXJEnkjH9WPUeermTpgGvkoCxfN41ovt/mPX148z19f8SUv2eH4swazleNnJWHKHB0Jk19jZalARRyr1nCCJaC5Bu+</w:instrText>
      </w:r>
      <w:r>
        <w:instrText xml:space="preserve">YBRrrICyM/TJJAemoGy+xffMWAJzRMXr3c6uYzbkzfDXsM05jvl+u2XVdqKdp6e+kPZfWtar6pum+/acb628D9hgz03/7qD46fdWNqYftq5JJe2VfKfusbXjb0ue7+/qfLj4/frW5vDORcVdM0Oo2L27lyScMhDbGE4TOEYpq46KugozYU0udG0XfCm2CVhm9u4ks/u/K8m+Qy8tHIA//mzZvIdVe2xJr1iH5BMtXgb/rsVNNfHom36BQ3sfcgdz</w:instrText>
      </w:r>
      <w:r>
        <w:instrText xml:space="preserve">66Qpot4zj2swjA66lUdp9Jh47bj5Yu8kPg7mRExe5LMEdIlYRQzTyWbhoWgYxDgfxkOVHWfoqbcoqZslBRjCSi/boRhpzc5akjVFrIOEoKTxX00bgVN1/g8ZoPnD6T6v5N2ym9xohcgG+K5uXvmludd3hwWbweutFcum0FRXJaYgJ1U2NCgOMNfV9afu74sx7+8cc1XSUObOP5gZu43NMq9t6uWnz9+uM/AQHRNNs=&lt;/data&gt; \* MERGEFORMAT</w:instrText>
      </w:r>
      <w:r>
        <w:fldChar w:fldCharType="separate"/>
      </w:r>
      <w:r>
        <w:rPr>
          <w:color w:val="000000"/>
          <w:highlight w:val="white"/>
          <w:vertAlign w:val="superscript"/>
        </w:rPr>
        <w:t xml:space="preserve">25</w:t>
      </w:r>
      <w:r>
        <w:rPr>
          <w:color w:val="000000"/>
          <w:highlight w:val="white"/>
        </w:rPr>
        <w:fldChar w:fldCharType="end"/>
      </w:r>
      <w:r>
        <w:rPr>
          <w:highlight w:val="white"/>
        </w:rPr>
        <w:t xml:space="preserve">. </w:t>
      </w:r>
      <w:r>
        <w:rPr>
          <w:highlight w:val="white"/>
        </w:rPr>
        <w:t xml:space="preserve">Risk</w:t>
      </w:r>
      <w:r>
        <w:rPr>
          <w:highlight w:val="white"/>
        </w:rPr>
        <w:t xml:space="preserve"> </w:t>
      </w:r>
      <w:r>
        <w:rPr>
          <w:highlight w:val="white"/>
        </w:rPr>
        <w:t xml:space="preserve">management</w:t>
      </w:r>
      <w:r>
        <w:rPr>
          <w:highlight w:val="white"/>
        </w:rPr>
        <w:t xml:space="preserve"> was </w:t>
      </w:r>
      <w:r>
        <w:rPr>
          <w:highlight w:val="white"/>
        </w:rPr>
        <w:t xml:space="preserve">counseled</w:t>
      </w:r>
      <w:r>
        <w:rPr>
          <w:highlight w:val="white"/>
        </w:rPr>
        <w:t xml:space="preserve"> </w:t>
      </w:r>
      <w:r>
        <w:rPr>
          <w:highlight w:val="white"/>
        </w:rPr>
        <w:t xml:space="preserve">according</w:t>
      </w:r>
      <w:r>
        <w:rPr>
          <w:highlight w:val="white"/>
        </w:rPr>
        <w:t xml:space="preserve"> </w:t>
      </w:r>
      <w:r>
        <w:rPr>
          <w:highlight w:val="white"/>
        </w:rPr>
        <w:t xml:space="preserve">to</w:t>
      </w:r>
      <w:r>
        <w:rPr>
          <w:highlight w:val="white"/>
        </w:rPr>
        <w:t xml:space="preserve"> </w:t>
      </w:r>
      <w:r>
        <w:rPr>
          <w:highlight w:val="white"/>
        </w:rPr>
        <w:t xml:space="preserve">the</w:t>
      </w:r>
      <w:r>
        <w:rPr>
          <w:highlight w:val="white"/>
        </w:rPr>
        <w:t xml:space="preserve"> NCCN Guidelines </w:t>
      </w:r>
      <w:r>
        <w:fldChar w:fldCharType="begin"/>
      </w:r>
      <w:r>
        <w:instrText xml:space="preserve">ADDIN paperpile_citation &lt;clusterId&gt;M332Z382V973T493&lt;/clusterId&gt;&lt;metadata&gt;&lt;citation&gt;&lt;id&gt;71DA8B5C24F011ECB7B270AF510204A5&lt;/id&gt;&lt;/citation&gt;&lt;/metadata&gt;&lt;data&gt;eJylWdtu20gS/ZWGHrIvabl5Jw0Eu7Zs5+JLAiszeRgMguoLJY4ptsGLFc0gwP7G/t5+yZ6mZIumMsbsbh5imeqq01V</w:instrText>
      </w:r>
      <w:r>
        <w:instrText xml:space="preserve">16kb/8sfka6Enx5PEOztJT6OZH14IzzufnSanfiJOLiJP+CI8iSavJ7q7/9osycNpE/ixTHKZKRXFXppJ6aUm9bM0ELkIZO7H5FMSKUgVTdMZiHj43NXl5PiXybJt74+PjvS3qbbF1NaLI09MYyHCo98qpaqpL7xkKoQIIOLONji8Xq+nlZLFtCpX06pYThf24ei+kyujj/xUhCLx4sHxrSKnGhB/Qf1W0yHCk+pfYb8tnB1/qguWVl+pbN2hKBT</w:instrText>
      </w:r>
      <w:r>
        <w:instrText xml:space="preserve">cCz33GKrLolkaePmPycpW7XLnjY2hGh+disn31xPK86IsqC1shacX9hubLakxbEaVMjWbmarFj89Lwz4uC8vmLbWG/VQVD6ZuinbDZnZ1X5ulqRo8Gklx9oFWpnl8+s4290VLJaNKs7ktLQRuTYP7qCV7XzVt0XZQPm+n7EOnoWxZlLo21b//+a9mf/BRy5G70+AiNmefTVWZpjGGvTPwyJLNVWEA/Xifd13VNiuqHi+0x6SWtQfqfmppOXp0UpK</w:instrText>
      </w:r>
      <w:r>
        <w:instrText xml:space="preserve">kFbnzp0W9KqrFklYv+uDi4+3s/JhdkMJh9rGr2W3R3Dldu3Pnq3u7NrXR7Iwq4hdUS1MfndZFr9q56otd7ZzwXPVZd2cOTbm1kG/Zuym76urCvHg53OLG1u1ybRr8Wg2NfW73DNGqSduRPNhQ5bbWh7f4UXC+UcOuz9hJpfHUViNdP83YHKE5K8zCsmtrazO297m+60Iti4UL5gsGXpuVrQtQbl5aHL00LZ66QIyOWWRB245D54Lyin0Ch0tip12</w:instrText>
      </w:r>
      <w:r>
        <w:instrText xml:space="preserve">em4Mz19Q0pJZdg68a9tZUpgbaE9NfMuALNUtcpYUnro0ulDvenzuaG2rbcm8L1QbMQ5b2XO6z889tPhqgPN6jYXNT6AHzdxdy7JqV5gH29Z+KqlDsM3VNUyx+xKxmbcoSDqnvDr+d7cx6Z+9fJt01bewj1vNvfiZHDVmULX9fLWqXWc++v+nLlPPTj9TfmHZt6zuUOJJNW5NyJdHx8GY2u9kBQvaT+6aAI992hTZ4Cp4VFftYKXB8sWHgcx9HnDm</w:instrText>
      </w:r>
      <w:r>
        <w:instrText xml:space="preserve">6oJUrjggospH3iXuC+tI0SMj2mJ3Whpq29+LHBwLPKnZf2weoZbVRdoVTur9y02tdbLWyFtnmOOjklO2qxt1i0R9ZukKAiNUbprZWNZtK19ZVUXe8dldAHGlh3BV+CHOPz/iuYeulZY46uqBFZRuQeV2gKNKTzunQB7lVXcNAxgFi01iF3vAkWcFTyhltdldBvOWTE44Abnd+2N5+yp78/3+4lCpTspUxMAl1t9wdqDoqyw1rLZzwUJg123oCh3L</w:instrText>
      </w:r>
      <w:r>
        <w:instrText xml:space="preserve">cfvcQedBfHQFGfS9q3H/LV+et1wwlCTXcRQtJQPBnBT3wJW119D1U7VzrrvRILIj20TCQKjvXEd2v3b12H7dAo8gMPbH3ObIHXsCVm261grW/99Jbi//WIHCNcrmIoDj9K9v0Ef9R4GuzoFo7Go0p4iihqEYrgC8Qr5VFjuGe8N29i0nt7H6k5qprH80dxf7FMCPn4NXSDVx/ZuLx/86A1+xnV8/gBb+ffNx0A+saoGXcF/g1t6XrKZjyMDD9Zrs</w:instrText>
      </w:r>
      <w:r>
        <w:instrText xml:space="preserve">aRSLvSox9kw/b35zlzrV/qYQcsw/ODCjeDZ4pZYE2Okqy1MQyCqI0FrnvJ1IYLTytKc09UrncjWP7UUy4CZa6dmkxc/3yxwQ1qIXp7urXp+7iRd24MnXtMr5/YOsVir8b2yZnhBj1x7bDcqziLMtyj8e5l3KhtOQyppjHQRjkSaall7gBr6RepZPGgPcM83YAuZ0TRpCfipLq5q5gt0+omdAmMVHOSYWaCy/SXEaJ5oYERVGUhqYfQ3eojwrGyNd</w:instrText>
      </w:r>
      <w:r>
        <w:instrText xml:space="preserve">DY9G5yZQj6FNTwwfXT7iGokwH8GIC93KBgZ+nfprzXBOWgDTO8kjscXvpMeh8PkCdU4e6Rmw+xu02aI/zPW4YqjDNIp4jsFwg0DzD/zwmL1OhkkFA8QAX0i/aaggzyggSM97KNcInTF+RksqPua9jYIahzyXlxEUQyUBJMkGc7zG34gfGDm3tmkNQVIB+BBiY6qWeikzCwaoELo48npGPTyrLPJPlMo3DAexOwRj4w/kAGYP7hp2PoN/2My3rD26</w:instrText>
      </w:r>
      <w:r>
        <w:instrText xml:space="preserve">RQaUMrsw4RankQnoepzwh7lNEie9hswmiPfJWfox7czbAvbGY1c9GuJeEmY3157awkVQm9TLJPZEGXKTOYJEYrvxERaEXqiDM9rC9+ItuNmZFY8zlMxeDSKHISXNwGSyWmeAyjRTPA0mkkihOsgGLnfAYcDYAnBFqGOZXMwYtDTrcbG9nnodaeT4PSEawM894GsuYJ1JLX0cijjw9QHXSY9gvA9gv6DObMaRdliBDxb48oQYR5VkWB1wlOuPCR5G</w:instrText>
      </w:r>
      <w:r>
        <w:rPr>
          <w:lang w:val="en-US"/>
        </w:rPr>
        <w:instrText xml:space="preserve">SRhLX8G2URoEREQ1QdwrGwCcDYDf0YlMYQ3d97zkZ8Nj4kTQhUtYPYa6HlDXgVZrHyotD5VMmB8C9+AGLL4csxiJZ5KDs5Qj6ClsC+lB/+DF1MxFK7fFIx2ByBl5R4BM3JsIPX8QokHvsrfwY+2oAfVU0Y0pdky7Rp+427OoJVhtPBr4UXMe54MI5nDxp0A5dfcxJ6WTAqycNB2we5tDc5gUdJN</w:instrText>
      </w:r>
      <w:r>
        <w:rPr>
          <w:lang w:val="en-US"/>
        </w:rPr>
        <w:instrText xml:space="preserve">E1poXfHtyyt88j5akg8QPJjZ8bGC0ET6WJYHmQJbmHNBtG+lHDGHzo8Uu3urfLEfZHt5axvbPR8xSanOJJQM7q0PWiNOKJib1coSl7yaBs9NJj0M8D0M/dZuzrTxgNPu97XxhGkgLNtR/2xCIwWiGtMAHIjHSqYjXofVSO0d4O0N6uzZjJt6Zo4Nm3+8RNY59igR4ghIc6HCYARDfI4lSpNApTHQ9a/Fb8wK3D/nOJcbA12DBpaSszTuI56k0FPl</w:instrText>
      </w:r>
      <w:r>
        <w:rPr>
          <w:lang w:val="en-US"/>
        </w:rPr>
        <w:instrText xml:space="preserve">/uW1GipfFyEFgCEj0BxTLNtM9DJDfpGNzOBibvFIyvMOwI52XxO8nD2M7X7vVUzfZNAVROpYe25yeYaoRG1ZSZL3lgJMaORMTPOv5O/sX6vKQH045D/HNR0Ybuhn3QV76vYTNp9KC+LZBQuZuuIuW5vhgMvL6TP2hHw0J9U2CbBHRfk5+BW1e6bvalWnvKC+KY0Hmd0YlMOckULVmmYZLHJjaUDrDtj0rXzbPSlee12bCbEfAXU7S/Y4/qD2+hZR</w:instrText>
      </w:r>
      <w:r>
        <w:rPr>
          <w:lang w:val="en-US"/>
        </w:rPr>
        <w:instrText xml:space="preserve">TGHsUR9zNC6fLAuNSgmuQq8hKZm0AkyR56p+Bg2PkwnHY2GLA+jJELdcf6Y4+lKzQ6QMXUiY/m5PqvFKidOYZJFUiVpf5g6nDSB1k1LJhvja0XqFtXB7CmqVxy7Ytm6CWEUSPiJtcoHxrlIxUgmBflkcZsj0nTGyL3Cl6c7jC2j4f29ebZaBfnaPHGzXIh6hZGZnBLmhyTTpIGaYD5PR2Mk730fzvZnVFd2vWAz3EostiPsRxJncNOHXPKlOpz2I</w:instrText>
      </w:r>
      <w:r>
        <w:rPr>
          <w:lang w:val="en-US"/>
        </w:rPr>
        <w:instrText xml:space="preserve">vQLIQ/6Elb8cl3rE6qgMbTzVVR3eGL3QvzRi0thvrpwtpFaabYOx8f/X1ZvjHVq7J+86rqVm8C8copaN78N2/a74pqWwl3r3dPauyIpdm+wW43926n/PTp68nt5/ezq/P+1tKUu1XPwd2hqm23HaeWq4fJ0wro0mHqVr5yut33pv2iN+33PLe02rULMGpUMEvDi/P4xM9OPe88OYn8LAwC//ziIhJi5qrOgy27Vf8XhW2HqRYddlBXPFw43EuRPh</w:instrText>
      </w:r>
      <w:r>
        <w:rPr>
          <w:lang w:val="en-US"/>
        </w:rPr>
        <w:instrText xml:space="preserve">heHOBfjFI99cIoSWHGajsn7P9agJV7+2JeIGDOhGsduWaDYSVJUszFKEeoCBH5oc5NlKkc60G/ADSwS5ldq/Aj3/gYoWUgQ0esnKeKiEdoVZ5KfW2kI7O26vwbEM8IhfAYvGoubG2KBZbUHPQybmN9X10VsnZcPm7rrn90ZZXz3+5I76fzFRXOpfemxcp/V9MaBeEfC/fUkeLRnTfUu+mTO8Uut6cm37//+h95qFJf&lt;/data&gt; \* MERGEFORMAT</w:instrText>
      </w:r>
      <w:r>
        <w:fldChar w:fldCharType="separate"/>
      </w:r>
      <w:r>
        <w:rPr>
          <w:color w:val="000000"/>
          <w:highlight w:val="white"/>
          <w:vertAlign w:val="superscript"/>
          <w:lang w:val="en-US"/>
        </w:rPr>
        <w:t xml:space="preserve">26</w:t>
      </w:r>
      <w:r>
        <w:rPr>
          <w:color w:val="000000"/>
          <w:highlight w:val="white"/>
        </w:rPr>
        <w:fldChar w:fldCharType="end"/>
      </w:r>
      <w:r>
        <w:rPr>
          <w:highlight w:val="white"/>
          <w:lang w:val="en-US"/>
        </w:rPr>
        <w:t xml:space="preserve">. The remaining cases, six had variants in cancer predisposition genes </w:t>
      </w:r>
      <w:r>
        <w:rPr>
          <w:i/>
          <w:highlight w:val="white"/>
          <w:lang w:val="en-US"/>
        </w:rPr>
        <w:t xml:space="preserve">DICER1, PALB2,</w:t>
      </w:r>
      <w:r>
        <w:rPr>
          <w:highlight w:val="white"/>
          <w:lang w:val="en-US"/>
        </w:rPr>
        <w:t xml:space="preserve"> </w:t>
      </w:r>
      <w:r>
        <w:rPr>
          <w:i/>
          <w:highlight w:val="white"/>
          <w:lang w:val="en-US"/>
        </w:rPr>
        <w:t xml:space="preserve">CHEK2, BRIP1, SBDS,</w:t>
      </w:r>
      <w:r>
        <w:rPr>
          <w:highlight w:val="white"/>
          <w:lang w:val="en-US"/>
        </w:rPr>
        <w:t xml:space="preserve"> and </w:t>
      </w:r>
      <w:r>
        <w:rPr>
          <w:i/>
          <w:highlight w:val="white"/>
          <w:lang w:val="en-US"/>
        </w:rPr>
        <w:t xml:space="preserve">BAP1</w:t>
      </w:r>
      <w:r>
        <w:rPr>
          <w:highlight w:val="white"/>
          <w:lang w:val="en-US"/>
        </w:rPr>
        <w:t xml:space="preserve">. One case of X-linked glucose-6-phosphate dehydrogenase deficiency (G6PD; OMIM305600) was reported given the current recommendations for mutation carriers to avoid exposure to specific agents. Similarly, the secondary finding of a pathogenic variant in </w:t>
      </w:r>
      <w:r>
        <w:rPr>
          <w:i/>
          <w:highlight w:val="white"/>
          <w:lang w:val="en-US"/>
        </w:rPr>
        <w:t xml:space="preserve">KCNJ11 </w:t>
      </w:r>
      <w:r>
        <w:rPr>
          <w:highlight w:val="white"/>
          <w:lang w:val="en-US"/>
        </w:rPr>
        <w:t xml:space="preserve">and in </w:t>
      </w:r>
      <w:r>
        <w:rPr>
          <w:i/>
          <w:highlight w:val="white"/>
          <w:lang w:val="en-US"/>
        </w:rPr>
        <w:t xml:space="preserve">GHRHR</w:t>
      </w:r>
      <w:r>
        <w:rPr>
          <w:highlight w:val="white"/>
          <w:lang w:val="en-US"/>
        </w:rPr>
        <w:t xml:space="preserve"> has direct clinical benefit to the patient and family because of the clinical availability of enzyme therapy. Among the ACMG listed genes, the only recurrent finding was variants in </w:t>
      </w:r>
      <w:r>
        <w:rPr>
          <w:i/>
          <w:highlight w:val="white"/>
          <w:lang w:val="en-US"/>
        </w:rPr>
        <w:t xml:space="preserve">BRCA2,</w:t>
      </w:r>
      <w:r>
        <w:rPr>
          <w:highlight w:val="white"/>
          <w:lang w:val="en-US"/>
        </w:rPr>
        <w:t xml:space="preserve"> which were detected in four patients. </w:t>
      </w:r>
      <w:r/>
    </w:p>
    <w:p>
      <w:pPr>
        <w:jc w:val="both"/>
        <w:spacing w:lineRule="auto" w:line="240" w:after="240" w:before="240"/>
        <w:rPr>
          <w:sz w:val="20"/>
          <w:szCs w:val="20"/>
          <w:highlight w:val="white"/>
          <w:lang w:val="en-US"/>
        </w:rPr>
      </w:pPr>
      <w:r>
        <w:rPr>
          <w:highlight w:val="white"/>
          <w:lang w:val="en-US"/>
        </w:rPr>
        <w:t xml:space="preserve">In this multi-center study, we conducted a non-standardized practice with respect to identifying and reporting these findings reflecting different practices and policies among centers. Differences were </w:t>
      </w:r>
      <w:r>
        <w:rPr>
          <w:highlight w:val="white"/>
          <w:lang w:val="en-US"/>
        </w:rPr>
        <w:t xml:space="preserve">in particular noted</w:t>
      </w:r>
      <w:r>
        <w:rPr>
          <w:highlight w:val="white"/>
          <w:lang w:val="en-US"/>
        </w:rPr>
        <w:t xml:space="preserve"> in trio-exome-analysis when variants were identified that predisposed for a disorder with onset in adulthood. Some centers returned medically actionable results for the proband only but do not automatically for the parents. Lists of </w:t>
      </w:r>
      <w:r>
        <w:rPr>
          <w:highlight w:val="white"/>
          <w:lang w:val="en-US"/>
        </w:rPr>
        <w:t xml:space="preserve">analyzed genes appeared to be different as well as the spectrum of inheritance modes. For some conditions also variants of uncertain significance were reported if a simple clinical test was available for further clarification. This could include for i</w:t>
      </w:r>
      <w:r>
        <w:rPr>
          <w:highlight w:val="white"/>
          <w:lang w:val="en-US"/>
        </w:rPr>
        <w:t xml:space="preserve">nstance an UV3 in a gene associated with Long QT with a recommendation for an ECG. Our rate of patients with pathogenic variants reported in the genes on the ACMG list is relatively low compared to other studies that found SFs in 1.2% to 11 % of the cases </w:t>
      </w:r>
      <w:r>
        <w:fldChar w:fldCharType="begin"/>
      </w:r>
      <w:r>
        <w:rPr>
          <w:lang w:val="en-US"/>
        </w:rPr>
        <w:instrText xml:space="preserve">ADDIN pape</w:instrText>
      </w:r>
      <w:r>
        <w:rPr>
          <w:lang w:val="en-US"/>
        </w:rPr>
        <w:instrText xml:space="preserve">rpile_citation &lt;clusterId&gt;G379U436Q127N541&lt;/clusterId&gt;&lt;metadata&gt;&lt;citation&gt;&lt;id&gt;B7750DEFD3620E19ACDC37C495E53131&lt;/id&gt;&lt;/citation&gt;&lt;citation&gt;&lt;id&gt;0DBFFA5B438105AF9F0CCEC29A1465E1&lt;/id&gt;&lt;/citation&gt;&lt;/metadata&gt;&lt;data&gt;eJzNW9tu5EaS/RVCQM90A2Ipk3e2YezqUuqLJXVDkqdnbBiDZGa</w:instrText>
      </w:r>
      <w:r>
        <w:rPr>
          <w:lang w:val="en-US"/>
        </w:rPr>
        <w:instrText xml:space="preserve">yihaLrCGLLZcH876fsR+yT/sp+yV7IllVzGK1ZHvgWezLWC0xIzJuJyIyYr7/+9FfC3X0+ugsjkN2Mb288COPTXl6en5x7sfnQRpOQ5/7/Oj4SHXLv7ZzwfF1nORx7gupmcpCHsU8kiFPZcCVTlgQRiLFT3kucapo207jCE/wj64pj15/fzRfrZavT07UTxNVF5O6mZ1wNuGM8ZMfxUJMPMaDCQ8iRlzp2xYfPz4+TiqZFZOqXEyqYj6Z1Z9Pll2</w:instrText>
      </w:r>
      <w:r>
        <w:rPr>
          <w:lang w:val="en-US"/>
        </w:rPr>
        <w:instrText xml:space="preserve">20OrEC30vivzwFz9fyBPRrApZ6vbk4/V5gGNekFrHiH+lV4918zCR9eLkx7prKlG25g8neVeWm/O/4sbP09rQcUXWrhohVyc85UkcB0c/QNN1QRp7kgPELot2rmG4vx8t6mo1p8+NjcSafvTw41qLBj/TwaN/GDtUfxXliv4c+onrhylZROR5URZiVdQV/nKhl7jXQlcrp86d67rUsoPEjqiU87aDOM4bDZEK2R47Z2Jd1o1zXpelnmnzvVaFLCp</w:instrText>
      </w:r>
      <w:r>
        <w:rPr>
          <w:lang w:val="en-US"/>
        </w:rPr>
        <w:instrText xml:space="preserve">97Lytu3ZVV8fOvf5JtJPhbL3Qzp3+W6crfDhzzsFJN7+N1r/mjv4+2Y/4TKya3yzo70Pl91NXsK+RHYVvq+KzbtpitabT5lPnrYZ7zJ07WYCd3n26IfivUrz3+wn7L7Hh/0M5J4jbVbEqCVaH6+VFpUCvdQQQYeYsEdOg3DqNznXTaOXkoC7LoiqkKJ3HOQ66+ie6TLu7DAHCBo9A+931xw+396c359PXzvnzB52idYpKNlq0+Fe5drp2wxE2mFV</w:instrText>
      </w:r>
      <w:r>
        <w:rPr>
          <w:lang w:val="en-US"/>
        </w:rPr>
        <w:instrText xml:space="preserve">1C3U5+rMoOwM1JN3ugo8FvK7t2qWWKxya9crFwbZuFJx04nw4ez89v3/3J9zjvnaWugHhxS/JYuzV6GXdrJyX/JWzmmunESuj2cVOa5vrFTu1zWGg1XqJC8yaulvCxi+9/rC5YNMtiMD2kogY3RiRWkcCiJsi61bEfFWTAFAHrEcXeen3RJYNacEEGN2DLCxK6AsaBxGRlZr0WChoBpLtbNp2cu4gRi/Pbriz6FZblqIjfTvXosnhXO26Ug20AB+</w:instrText>
      </w:r>
      <w:r>
        <w:rPr>
          <w:lang w:val="en-US"/>
        </w:rPr>
        <w:instrText xml:space="preserve">e3r17c3Ps3E3v79/dvDl2Tm8unI+n9++mN/d3r50PWaubz4YIuLSrThkc8BhjJEYL5awAECMb/bLCRbn+GSbMkPW0rpz3XaVBlHtGBafdDF7smEzmfPoyiZVuiZtu9NbMICdWjhiYz7ZYVoqshu7rZg2VGeUC1ciD7qAeDbe51W1Xbsn1nkCXWw+0Bj/YUC2IvdTIzXnRf0t0TxcaMAIFn9WiUbvQBIEdsJKAJrbxjwnCdCeG8eGB1Eajf2zhaes</w:instrText>
      </w:r>
      <w:r>
        <w:rPr>
          <w:lang w:val="en-US"/>
        </w:rPr>
        <w:instrText xml:space="preserve">WDAWQ9X5uq9oI3xQL0RRwjOUWxeDEcRg53yfJix++gufgOmIG74ocyvTtV06SJE6uF/Cu1vk+CF78cOxwzuAu/W/CkH5D9+Qc360Qofgtf0Gi44pOVz1U9WP1w6tjR2nEAsGAcWVlUoW2tCaqIoeEGydcILqhkxUMDtctO/JYp4J/AbTgku1KLxy1bvOuMj6+82WlP+uyXi56V1e6FOuJc3367sb58O39+Yfr6Z3x2uvp6d23t1N47RM+M4RwH96</w:instrText>
      </w:r>
      <w:r>
        <w:rPr>
          <w:lang w:val="en-US"/>
        </w:rPr>
        <w:instrText xml:space="preserve">4LULKSAqlWwEt8ecZ3OUYV1Ym/opqDsuuBMLx+IvxjSvCJscWlhBHc/IgSOFw07tvryi+Tr+IMI+iHdyQsDFkwWD3l1448V686kMtTF4QF/IYC0CHwIdIBkoK6BhOsqU6sdLVvlpaw1ALqP4LGumdjgf+SehFuEmMm3zlpOEL5/zdseP5k/CF63NzPSJD16p019RlPetjkqASHybeCedBDArBJLIpeBP+wjVkn6CwLOEsNX7dIGJmBsvIcdotaZ+</w:instrText>
      </w:r>
      <w:r>
        <w:rPr>
          <w:lang w:val="en-US"/>
        </w:rPr>
        <w:instrText xml:space="preserve">dJD5QNAIhiy790w1i3G+gS3ZE+MovXpEMGaQnXhDgkmyPGA9xZxdWSOxL1tUhmT5iryluUDtXW6QnWyIdwDwb04VefOgIut2ECZzAS5jzMvRxjVeO6FZ1Wy8oFIAilahWuFLCIXMw8ff+3mip25bw+eUQcGHvOF1VoHrZhBQy6GKNeI5CgIdnqPzZRRQ/aLVBAuclMzZZFKtazmukj0KUSLj5vm8a0uJLTk3e4bwka79y5gIRV5JW1M7JNLk8wTD</w:instrText>
      </w:r>
      <w:r>
        <w:rPr>
          <w:lang w:val="en-US"/>
        </w:rPr>
        <w:instrText xml:space="preserve">dMUdycjzHlAjaxBjCPkfUIXZOs7pbwcw7v1+CvElCUpDO5qIB3IPyEATFoHmiZQUXOEiTebgxFXzbOHga/vqMC+I90a5qAE1EFTndXGwrmoNc36umWCwMTIPUYlmCQX9BciKAJWDaVJMgmXpWwButHVugGabWX/0tFuwJvBUUDeWi1zQxGaBpnLHG5eTTOev8w8351bd37z7c9Lh7O72a/qkv/p4A3mVTfy7oCgLGAvyvir2UOgAQXdELjWUF0na</w:instrText>
      </w:r>
      <w:r>
        <w:rPr>
          <w:lang w:val="en-US"/>
        </w:rPr>
        <w:instrText xml:space="preserve">D+8h6ToWZXQfuFar7teJhdYgqRRVGK7YClV5puT3UIA5GQG5ErvSjXUJ9uWrrQ3xd6NLk+ycqnoWgugnXdoT6jIiFpVuTgBwkz/5+X1KJqRyXUB/g2MCBKTkE/rtVBpX4S6JmXk5i5uJ/6J0ir0sqiY9ef//D8dHmQYFeJfDZ+9Pr09fG+JvfbwNp5wtbBzht21puev7jo82Tjh/nOudRkKcpy4IgSnM/jiPJgZRZGGVJGHOhwiDun3TosYCxNHH</w:instrText>
      </w:r>
      <w:r>
        <w:instrText xml:space="preserve">jIAmoa+hWsCeu9fcjFAnkCHTzv9CNi6alZuIvYtk3GFTUEU4q80sokb7qH6FyHuci49qNmMxdFijPFTL2Xcmkn2kdx5mgR45SbCiC3j+O9zheXFssL4Ddwrke8bzufq7Wjvmw5yoj6anMD9</w:instrText>
      </w:r>
      <w:r>
        <w:instrText xml:space="preserve">w0TLnLZBTjpzBxkzSBxFBEmIQDV3N8zPbS4nopqhHHPxfCudyx83Tk69wjdlHgsjTw3DTIwTPjvhf7kvPIYoezY2bfWcy+mxfrzyN2N0XnfLdj50c+cJAJNxOpcplOQjdTEXd9n8UJY57KpT+ww9kxu1uL3W0hgcNqxPAjPBIhd7vjGaZC5qGnXQ5ZYUfO3CzlnpurIGOhyljCLZ798THbfd8Zq/Si2HOcOPT8TDLPjZlgLgthwkSmqWteBb1QeT</w:instrText>
      </w:r>
      <w:r>
        <w:instrText xml:space="preserve">LwBoZ0eMzuo8Xuo6m3ofh9np+o9v84KFaqOMtV5mbkogymc9NIKDfxPB76XuqLLB940uExz1OL52n5BY5njfgJbb9zumMaaOGHea7cUAgwTQLfTZQKXRUwxG6UxEInA9PN+TFfO0aui7FqP1FMDtER6VzlAfxHSaYhJotcsE5dX2s/DH2hWO7bYh6q9txidz5v0GIVB/Y86+aA0vOBq+ShiL3E5bEC1wiBmUjG3NyPOMtieLAfWXLS6THbG4vtjW</w:instrText>
      </w:r>
      <w:r>
        <w:instrText xml:space="preserve">jEGol4zPZPGr1CI2ZzAfR2bnbsRSwSqQSiRCJUYFvtpr4M3ERLBoBMWGbbdo/KbzbyW/GIHDCYWOeJJ5IIkC9kCNHz3E1TL3RFrkTM/JCzyBLdnB7zvLd4Io3VCoXTiOv5vCA73w/urDIgfpK4moUES1qSJyOYfCFywWBzXwxs++PPOpaYibIYs73SqpOWd6kgTkXuMxeJhxH2CgQRjJ1GPFPgGjBfDVzN6THT9xbT9/XDmOOZ7qgzfT/YNhOZn3</w:instrText>
      </w:r>
      <w:r>
        <w:instrText xml:space="preserve">qR6/EM+g18DtXqAF1EruOcMT9g0nItc/xZnodp7bs56XZgmfkejwOkNJlQXmMJ0D5gyoW4CfdCPwqYBU/m9JjjJ4vjJ10sDsL2rXY+DWpFss6RupGecwm15oErkFfcPEFyVzJmSWQF7Vv9rHy6ona/GfG7Q0VT2mqVqVaJjF0NMIaMAfKMzoATUntJHgUJj620Zk4/Hyr6CwhclGVhxwoLZJJonrlAJNgy5MJN/EC5qCKCHADMkbwtcDLHn3VaPT</w:instrText>
      </w:r>
      <w:r>
        <w:instrText xml:space="preserve">vAiCvUjC1KugfbbRPkmQQeKyUKBaZTFCo8k25ONRJPA8WZ7bZbCgdGtfVsbicWRqV7kdqIAlWs82nQtQp1IljuuZ5EkmUySIHJeepGcSJlFjIvt/PrhsCB3HZivy4a51b/fJCA9MNcF02FAuZ6SO8xKj8mkdRRrYB9mKKWYblATlLSA3aFfpDZEbSl8ay92+xHNP5jJ0MZvXY/aqp5tZ0Hc+YhEYahG0UqJ9yIUD8hpmWiYAzPD+D4lrftkXk29e</w:instrText>
      </w:r>
      <w:r>
        <w:instrText xml:space="preserve">tqluti7AKoqIbEL0KVRn6iYHIWuyzPIzgdPC9CYkamElKlqWX8w4rqzmJ4N+/GTg5B7wZmCqUoV1S0JUj4kYpdESfIxhoglrIgAU/Lww+l2weOSq1H7E5Lidz1swUeMs5RkGoAJFMAjxg1RhZlgRvyJIzCSAOYraDanB+zfWuxfVsfIOR5VzhvB39WKhchwMJjMWrUNIE1WQKnzlMmUPeHvm/V/Tj7C4lH0Qv7YflWPhT6sZA/W4EshAr8KI4RyB</w:instrText>
      </w:r>
      <w:r>
        <w:instrText xml:space="preserve">KJPhapm0JAqDcRAdIeQxliVzdbEs8DZp43eqznW10oCy6DEKKlhI9eiBhSkDaLVORGieQ5V34WCcuudPh5mVfo9B7H0YuOMmsKhXbb6nY8dHPaB0bygDIuTCxEADtnsELM0YkEFnQNJJ4N3uqhWI31jSpal1bIZnEQ6xwp1wvQCoAxwoahwkG9g4qHhSGaLqspoNNjnlOL5xQl+ljeWjePRfVQame6Y5vkXEI+dCASEMVEjEpSc4ifqQzSoqO0+5</w:instrText>
      </w:r>
      <w:r>
        <w:instrText xml:space="preserve">+BxIG8V7bAzWreNc7VAVyKTumVY77dtELKl6EOkJeADWRn5iY8024WhEKi72RM7WGlIXDgXTZUvxcL1Iu3Y4jqlu1D4bwfUJp7Ms68FEnJQ7nOEo06ksnMDdGBMSljj3sWRPbnD5DK1vgdWj80I9OxnUv88m5QuIil9FOUdDEkJMSCg8UasIXUlPqRTkMWWHYuD/uTW9u3Ni2ncSSb7Zsiy6CGwb8i1G/IypmropiSoqDdCtSzYQoFZCIOMxspzf</w:instrText>
      </w:r>
      <w:r>
        <w:instrText xml:space="preserve">GDTsWOqU2rUumDF4QpTW0tDMmDjFP65ZyDceyhoQ+ZdL0sh29HKfOkFVFTqu1+OD6SNKo6W1/B2fDbzUZMK+d1KZrJrK5npTZbI5tf/du8/FpXfyibr/9QdYuvffYHItB+/VtWaR6KqkeiVotGzp3TfgXlyCyU0IMm2ePjX09v79+dX5FBlwtJv7IXZUqR6XL//emof3s66mV60LSBQm8zxNsVf8Pv68dK0y7K1D9PgstpdOqlZ5xP49PQSwPf96</w:instrText>
      </w:r>
      <w:r>
        <w:instrText xml:space="preserve">aXlyFj5715qlknZnQVTZXY57rsFvQv3yy10ITZGIEDLgKfcT+aRDxC3qDb9u8rwzIQ0n6/JcNgK7rctQrpC5GHfhpHjGWBp30Zc51xX/hMxQkaeoKDFqJJvSt38kiJxM0SQfleem6G6trNfCl4nPpxqgn7VC2nP4HjhQAUvoZftZdou4pZdfQ6h3tpejd7V10VGXpFqGjVdOZXV7UkFW4+MZqaLkRBWl3qlW4mD414LFY///uMfksusVXojTCK+U</w:instrText>
      </w:r>
      <w:r>
        <w:instrText xml:space="preserve">hfOd/0Xx39g1x6UxxfnF1enoZngZ9wFp5eppfs/Hx67qWncIhwOlrpihCkaHSlr0JkBpFAYB5loWQ+KqzUCxT8OFc5ndqudFEYP7/RxaOTHyfix/mMHNGfsGTCGDWvv2qpK0BO4KaQ/U1LXbAH9yJ7EYsmHmjS5l02ge/qzwW0SqHV6FVT6M/6ZFkUJ3eMMQSul8Yvuf8KbWCCLvSf5H0yWuJ6Sg1f3uOiMOj3uEj2YY3LP1zjilH/MuPpm3WQ09</w:instrText>
      </w:r>
      <w:r>
        <w:instrText xml:space="preserve">1Q45jekuc1Cv9CPjXg4Mc08F8aCYqlqFbtHx3zxt0e7S2C0FM4SNTNsm52b/KzzeQAf1nV/VyFwBL9GVBz0ZX98Lig5RZNA+J+RA+dAzSemKA6L99dtq/6MVH/1k7v9bN+ZWZ4dp84b+tH2K05dqq6nye4LaJIbzYZ5qJ11kjDmi7ST25oktctMpou5iC9GSZYI6DdFZb4hn7+XKhOlF/R0UYD/aHQR5qBi7btdwOsw5am+9mWW3VwiXoFAZ3Poi</w:instrText>
      </w:r>
      <w:r>
        <w:instrText xml:space="preserve">lItaRwoJwz7Zp6qUXlGuHoN6e5eZ9H0dlKmhPZBnEafFUvyjXkL/tbG/WQRDfbBY638JHVsXPVVbN+rndW1rVy3lVQwKpboRz6abR09LGpfwS1fsrRu8Eg9GYHoQXY6mozj7Gl4DzYzKF2d8rW4GsU29D9K1R+mwkqGksxzBs2E60vDeEOJzs0AmyLjLaJqu3wVNEFhKK9jolzalZ2VjsRbMUdO2ES4uPWTPfNSBZ1EM1HoYRBHCOp8cONVdvdTH</w:instrText>
      </w:r>
      <w:r>
        <w:instrText xml:space="preserve">G7XLNZLhlWv5zrzfTIIazP6NuXb99cX7zabHKY3Y21UxZmN6gjVXbL7YCOSG25/9HyHFrF6xcEgE+PNMr/0I9vrMshOo4RSFAIj7aS7MbC7nZsvG+r+NCwsIdu236gme15L0xWFg+a1k52v+w9qq60rV4z61091vbhHVuyPG2n7G42DKx307XLrqHIWpjA6onvCBG/HAn48C4DD1qAAHaunjQZGWRsXWMffKZgNocmYpsJpvHdDVhsp2Zo4Uy0rJ</w:instrText>
      </w:r>
      <w:r>
        <w:instrText xml:space="preserve">2X//Mf/+VPghdGrm30OttgpcviA1qOMB9sgnn791dbevNiNneX5OMNOeQT8PElA+zZc+v65Gievw8VJrZ+NTGjGygOOjC+icus6FvcdyfkSx6/cmj7p2t3gr2MXm2F2/p7Tealgxt4XG8cvbUCraMloxY5BLHYb39skIXWChoaCC+WjZ7ryvgJaXW3dwROjSgL2izDaVOZketujSe7xoB8UfVFuslP1Si09pYfu9YQQLgUC5B15v3mKykD110Vej</w:instrText>
      </w:r>
      <w:r>
        <w:instrText xml:space="preserve">tqpwS3S200k31uXXq72tnvz7bjJdtPqEWhF7PGeYcqdkU5+tOpkyY8DfHx3elX4/Xhdi3ntPy17kFdz8XnAhm4/B15XA1LdMO66W8lak+rI5+7UcCOnp1V70bS1qh6bvB1u913tBtMB0rFLPc0Pbv5msd5qvI4jJPY50wH6LYStJhCiiNrML2p5I6eGkxff9h7+0SHiYT1YdTmXdTw1zkKbcd8vnm3UVwFLM9dLSLmMjBxk1R7qMMCPwxElin7mX</w:instrText>
      </w:r>
      <w:r>
        <w:instrText xml:space="preserve">tHYtxpXtmd5pWABx90mae034HWz7kaWs0g9KUOAvTW1GWix1VumknppnmQ5yJGm+Jb478thYNnFPtxbrqgLcO3I+b3MAsEnw5vdF6m/cijGVjs5y7LNBogenmPUtyFCZVoz2rr+/MHL60Xe0+ts9nauRg/k9Uo0lY0TjYfb0etUepHMnbxP5mLdky5gnnajQRL/FBHseTWSGxHYsz+zJb7jHDpQO67eYGjztkgdy5lJnPY2hdxCN4sdFMWx27oRx</w:instrText>
      </w:r>
      <w:r>
        <w:instrText xml:space="preserve">HPBdNMWO9H/fmDdwX7efBcNGXdHjzzvxG0qFM758MboZ/KxPM5vcGGtJgQQOV5Frsxi4SMUwWNWGOjDYGDxxT73QqqAbAdPltVCLqVczs8W3k5y6Io9lzJaC5HujdTXxmFUqEVUWlsvXFvCIxZf2Oz/kZTvTdm/b6mMvKbgTH3PJEqlbux70cu4yENfiPpZqGfB0kWMeFZD7Lm+MHDqK3tawD6ga7va3qvdK4tVSc69X3uu4LTxoJUmSvg8K7W1A</w:instrText>
      </w:r>
      <w:r>
        <w:instrText xml:space="preserve">+Haaik9UzXnz94pbPHrv0r3f0Tmn4/zF3jSGklaIAk6SE4TrQrkkC4ecqljHTop2Hwi5p+b3v2e900hxH9TbFw3g9unaGZj2LgpMrzxKXXVzcRWrl+mCcsikWaCEvPOHwAIvYj3RSlGPSFHDp+prtFzY6+FhA/tZ6ClQfnykJXx3Bnxs1TP7yLq5DHSLGKe7EdzxsSB8s+9iDlQlQFQPzuC2JfDOMUHQVZksLOcUSzmyyk2Y0ngSTw+FAHeeT5z4</w:instrText>
      </w:r>
      <w:r>
        <w:instrText xml:space="preserve">ptcRxxerIb++//HLdjb6ipcz6YngBlPNLsUw3a7uLwwEiKHLjjwWgMoQAH5ZErhZBekMgY+qT3MVr3k7Q2+S+70XjQ842lkrc1Bfk343CjGsMxH27sz7SfBVHoZj4PgKlmPygLXA6rpABWrmMLz83x54N8k8HHcX4mFi01Klagp75IPMaRQGhdiMUBEloexW7uCS/K0wT/tRdLegIHs4A3e7OAqnbejDhf16uubB/Wjvl0A20xk1yHsZvKKKNNGg</w:instrText>
      </w:r>
      <w:r>
        <w:instrText xml:space="preserve">loC1A6pBEPQ5VnzLOmXFsKB7nEngWcO7dk4PFC1p2sATLnwywg1UHIwyRxM8UpedN2mxKBq8IkTnLp575vJzE6fsB3b42nRilt1nX2JgGonfvH+vNhk0cFAnVbptw44Yg4zQDoSoaomiKZ+IGXCGbvgm1JPLvSYt5AR7O9dm4vsyQ+AsNLaYUFcB4rjnowD90wZyL2YXk/s6emdPrZuen6cJPlrGse7JUL7gU54Cx3ea7gWIBRMNfSVVJyzuOMJ9</w:instrText>
      </w:r>
      <w:r>
        <w:instrText xml:space="preserve">Iat5jTByxtFDez2gMUvxUtveI7nwYkT9Mky4Xkbhjy1GUojIDkCRII5yiPAi8XuZW6NgSen4GvDrY9ztao5K0ZOIQSXKSZ65upWpYigqFTV0DDXsAiLVKrDDanD3Ym7RL4snsoDirgt0gqC+FcWnsXDOr0GfjoAFlLZSgMOMpRpbPIT6RSLLGyVn/+IGvYietCU/tzmLZuCvnQbzVeWMt3AYRTEXoLGZhRIqOtmszNPD8IYpWjBbC8akdifIE3tr</w:instrText>
      </w:r>
      <w:r>
        <w:instrText xml:space="preserve">LfiKI0et2rikTzuXhw3gz6DtI08hiqhCBF2LI4R70g4Gc8yjUqlljgClZZZM7/H4yZnnrY/ucnTcPr/ZcnTaeLifPe/D9kJ/0iO/Wew9xp13DRfdyfZ0e/z/ApJYgaZk8RqlSgdpJOkojWfYbZ0zCzeGL2lOYZqvogjbRC0xIwGSuWRzgUenkifYpUe/aEP/MgpOo/NUCWmuCOXOHxQCo/48q0AP9fZk8//C+Up45A&lt;/data&gt; \* MERGEFORMAT</w:instrText>
      </w:r>
      <w:r>
        <w:fldChar w:fldCharType="separate"/>
      </w:r>
      <w:r>
        <w:rPr>
          <w:color w:val="000000"/>
          <w:highlight w:val="white"/>
          <w:vertAlign w:val="superscript"/>
        </w:rPr>
        <w:t xml:space="preserve">27,28</w:t>
      </w:r>
      <w:r>
        <w:rPr>
          <w:color w:val="000000"/>
          <w:highlight w:val="white"/>
        </w:rPr>
        <w:fldChar w:fldCharType="end"/>
      </w:r>
      <w:r>
        <w:t xml:space="preserve">; </w:t>
      </w:r>
      <w:r>
        <w:fldChar w:fldCharType="begin"/>
      </w:r>
      <w:r>
        <w:instrText xml:space="preserve">ADDIN paperpile_cita</w:instrText>
      </w:r>
      <w:r>
        <w:instrText xml:space="preserve">tion &lt;clusterId&gt;U262H342D632B333&lt;/clusterId&gt;&lt;metadata&gt;&lt;citation&gt;&lt;id&gt;8E2D8256117F08C7A8238E264F6B60CA&lt;/id&gt;&lt;/citation&gt;&lt;citation&gt;&lt;id&gt;7E58C6B6D5FD09E0BA18F80AA762190F&lt;/id&gt;&lt;/citation&gt;&lt;citation&gt;&lt;id&gt;7E74B5664DB30500B044F087D473204E&lt;/id&gt;&lt;/citation&gt;&lt;/metadata&gt;&lt;data</w:instrText>
      </w:r>
      <w:r>
        <w:instrText xml:space="preserve">&gt;eJzdWuuOGzeafRWigcm0AZWada9yYOz0NbbjbhtuB8YgCAIWyZIYl6qUqpLbcpBf82sfZJ9n32GfZM9HlqSSun1JBjsY7B9bokh+94/nkP3jb0c/G3X0+Ci7DC6yIE58P73i2Xl6mgUhxpLoKjlL+Pnp0eRIrZY/d3PhY7YqZeAHma+LIMqLMk2iRPBYCpkFWaSCWEVa+SKJscp03UpjiY/Pq7Y6evzj0bzvl49PTtSHqWrMtGlnJz6f+txPTn6</w:instrText>
      </w:r>
      <w:r>
        <w:instrText xml:space="preserve">Zil/ms2nA/WDK4ykPaBVN7zD/7u5uWsvCTOtqMa3NfDpr3p8sV8VCq5MgSHmYpfkXpy/kiWh7Iyvdnby6Pg/DPA3idLSsMvU7U8/mq2Kqq06/N7qdymZx0uq+Nfq9Plkac3LLOQ+8PMjTYz94xHnII2+8idPqvvitmj/BnY0ht3zOcviu/llUPc2Lw9RLEk4uxe6V6eYacfvtaNHU/RwTSLwSa5oa4uNaixafab+j3ydHoixNZURvmhqj3+lawwf</w:instrText>
      </w:r>
      <w:r>
        <w:instrText xml:space="preserve">swnRadJq91vi/lXN21opazifsxs4UFXu6WoiaYX6zGE17Vne96Ve9Hs3cjnWsKdlTDbWx0Znu57pTYsKuL1jAszyYsB9uT6fQUBRd3wrZO32wv8dErZj+QB87/etK1xKBYLLp+o6JVuNT3Zt6RYN9w0pRVRO7BCqumamVeW/USlRu8qpWup01djJU0Ex0ne66ha5pt461G2OWNh/MUtgfsN0SJtGsKXsz18zmL5nUachXol2z467xJKRrBanSKEw</w:instrText>
      </w:r>
      <w:r>
        <w:instrText xml:space="preserve">W1SNWkgr1rMOgswK7iWrdGYx0Vvm2ea/bzohBbyV6YXWttVbYrKnZAv5qlHWh0r2W5Fw7FzaYlpWt88t6yt5qtjRV02PdTrP3ojWwY7S2WDstPpIjrFYdK5uWLVa9jZzVViLquvW6VSf1sjcFUqVfs25dq9YuwJRuVfyCLcl1mNoLU0MwbSSgWdt0KCj8CzuXcwSzXy9153TULWahGAaXjAIL7eI0YOeouFv9614cnH8gNkzZDMmKgTuEou51u0Q</w:instrText>
      </w:r>
      <w:r>
        <w:instrText xml:space="preserve">hYrfB0g6OET0MWCHCczObe0vKbUpjPZg1sgPOWHUkGjktqlnTmn6+cDugPLA5NkZerCrsC+1gGSsEGYVwbBzGyLYJ+xWJBic5RbdhGUI13m+zzqNoF1RtSBd0kvsSlC6tV6XoNenmKolMsxtYd9pkM6XBtCiONt7UB+5Qpiyt8BJ2WyFzW8etpmHMn7LLD7KCLygB7jCGGlL6nkbb7Qdr2XGQbEU9ssaSz0f2G7eDbOZN27PjNB1NR7Ko4vbmFTv</w:instrText>
      </w:r>
      <w:r>
        <w:instrText xml:space="preserve">2R8MTVmnxnoIShtHODkhfIrlhLHqLRIoYVBwziyX2FdaCN7aqrfLlqqUs3Dn90BC5al3w8BmGaHxbYV2raTsk6i0ae32QgWWzamn+3Rw+tGLw5bSbv9O1+GjYc32HHoygoR5QcS7wrdbbJcoohkpASWukg1iYau3NTdc37dqjPFAuHC3Z15JOBl1yLtAWdKXpa7Pq2Nnr81OfPEcfgl3VTtnLWo8VtivF3trbi6fn2xUooLlBt7OV0tFKMRP1rDL</w:instrText>
      </w:r>
      <w:r>
        <w:instrText xml:space="preserve">NQnSUDvvFOUEIV0vqcHeoEexS9UaZDrIQCuo021ocdncdh7J3iFW13kar/5puY8v8263Xu5Wcj5ZZ/2PtuMuTZs0KrmedmdUoCkminKfZ4GlbV+6Us/WDRom8R6rbOrnXOG2y2JR+IOUgsKpYoXe2it52kiX8II0oKr1fCa7duhaB9tWtZjPd9U70EjFqyW7sNzOUfTjSKGcVUrFqlnRO2bbTwHCN01vSmYSvyrWFff+7KKGtkF8guRLtDPUwnGR</w:instrText>
      </w:r>
      <w:r>
        <w:instrText xml:space="preserve">s1iKYHR26OKIrQmO39y0/8O7o/Dzs3I9ZJ5HptW3ipW3i45XbHtXd68hfmwcEcgScBU3z1PN5hoGyqaARhn4EeBpwKA8AWbnOCz8OCp6qPA51wIuMaz/iiYglz4siLAss/wWJhYOwXFXAoEenCxQJFGDDsI277ZEzh426AX6RkA3WI9CyQs4BWP342xHyg5oT6fj8Oeln2o7AzHNdIxnhfTuIs0/0PUG1o+fNHBgJwbLTB9idJTqPcuUlWRx7nOO</w:instrText>
      </w:r>
      <w:r>
        <w:instrText xml:space="preserve">fjEehF4Q60nGkw4hrTK6E23rYAYhuT/7b25H8t7pWa3Z7IPz1qjBYq+F3O9uJB4iPBRehl5Sp8ngWBF4mU+lFeazCXAot0nAnfrfHoQJX1yMFrir0c8GuDzS4EtI0zM50wgvtJ6lIfC8SPITwRHkiyEsvSDQXWYKPEd8Jt8sP5V6MxF5AqjqQeTNjF1t5eRHGuR9yLy+T3OOyKD0hReH5eVgSWUmTWO7k3cwOhb24GUl7IVoUz82BvFtiDsxOdDI</w:instrText>
      </w:r>
      <w:r>
        <w:instrText xml:space="preserve">V55nUZe5Ffor4BjL0shQmx0jKsoxCJeNgJ9MuPxT7/PtxcqG7afb9gdg3mtLt+11YoziJ8gD+TILU46LIvTxDkhVpUfA4SnWQJzuptPqe0PN9oajl8wOh16gkA6rE7FwnOBFpkKokwAGXFnAxDC+EL7xUx6GIg4j7Uu0Eb3a45+jvxo7WXQWTvzuQfob2ouU72G1nO/Ex94sEHcHLeYl09jPh5SqXnvCzQIkyFVKO7N5ucfQ7OorEEazO1i9A//D</w:instrText>
      </w:r>
      <w:r>
        <w:instrText xml:space="preserve">bQFE7OW/QS8HdmlmlLQ8chv5jXj3R9TdV++SberV4EvJvaIPuyR/ktrDeVueGjJw6bupIHiFN/Pjq1c+nr988O39xScMLSUNj5lqJQldDXyQl3un1qFeQPA82bjug7X5T9nxK5G7KLBeko6G5qzVRxsvwPIuuLpPTID/z/cv0NA7yKAyDy6urmPNzKsn3TbVakGq5b+XXsxW6Nb7rGt9xNggbJD/xgyDJ04RPI2yR5aS+S9AdXcfJ4KgsRxRJ/Ws</w:instrText>
      </w:r>
      <w:r>
        <w:instrText xml:space="preserve">VU9NFI88KkYVKJ7EuEbyiTLgSysdORUQHQgd7pHaRD6Wfcz/OvDQvIkS+0J6IMuVlCff9JEGVlYIIciMvP0DiBbA4kWfTXeF8BXo4egw62Wnq+c/qF6ZocTQePe7blR160Ujy2zDFOupyIQy5cklwa/quFTiBP/5tRqOUJht/3gjrp1c0i33vZh39Tvnu9E4v4+w8OUsu4qsLnl/ys1M/u8r46WmaBLDoav/ahewXRZoHkSyChBexzuMYxvl5qrK</w:instrText>
      </w:r>
      <w:r>
        <w:instrText xml:space="preserve">YKzpEVCLF6NqFXIyEuGtaZU+K726/HZHWLWcdD+Kw/5Z4W0e83nwkDqMV8EeNYSBboJyZuw/YIYIv3u3w4ATH62oaBGEaf+2dTpj5WRR/+Qro8E4nzRLfHh2bZf+EKg/vfXJwgXO45/jihucZEAyPPnVxk+/d1oT3b2vOWqAosbAw8i38Xv+1Y0+bbml6uki4AO7qBmoz3OuANjRU+hN2LbpOyDkgf0+Uhm5eALsw9jeBCp4uTD/VarV/GfOsp+u</w:instrText>
      </w:r>
      <w:r>
        <w:instrText xml:space="preserve">KurljUANpY3EtwCk+IofH8H5Ex21eePt5seVXjoZuETX6VQMCZhmu4zEL8QsoDspm2dQD7nV3NpsNoBCEAyaPKO07qAiCMrM0z9Iu6PKemA/ptuPJAMHzBpoZucW6E8p20AACsNt7oE2YQUgbueq8bglQD9zt8HtjCeaGw9PdxtzAL3Shw/yYTwASHWd5QBy42XtoCcQ80mvirq22pjqGiVCDX5F3iW3R7vaSiXULDG5odddDdUcDECJHRUYAfMK</w:instrText>
      </w:r>
      <w:r>
        <w:instrText xml:space="preserve">6ZrgvAjWp4PMBWiOIolsvlj04H13/LZvlqtrgcUL8MB+HHfEkd2ek7b2T9auobERJpGMXiLIN1EP2bmNkGwdCTh7sLIMhj44pOGw72HBPxTGvOL5hT5g/4Xngrh5AFfFvNo3/svPiQ9qQiJ5uGcC9kF+jPafsmbsoQHzAh8c/bW4yfAqsu5/s2Ku2oUuwyddnGmukJEJbb0XgMGW9od2O//sfMCiIp/EjkjZvFs3H9YyYOwEda2IeBXuTk2wauMl</w:instrText>
      </w:r>
      <w:r>
        <w:instrText xml:space="preserve">0oIynu6hViDy1dMcx9xPsIe3o8nGgrD1sscq2luFRumv7ezhJo9HFjLsPMDVd/VWV3uO8x9enV4/Y//znfzE+5T47jqbJX1ysgkkWpgebYPJmbsyOQ8TxEd3q0HVpTWlDV8kP2LHdZCEse9Zti6haP2wuYKGbLbmquSMWvOOf2K4eB09/WNryGVPjFzYZAeoKHIEkdmCEO8Ggzh3CTqWJkir2XOvuqRdo7jbvPpHLI37rB37iASfxQ4q7T1jdRfy</w:instrText>
      </w:r>
      <w:r>
        <w:instrText xml:space="preserve">GPx9tGXAcgmDEWZj7ZS4yreIiKf1YCvBe4KQUTCAuVe6nOzrr8zj30jSPPkln7WvPBn+fz1u6SllS+zs9AOHndJQwO32gOyotokRGXixyorMy97JM+F5aKCWjTJRRku4AuF1+CP6v/z4Sfi3ad+zvh2ynQdu20wZeF4KnFomGqKT0eJimHgwOPaXxnXhdEIxIB62+RyPH9PVC1EZX9+jrczoKa3ax468JYFgsZOpFQZ4T5kw9oWOwrCTCZylzPib</w:instrText>
      </w:r>
      <w:r>
        <w:instrText xml:space="preserve">Pbv2/gGocYpF/gmJsgdTDFMPGjzCL91Ht8QtLLK4pV/8ssQijryAWWexP09zPk2xHLHaY8RPEIkqSGMUhZKmSvIiJhoiMF1GehiLLs+KAWORhkMkgCzw/DEOPlyhWUMrSK7NMBULLsMz8f09ikUZncZJEF2chh3vPeBRd8Sy9iNIw4NHlPrHQRR6jWLjUOtICTE0lQmS+FEKASmObPFClLLMRsQi/iPnD7GRmFkR4o6ntNl8F+mOepknMvzj9AJh</w:instrText>
      </w:r>
      <w:r>
        <w:rPr>
          <w:lang w:val="en-US"/>
        </w:rPr>
        <w:instrText xml:space="preserve">HIch/PMbzf0AXC0VsyW23xGyajLn7SP/eRg9i+v0X2Jgw/f5bLkefSpLRqWOfGhdLQHA6chzuJXj6AFdz8Grzwvgw9rZnOA46nKO93j1QEWp0bw/01tgoXTnyNoL/r354/erl7eVj+/i5vSY9b3DWzyz+ux4w3ZZskA4WIdGXVhPQIjBE+xmcubOVsXI0/UhHo64H4L2x0V5n/1kz6VFvgUYEco</w:instrText>
      </w:r>
      <w:r>
        <w:rPr>
          <w:lang w:val="en-US"/>
        </w:rPr>
        <w:instrText xml:space="preserve">ADnd41CJWw41p/6Gm2di8/j8ZL3ANo1ZtlZZ8ElBkeVV41gMtrAGz0GfdSbJVw4B+dyHmQzviud48BtN1wZU+YfvscTccGjn57qy/e2bfLZgschodEB62HEMEDrX2MB2wAW39XNUK51xpFJn42Iyz4o5eo1hTa7qstL3BvX8A8s+EZHE6ABj1gSL95q8TYQHTccya9tcAy0dnfkJJEIBxHwGbAQGtrshGzGiQTsGbzeGX3E8PDxogzTAZBjSNpg5</w:instrText>
      </w:r>
      <w:r>
        <w:rPr>
          <w:lang w:val="en-US"/>
        </w:rPr>
        <w:instrText xml:space="preserve">0bhRzOGn6glxk1CsiE0rQV/ebJ4wHDry/fPH15cfvYeWCIg30SWlBwF/Q8beEXVtmE3+V/YShnMb5sm2LDkSg1hqDYJP2scHrfbg09bpOJsNcoOqAc9bHC3HPztkdsH+hHBTllry9vf3jx5taVnFsnmxbFQpgciktiaaRG0emWOPDntTofB9xu91f34Legw6Jj3by5G5C1ffZ0YN6miXvrfyi4mDEqIEFEQcj18PDu+Ju1zWa2+VLUzl/enL/44f</w:instrText>
      </w:r>
      <w:r>
        <w:rPr>
          <w:lang w:val="en-US"/>
        </w:rPr>
        <w:instrText xml:space="preserve">bZy5vH7CX40aHRwOWVMPVXm/y9BmGm+wGH2N3kIaEeMmdyLxBI/eGdcMQXXOqO7cbXwjSmdsjQdr/BFQjjZ1S0PQO9EWtsn4JtQyXauxUbB+fFTR/oNgx0VyG7wtgWi/1Dmr3bolfERapmtmY3aBj0tzz6jt02APrsLQqyG/40h23nTdjrZg1V7XR2O6cHx9310u1a1RpzTld0QkDMlPk/sf9rIezH4KdhdHve3AINN5Vnd9Bt/fkdf6htMlBFw3</w:instrText>
      </w:r>
      <w:r>
        <w:rPr>
          <w:lang w:val="en-US"/>
        </w:rPr>
        <w:instrText xml:space="preserve">Gb/R+QE/40bEzznm3iihx+o+W8Jt0NXQl95X7/r5wzHbPUPPUCe4f5GY66RQSm3l4ZP4YIOlugzOiptf9KbLHjuQDtolRBntFrQKIKoNIiTsowSJIiiFWZqqDUQvAxz80zL0w4/yTPtWxn+860kmvvsr73hHhBdW9nOmAN6aALZeaVEj7hUnEvD/PCy7UOMpWVIAyjV0tafe95697r1uHbFvyk+5692PHqsCzjTElPJwV4dSnpEVP7HqgOqL8QaR</w:instrText>
      </w:r>
      <w:r>
        <w:rPr>
          <w:lang w:val="en-US"/>
        </w:rPr>
        <w:instrText xml:space="preserve">AXo4ctt/6zj6XNaobZh3x+rjtCOrs30zL3wzgvE6/Uyve4yJWXlZn0lAKjLwslk3AkeFj/LyC592D4n2e5O+YwZrk7MuseyCg1qSB27JdCS+Dea/s/RnIPae2W9NpbmkOSm/v+NEr8kI9I7o4jfYLkpmlUyMAXfqm1L2MZB0jaAMHKdIC10QHJzZIs4ppnXhZn2uN5KL1CFoWXJGWuoygssij5NyK5P/0vluHrMg==&lt;/data&gt; \* MERGEFORMAT</w:instrText>
      </w:r>
      <w:r>
        <w:fldChar w:fldCharType="separate"/>
      </w:r>
      <w:r>
        <w:rPr>
          <w:color w:val="000000"/>
          <w:vertAlign w:val="superscript"/>
          <w:lang w:val="en-US"/>
        </w:rPr>
        <w:t xml:space="preserve">29–31</w:t>
      </w:r>
      <w:r>
        <w:rPr>
          <w:color w:val="000000"/>
        </w:rPr>
        <w:fldChar w:fldCharType="end"/>
      </w:r>
      <w:r>
        <w:rPr>
          <w:highlight w:val="white"/>
          <w:lang w:val="en-US"/>
        </w:rPr>
        <w:t xml:space="preserve">. This high variability of SF rates of incidental findings </w:t>
      </w:r>
      <w:r>
        <w:rPr>
          <w:highlight w:val="white"/>
          <w:lang w:val="en-US"/>
        </w:rPr>
        <w:t xml:space="preserve">are</w:t>
      </w:r>
      <w:r>
        <w:rPr>
          <w:highlight w:val="white"/>
          <w:lang w:val="en-US"/>
        </w:rPr>
        <w:t xml:space="preserve"> clearly related t</w:t>
      </w:r>
      <w:r>
        <w:rPr>
          <w:highlight w:val="white"/>
          <w:lang w:val="en-US"/>
        </w:rPr>
        <w:t xml:space="preserve">o the high discrepancy with respect to the genetic diagnoses considered as medically actionable, to the recruitment of probands (opt-out for non-ACMG incidental findings versus non opt out in patients consent form), to classification strategy, and to filte</w:t>
      </w:r>
      <w:r>
        <w:rPr>
          <w:highlight w:val="white"/>
          <w:lang w:val="en-US"/>
        </w:rPr>
        <w:t xml:space="preserve">ring procedures of variants in exome analysis. This underlines the need for an updated and curated set of genes, standards with respect to analysis procedures, determination of pathogenicity of variants, and guidelines for returning results to the patient.</w:t>
      </w:r>
      <w:r/>
    </w:p>
    <w:p>
      <w:pPr>
        <w:jc w:val="both"/>
        <w:spacing w:lineRule="auto" w:line="240" w:after="240" w:before="240"/>
        <w:rPr>
          <w:b/>
          <w:shd w:val="clear" w:fill="FF9900" w:color="auto"/>
          <w:lang w:val="en-US"/>
        </w:rPr>
      </w:pPr>
      <w:r>
        <w:rPr>
          <w:b/>
          <w:shd w:val="clear" w:fill="FF9900" w:color="auto"/>
          <w:lang w:val="en-US"/>
        </w:rPr>
      </w:r>
      <w:r/>
    </w:p>
    <w:p>
      <w:pPr>
        <w:jc w:val="both"/>
        <w:spacing w:lineRule="auto" w:line="240" w:after="240" w:before="240"/>
        <w:rPr>
          <w:lang w:val="en-US"/>
        </w:rPr>
      </w:pPr>
      <w:r>
        <w:rPr>
          <w:lang w:val="en-US"/>
        </w:rPr>
      </w:r>
      <w:r/>
    </w:p>
    <w:p>
      <w:pPr>
        <w:rPr>
          <w:sz w:val="32"/>
          <w:szCs w:val="32"/>
          <w:lang w:val="en-US"/>
        </w:rPr>
      </w:pPr>
      <w:r>
        <w:rPr>
          <w:lang w:val="en-US"/>
        </w:rPr>
        <w:br w:type="page"/>
      </w:r>
      <w:r/>
    </w:p>
    <w:p>
      <w:pPr>
        <w:pStyle w:val="642"/>
        <w:rPr>
          <w:lang w:val="en-US"/>
        </w:rPr>
      </w:pPr>
      <w:r/>
      <w:bookmarkStart w:id="16" w:name="_Toc90629826"/>
      <w:r>
        <w:rPr>
          <w:lang w:val="en-US"/>
        </w:rPr>
        <w:t xml:space="preserve">References</w:t>
      </w:r>
      <w:bookmarkEnd w:id="16"/>
      <w:r/>
      <w:r/>
    </w:p>
    <w:p>
      <w:pPr>
        <w:spacing w:lineRule="auto" w:line="240"/>
        <w:widowControl w:val="off"/>
        <w:rPr>
          <w:lang w:val="en-US"/>
        </w:rPr>
      </w:pPr>
      <w:r>
        <w:rPr>
          <w:lang w:val="en-US"/>
        </w:rPr>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fldChar w:fldCharType="begin"/>
      </w:r>
      <w:r>
        <w:rPr>
          <w:lang w:val="en-US"/>
        </w:rPr>
        <w:instrText xml:space="preserve">ADDIN paperpile_bibliography &lt;pp-bibliography&gt;&lt;first-reference-indices&gt;&lt;formatting&gt;1&lt;/formatting&gt;&lt;space-after&gt;1&lt;/space-after&gt;&lt;/first-reference-indices&gt;&lt;/pp-bibliography&gt; \* MERGEFORMAT</w:instrText>
      </w:r>
      <w:r>
        <w:fldChar w:fldCharType="separate"/>
      </w:r>
      <w:r>
        <w:rPr>
          <w:lang w:val="en-US"/>
        </w:rPr>
        <w:t xml:space="preserve">1.</w:t>
      </w:r>
      <w:r>
        <w:rPr>
          <w:lang w:val="en-US"/>
        </w:rPr>
        <w:tab/>
        <w:t xml:space="preserve">Vasimuddin, M., Misra, S., Li, H. &amp; Aluru, S. Efficient Architecture-Aware Acceleration of BWA-MEM for Multicore Systems. in </w:t>
      </w:r>
      <w:r>
        <w:rPr>
          <w:i/>
          <w:lang w:val="en-US"/>
        </w:rPr>
        <w:t xml:space="preserve">2019 IEEE International Parallel and Distributed Processing Symposium (IPDPS)</w:t>
      </w:r>
      <w:r>
        <w:rPr>
          <w:lang w:val="en-US"/>
        </w:rPr>
        <w:t xml:space="preserve"> 314–324 (2019).</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t xml:space="preserve">2.</w:t>
      </w:r>
      <w:r>
        <w:rPr>
          <w:lang w:val="en-US"/>
        </w:rPr>
        <w:tab/>
        <w:t xml:space="preserve">Li, H. &amp; Durbin, R. Fast and accurate short read alignment with Burrows-Wheeler transform. </w:t>
      </w:r>
      <w:r>
        <w:rPr>
          <w:i/>
          <w:lang w:val="en-US"/>
        </w:rPr>
        <w:t xml:space="preserve">Bioinformatics</w:t>
      </w:r>
      <w:r>
        <w:rPr>
          <w:lang w:val="en-US"/>
        </w:rPr>
        <w:t xml:space="preserve"> </w:t>
      </w:r>
      <w:r>
        <w:rPr>
          <w:b/>
          <w:lang w:val="en-US"/>
        </w:rPr>
        <w:t xml:space="preserve">25</w:t>
      </w:r>
      <w:r>
        <w:rPr>
          <w:lang w:val="en-US"/>
        </w:rPr>
        <w:t xml:space="preserve">, 1754–1760 (2009).</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t xml:space="preserve">3.</w:t>
      </w:r>
      <w:r>
        <w:rPr>
          <w:lang w:val="en-US"/>
        </w:rPr>
        <w:tab/>
        <w:t xml:space="preserve">DePristo, M. A. </w:t>
      </w:r>
      <w:r>
        <w:rPr>
          <w:i/>
          <w:lang w:val="en-US"/>
        </w:rPr>
        <w:t xml:space="preserve">et al.</w:t>
      </w:r>
      <w:r>
        <w:rPr>
          <w:lang w:val="en-US"/>
        </w:rPr>
        <w:t xml:space="preserve"> A framework for variation discovery and genotyping using next-generation DNA sequencing data. </w:t>
      </w:r>
      <w:r>
        <w:rPr>
          <w:i/>
          <w:lang w:val="en-US"/>
        </w:rPr>
        <w:t xml:space="preserve">Nat. Genet.</w:t>
      </w:r>
      <w:r>
        <w:rPr>
          <w:lang w:val="en-US"/>
        </w:rPr>
        <w:t xml:space="preserve"> </w:t>
      </w:r>
      <w:r>
        <w:rPr>
          <w:b/>
          <w:lang w:val="en-US"/>
        </w:rPr>
        <w:t xml:space="preserve">43</w:t>
      </w:r>
      <w:r>
        <w:rPr>
          <w:lang w:val="en-US"/>
        </w:rPr>
        <w:t xml:space="preserve">, 491–498 (2011).</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t xml:space="preserve">4.</w:t>
      </w:r>
      <w:r>
        <w:rPr>
          <w:lang w:val="en-US"/>
        </w:rPr>
        <w:tab/>
        <w:t xml:space="preserve">Li, H. A statistical framework for SNP calling, mutation discovery, association mapping and population genetical parameter estimation from sequencing data. </w:t>
      </w:r>
      <w:r>
        <w:rPr>
          <w:i/>
          <w:lang w:val="en-US"/>
        </w:rPr>
        <w:t xml:space="preserve">Bioinformatics</w:t>
      </w:r>
      <w:r>
        <w:rPr>
          <w:lang w:val="en-US"/>
        </w:rPr>
        <w:t xml:space="preserve"> </w:t>
      </w:r>
      <w:r>
        <w:rPr>
          <w:b/>
          <w:lang w:val="en-US"/>
        </w:rPr>
        <w:t xml:space="preserve">27</w:t>
      </w:r>
      <w:r>
        <w:rPr>
          <w:lang w:val="en-US"/>
        </w:rPr>
        <w:t xml:space="preserve">, 2987–2993 (2011).</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t xml:space="preserve">5.</w:t>
      </w:r>
      <w:r>
        <w:rPr>
          <w:lang w:val="en-US"/>
        </w:rPr>
        <w:tab/>
        <w:t xml:space="preserve">Wagner, M. </w:t>
      </w:r>
      <w:r>
        <w:rPr>
          <w:i/>
          <w:lang w:val="en-US"/>
        </w:rPr>
        <w:t xml:space="preserve">et al.</w:t>
      </w:r>
      <w:r>
        <w:rPr>
          <w:lang w:val="en-US"/>
        </w:rPr>
        <w:t xml:space="preserve"> Mitochondrial DNA mutation analysis from exome sequencing-A more holistic approach in diagnostics of suspected mitochondrial disease. </w:t>
      </w:r>
      <w:r>
        <w:rPr>
          <w:i/>
          <w:lang w:val="en-US"/>
        </w:rPr>
        <w:t xml:space="preserve">J. Inherit. Metab. Dis.</w:t>
      </w:r>
      <w:r>
        <w:rPr>
          <w:lang w:val="en-US"/>
        </w:rPr>
        <w:t xml:space="preserve"> </w:t>
      </w:r>
      <w:r>
        <w:rPr>
          <w:b/>
          <w:lang w:val="en-US"/>
        </w:rPr>
        <w:t xml:space="preserve">42</w:t>
      </w:r>
      <w:r>
        <w:rPr>
          <w:lang w:val="en-US"/>
        </w:rPr>
        <w:t xml:space="preserve">, 909–917 (2019).</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t xml:space="preserve">6.</w:t>
      </w:r>
      <w:r>
        <w:rPr>
          <w:lang w:val="en-US"/>
        </w:rPr>
        <w:tab/>
        <w:t xml:space="preserve">Ye, K. </w:t>
      </w:r>
      <w:r>
        <w:rPr>
          <w:i/>
          <w:lang w:val="en-US"/>
        </w:rPr>
        <w:t xml:space="preserve">et al.</w:t>
      </w:r>
      <w:r>
        <w:rPr>
          <w:lang w:val="en-US"/>
        </w:rPr>
        <w:t xml:space="preserve"> Split-Read Indel and Structural Variant Calling Using PINDEL. </w:t>
      </w:r>
      <w:r>
        <w:rPr>
          <w:i/>
          <w:lang w:val="en-US"/>
        </w:rPr>
        <w:t xml:space="preserve">Methods Mol. Biol.</w:t>
      </w:r>
      <w:r>
        <w:rPr>
          <w:lang w:val="en-US"/>
        </w:rPr>
        <w:t xml:space="preserve"> </w:t>
      </w:r>
      <w:r>
        <w:rPr>
          <w:b/>
          <w:lang w:val="en-US"/>
        </w:rPr>
        <w:t xml:space="preserve">1833</w:t>
      </w:r>
      <w:r>
        <w:rPr>
          <w:lang w:val="en-US"/>
        </w:rPr>
        <w:t xml:space="preserve">, 95–105 (2018).</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t xml:space="preserve">7.</w:t>
      </w:r>
      <w:r>
        <w:rPr>
          <w:lang w:val="en-US"/>
        </w:rPr>
        <w:tab/>
        <w:t xml:space="preserve">Plagnol, V. </w:t>
      </w:r>
      <w:r>
        <w:rPr>
          <w:i/>
          <w:lang w:val="en-US"/>
        </w:rPr>
        <w:t xml:space="preserve">et al.</w:t>
      </w:r>
      <w:r>
        <w:rPr>
          <w:lang w:val="en-US"/>
        </w:rPr>
        <w:t xml:space="preserve"> A robust model for read count data in exome sequencing experiments and implications for copy number variant calling. </w:t>
      </w:r>
      <w:r>
        <w:rPr>
          <w:i/>
          <w:lang w:val="en-US"/>
        </w:rPr>
        <w:t xml:space="preserve">Bioinformatics</w:t>
      </w:r>
      <w:r>
        <w:rPr>
          <w:lang w:val="en-US"/>
        </w:rPr>
        <w:t xml:space="preserve"> </w:t>
      </w:r>
      <w:r>
        <w:rPr>
          <w:b/>
          <w:lang w:val="en-US"/>
        </w:rPr>
        <w:t xml:space="preserve">28</w:t>
      </w:r>
      <w:r>
        <w:rPr>
          <w:lang w:val="en-US"/>
        </w:rPr>
        <w:t xml:space="preserve">, 2747–2754 (2012).</w:t>
      </w:r>
      <w:r/>
    </w:p>
    <w:p>
      <w:pPr>
        <w:ind w:left="440" w:hanging="440"/>
        <w:spacing w:lineRule="auto" w:line="240"/>
        <w:widowControl w:val="off"/>
        <w:tabs>
          <w:tab w:val="left" w:pos="440" w:leader="none"/>
        </w:tabs>
        <w:pBdr>
          <w:left w:val="none" w:color="000000" w:sz="4" w:space="0"/>
          <w:top w:val="none" w:color="000000" w:sz="4" w:space="0"/>
          <w:right w:val="none" w:color="000000" w:sz="4" w:space="0"/>
          <w:bottom w:val="none" w:color="000000" w:sz="4" w:space="0"/>
          <w:between w:val="none" w:color="000000" w:sz="4" w:space="0"/>
        </w:pBdr>
      </w:pPr>
      <w:r>
        <w:rPr>
          <w:lang w:val="en-US"/>
        </w:rPr>
        <w:t xml:space="preserve">8.</w:t>
      </w:r>
      <w:r>
        <w:rPr>
          <w:lang w:val="en-US"/>
        </w:rPr>
        <w:tab/>
        <w:t xml:space="preserve">McLaren, W. </w:t>
      </w:r>
      <w:r>
        <w:rPr>
          <w:i/>
          <w:lang w:val="en-US"/>
        </w:rPr>
        <w:t xml:space="preserve">et al.</w:t>
      </w:r>
      <w:r>
        <w:rPr>
          <w:lang w:val="en-US"/>
        </w:rPr>
        <w:t xml:space="preserve"> The Ensembl Variant Effect Predictor. </w:t>
      </w:r>
      <w:r>
        <w:rPr>
          <w:i/>
        </w:rPr>
        <w:t xml:space="preserve">Genome Biol.</w:t>
      </w:r>
      <w:r>
        <w:t xml:space="preserve"> </w:t>
      </w:r>
      <w:r>
        <w:rPr>
          <w:b/>
        </w:rPr>
        <w:t xml:space="preserve">17</w:t>
      </w:r>
      <w:r>
        <w:t xml:space="preserve">, 122 (2016).</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t xml:space="preserve">9.</w:t>
      </w:r>
      <w:r>
        <w:tab/>
        <w:t xml:space="preserve">Jäger, M. </w:t>
      </w:r>
      <w:r>
        <w:rPr>
          <w:i/>
        </w:rPr>
        <w:t xml:space="preserve">et al.</w:t>
      </w:r>
      <w:r>
        <w:t xml:space="preserve"> </w:t>
      </w:r>
      <w:r>
        <w:rPr>
          <w:lang w:val="en-US"/>
        </w:rPr>
        <w:t xml:space="preserve">Jannovar: a java library for exome annotation. </w:t>
      </w:r>
      <w:r>
        <w:rPr>
          <w:i/>
          <w:lang w:val="en-US"/>
        </w:rPr>
        <w:t xml:space="preserve">Hum. Mutat.</w:t>
      </w:r>
      <w:r>
        <w:rPr>
          <w:lang w:val="en-US"/>
        </w:rPr>
        <w:t xml:space="preserve"> </w:t>
      </w:r>
      <w:r>
        <w:rPr>
          <w:b/>
          <w:lang w:val="en-US"/>
        </w:rPr>
        <w:t xml:space="preserve">35</w:t>
      </w:r>
      <w:r>
        <w:rPr>
          <w:lang w:val="en-US"/>
        </w:rPr>
        <w:t xml:space="preserve">, 548–555 (2014).</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t xml:space="preserve">10.</w:t>
      </w:r>
      <w:r>
        <w:rPr>
          <w:lang w:val="en-US"/>
        </w:rPr>
        <w:tab/>
        <w:t xml:space="preserve">Holtgrewe, M. </w:t>
      </w:r>
      <w:r>
        <w:rPr>
          <w:i/>
          <w:lang w:val="en-US"/>
        </w:rPr>
        <w:t xml:space="preserve">et al.</w:t>
      </w:r>
      <w:r>
        <w:rPr>
          <w:lang w:val="en-US"/>
        </w:rPr>
        <w:t xml:space="preserve"> VarFish: comprehensive DNA variant analysis for diagnostics and research. </w:t>
      </w:r>
      <w:r>
        <w:rPr>
          <w:i/>
          <w:lang w:val="en-US"/>
        </w:rPr>
        <w:t xml:space="preserve">Nucleic Acids Res.</w:t>
      </w:r>
      <w:r>
        <w:rPr>
          <w:lang w:val="en-US"/>
        </w:rPr>
        <w:t xml:space="preserve"> </w:t>
      </w:r>
      <w:r>
        <w:rPr>
          <w:b/>
          <w:lang w:val="en-US"/>
        </w:rPr>
        <w:t xml:space="preserve">48</w:t>
      </w:r>
      <w:r>
        <w:rPr>
          <w:lang w:val="en-US"/>
        </w:rPr>
        <w:t xml:space="preserve">, W162–W169 (2020).</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t xml:space="preserve">11.</w:t>
      </w:r>
      <w:r>
        <w:rPr>
          <w:lang w:val="en-US"/>
        </w:rPr>
        <w:tab/>
        <w:t xml:space="preserve">Gurovich, Y. </w:t>
      </w:r>
      <w:r>
        <w:rPr>
          <w:i/>
          <w:lang w:val="en-US"/>
        </w:rPr>
        <w:t xml:space="preserve">et al.</w:t>
      </w:r>
      <w:r>
        <w:rPr>
          <w:lang w:val="en-US"/>
        </w:rPr>
        <w:t xml:space="preserve"> DeepGestalt - Identifying Rare Genetic Syndromes Using Deep Learning. </w:t>
      </w:r>
      <w:r>
        <w:rPr>
          <w:i/>
          <w:lang w:val="en-US"/>
        </w:rPr>
        <w:t xml:space="preserve">arXiv [cs.CV]</w:t>
      </w:r>
      <w:r>
        <w:rPr>
          <w:lang w:val="en-US"/>
        </w:rPr>
        <w:t xml:space="preserve"> (2018).</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t xml:space="preserve">12.</w:t>
      </w:r>
      <w:r>
        <w:tab/>
        <w:t xml:space="preserve">Hsieh, T.-C. </w:t>
      </w:r>
      <w:r>
        <w:rPr>
          <w:i/>
        </w:rPr>
        <w:t xml:space="preserve">et al.</w:t>
      </w:r>
      <w:r>
        <w:t xml:space="preserve"> </w:t>
      </w:r>
      <w:r>
        <w:rPr>
          <w:lang w:val="en-US"/>
        </w:rPr>
        <w:t xml:space="preserve">PEDIA: prioritization of exome data by image analysis. </w:t>
      </w:r>
      <w:r>
        <w:rPr>
          <w:i/>
          <w:lang w:val="en-US"/>
        </w:rPr>
        <w:t xml:space="preserve">Genet. Med.</w:t>
      </w:r>
      <w:r>
        <w:rPr>
          <w:lang w:val="en-US"/>
        </w:rPr>
        <w:t xml:space="preserve"> </w:t>
      </w:r>
      <w:r>
        <w:rPr>
          <w:b/>
          <w:lang w:val="en-US"/>
        </w:rPr>
        <w:t xml:space="preserve">21</w:t>
      </w:r>
      <w:r>
        <w:rPr>
          <w:lang w:val="en-US"/>
        </w:rPr>
        <w:t xml:space="preserve">, 2807–2814 (2019).</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t xml:space="preserve">13.</w:t>
      </w:r>
      <w:r>
        <w:rPr>
          <w:lang w:val="en-US"/>
        </w:rPr>
        <w:tab/>
        <w:t xml:space="preserve">Pemberton, T. J. </w:t>
      </w:r>
      <w:r>
        <w:rPr>
          <w:i/>
          <w:lang w:val="en-US"/>
        </w:rPr>
        <w:t xml:space="preserve">et al.</w:t>
      </w:r>
      <w:r>
        <w:rPr>
          <w:lang w:val="en-US"/>
        </w:rPr>
        <w:t xml:space="preserve"> Genomic patterns of homozygosity in worldwide human populations. </w:t>
      </w:r>
      <w:r>
        <w:rPr>
          <w:i/>
          <w:lang w:val="en-US"/>
        </w:rPr>
        <w:t xml:space="preserve">Am. J. Hum. Genet.</w:t>
      </w:r>
      <w:r>
        <w:rPr>
          <w:lang w:val="en-US"/>
        </w:rPr>
        <w:t xml:space="preserve"> </w:t>
      </w:r>
      <w:r>
        <w:rPr>
          <w:b/>
          <w:lang w:val="en-US"/>
        </w:rPr>
        <w:t xml:space="preserve">91</w:t>
      </w:r>
      <w:r>
        <w:rPr>
          <w:lang w:val="en-US"/>
        </w:rPr>
        <w:t xml:space="preserve">, 275–292 (2012).</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t xml:space="preserve">14.</w:t>
      </w:r>
      <w:r>
        <w:rPr>
          <w:lang w:val="en-US"/>
        </w:rPr>
        <w:tab/>
        <w:t xml:space="preserve">Wang, S., Haynes, C., Barany, F. &amp; Ott, J. Genome-wide autozygosity mapping in human populations. </w:t>
      </w:r>
      <w:r>
        <w:rPr>
          <w:i/>
          <w:lang w:val="en-US"/>
        </w:rPr>
        <w:t xml:space="preserve">Genetic Epidemiology: The Official Publication of the International Genetic Epidemiology Society</w:t>
      </w:r>
      <w:r>
        <w:rPr>
          <w:lang w:val="en-US"/>
        </w:rPr>
        <w:t xml:space="preserve"> </w:t>
      </w:r>
      <w:r>
        <w:rPr>
          <w:b/>
          <w:lang w:val="en-US"/>
        </w:rPr>
        <w:t xml:space="preserve">33</w:t>
      </w:r>
      <w:r>
        <w:rPr>
          <w:lang w:val="en-US"/>
        </w:rPr>
        <w:t xml:space="preserve">, 172–180 (2009).</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t xml:space="preserve">15.</w:t>
      </w:r>
      <w:r>
        <w:rPr>
          <w:lang w:val="en-US"/>
        </w:rPr>
        <w:tab/>
        <w:t xml:space="preserve">Narasimhan, V. </w:t>
      </w:r>
      <w:r>
        <w:rPr>
          <w:i/>
          <w:lang w:val="en-US"/>
        </w:rPr>
        <w:t xml:space="preserve">et al.</w:t>
      </w:r>
      <w:r>
        <w:rPr>
          <w:lang w:val="en-US"/>
        </w:rPr>
        <w:t xml:space="preserve"> BCFtools/RoH: a hidden Markov model approach for detecting autozygosity from next-generation sequencing data. </w:t>
      </w:r>
      <w:r>
        <w:rPr>
          <w:i/>
          <w:lang w:val="en-US"/>
        </w:rPr>
        <w:t xml:space="preserve">Bioinformatics</w:t>
      </w:r>
      <w:r>
        <w:rPr>
          <w:lang w:val="en-US"/>
        </w:rPr>
        <w:t xml:space="preserve"> </w:t>
      </w:r>
      <w:r>
        <w:rPr>
          <w:b/>
          <w:lang w:val="en-US"/>
        </w:rPr>
        <w:t xml:space="preserve">32</w:t>
      </w:r>
      <w:r>
        <w:rPr>
          <w:lang w:val="en-US"/>
        </w:rPr>
        <w:t xml:space="preserve">, 1749–1751 (2016).</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t xml:space="preserve">16.</w:t>
      </w:r>
      <w:r>
        <w:rPr>
          <w:lang w:val="en-US"/>
        </w:rPr>
        <w:tab/>
        <w:t xml:space="preserve">Gambin, T. </w:t>
      </w:r>
      <w:r>
        <w:rPr>
          <w:i/>
          <w:lang w:val="en-US"/>
        </w:rPr>
        <w:t xml:space="preserve">et al.</w:t>
      </w:r>
      <w:r>
        <w:rPr>
          <w:lang w:val="en-US"/>
        </w:rPr>
        <w:t xml:space="preserve"> Low-level parental somatic mosaic SNVs in exomes from a large cohort of trios with diverse suspected Mendelian conditions. </w:t>
      </w:r>
      <w:r>
        <w:rPr>
          <w:i/>
          <w:lang w:val="en-US"/>
        </w:rPr>
        <w:t xml:space="preserve">Genet. Med.</w:t>
      </w:r>
      <w:r>
        <w:rPr>
          <w:lang w:val="en-US"/>
        </w:rPr>
        <w:t xml:space="preserve"> </w:t>
      </w:r>
      <w:r>
        <w:rPr>
          <w:b/>
          <w:lang w:val="en-US"/>
        </w:rPr>
        <w:t xml:space="preserve">22</w:t>
      </w:r>
      <w:r>
        <w:rPr>
          <w:lang w:val="en-US"/>
        </w:rPr>
        <w:t xml:space="preserve">, 1768–1776 (2020).</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t xml:space="preserve">17.</w:t>
      </w:r>
      <w:r>
        <w:rPr>
          <w:lang w:val="en-US"/>
        </w:rPr>
        <w:tab/>
        <w:t xml:space="preserve">Wright, C. F. </w:t>
      </w:r>
      <w:r>
        <w:rPr>
          <w:i/>
          <w:lang w:val="en-US"/>
        </w:rPr>
        <w:t xml:space="preserve">et al.</w:t>
      </w:r>
      <w:r>
        <w:rPr>
          <w:lang w:val="en-US"/>
        </w:rPr>
        <w:t xml:space="preserve"> Clinically-relevant postzygotic mosaicism in parents and children with developmental disorders in trio exome sequencing data. </w:t>
      </w:r>
      <w:r>
        <w:rPr>
          <w:i/>
          <w:lang w:val="en-US"/>
        </w:rPr>
        <w:t xml:space="preserve">Nat. Commun.</w:t>
      </w:r>
      <w:r>
        <w:rPr>
          <w:lang w:val="en-US"/>
        </w:rPr>
        <w:t xml:space="preserve"> </w:t>
      </w:r>
      <w:r>
        <w:rPr>
          <w:b/>
          <w:lang w:val="en-US"/>
        </w:rPr>
        <w:t xml:space="preserve">10</w:t>
      </w:r>
      <w:r>
        <w:rPr>
          <w:lang w:val="en-US"/>
        </w:rPr>
        <w:t xml:space="preserve">, 2985 (2019).</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t xml:space="preserve">18.</w:t>
      </w:r>
      <w:r>
        <w:rPr>
          <w:lang w:val="en-US"/>
        </w:rPr>
        <w:tab/>
        <w:t xml:space="preserve">Cao, Y. </w:t>
      </w:r>
      <w:r>
        <w:rPr>
          <w:i/>
          <w:lang w:val="en-US"/>
        </w:rPr>
        <w:t xml:space="preserve">et al.</w:t>
      </w:r>
      <w:r>
        <w:rPr>
          <w:lang w:val="en-US"/>
        </w:rPr>
        <w:t xml:space="preserve"> A clinical survey of mosaic single nucleotide variants in disease-causing genes detected by exome sequencing. </w:t>
      </w:r>
      <w:r>
        <w:rPr>
          <w:i/>
          <w:lang w:val="en-US"/>
        </w:rPr>
        <w:t xml:space="preserve">Genome Med.</w:t>
      </w:r>
      <w:r>
        <w:rPr>
          <w:lang w:val="en-US"/>
        </w:rPr>
        <w:t xml:space="preserve"> </w:t>
      </w:r>
      <w:r>
        <w:rPr>
          <w:b/>
          <w:lang w:val="en-US"/>
        </w:rPr>
        <w:t xml:space="preserve">11</w:t>
      </w:r>
      <w:r>
        <w:rPr>
          <w:lang w:val="en-US"/>
        </w:rPr>
        <w:t xml:space="preserve">, 48 (2019).</w:t>
      </w:r>
      <w:r/>
    </w:p>
    <w:p>
      <w:pPr>
        <w:ind w:left="440" w:hanging="440"/>
        <w:spacing w:lineRule="auto" w:line="240"/>
        <w:widowControl w:val="off"/>
        <w:tabs>
          <w:tab w:val="left" w:pos="440" w:leader="none"/>
        </w:tabs>
        <w:pBdr>
          <w:left w:val="none" w:color="000000" w:sz="4" w:space="0"/>
          <w:top w:val="none" w:color="000000" w:sz="4" w:space="0"/>
          <w:right w:val="none" w:color="000000" w:sz="4" w:space="0"/>
          <w:bottom w:val="none" w:color="000000" w:sz="4" w:space="0"/>
          <w:between w:val="none" w:color="000000" w:sz="4" w:space="0"/>
        </w:pBdr>
      </w:pPr>
      <w:r>
        <w:rPr>
          <w:lang w:val="en-US"/>
        </w:rPr>
        <w:t xml:space="preserve">19.</w:t>
      </w:r>
      <w:r>
        <w:rPr>
          <w:lang w:val="en-US"/>
        </w:rPr>
        <w:tab/>
        <w:t xml:space="preserve">Strande, N. T. </w:t>
      </w:r>
      <w:r>
        <w:rPr>
          <w:i/>
          <w:lang w:val="en-US"/>
        </w:rPr>
        <w:t xml:space="preserve">et al.</w:t>
      </w:r>
      <w:r>
        <w:rPr>
          <w:lang w:val="en-US"/>
        </w:rPr>
        <w:t xml:space="preserve"> Evaluating the Clinical Validity of Gene-Disease Associations: An Evidence-Based Framework Developed by the Clinical Genome Resource. </w:t>
      </w:r>
      <w:r>
        <w:rPr>
          <w:i/>
        </w:rPr>
        <w:t xml:space="preserve">Am. J. Hum. Genet.</w:t>
      </w:r>
      <w:r>
        <w:t xml:space="preserve"> </w:t>
      </w:r>
      <w:r>
        <w:rPr>
          <w:b/>
        </w:rPr>
        <w:t xml:space="preserve">100</w:t>
      </w:r>
      <w:r>
        <w:t xml:space="preserve">, 895–906 (2017).</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t xml:space="preserve">20.</w:t>
      </w:r>
      <w:r>
        <w:tab/>
        <w:t xml:space="preserve">Ait-El-Mkadem, S. </w:t>
      </w:r>
      <w:r>
        <w:rPr>
          <w:i/>
        </w:rPr>
        <w:t xml:space="preserve">et al.</w:t>
      </w:r>
      <w:r>
        <w:t xml:space="preserve"> </w:t>
      </w:r>
      <w:r>
        <w:rPr>
          <w:lang w:val="en-US"/>
        </w:rPr>
        <w:t xml:space="preserve">Mutations in MDH2, Encoding a Krebs Cycle Enzyme, Cause Early-Onset Severe Encephalopathy. </w:t>
      </w:r>
      <w:r>
        <w:rPr>
          <w:i/>
          <w:lang w:val="en-US"/>
        </w:rPr>
        <w:t xml:space="preserve">Am. J. Hum. Genet.</w:t>
      </w:r>
      <w:r>
        <w:rPr>
          <w:lang w:val="en-US"/>
        </w:rPr>
        <w:t xml:space="preserve"> </w:t>
      </w:r>
      <w:r>
        <w:rPr>
          <w:b/>
          <w:lang w:val="en-US"/>
        </w:rPr>
        <w:t xml:space="preserve">100</w:t>
      </w:r>
      <w:r>
        <w:rPr>
          <w:lang w:val="en-US"/>
        </w:rPr>
        <w:t xml:space="preserve">, 151–159 (2017).</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t xml:space="preserve">21.</w:t>
      </w:r>
      <w:r>
        <w:rPr>
          <w:lang w:val="en-US"/>
        </w:rPr>
        <w:tab/>
        <w:t xml:space="preserve">Richards, S. </w:t>
      </w:r>
      <w:r>
        <w:rPr>
          <w:i/>
          <w:lang w:val="en-US"/>
        </w:rPr>
        <w:t xml:space="preserve">et al.</w:t>
      </w:r>
      <w:r>
        <w:rPr>
          <w:lang w:val="en-US"/>
        </w:rPr>
        <w:t xml:space="preserve"> Standards and guidelines for the interpretation of sequence variants: a joint consensus recommendation of the American College of Medical Genetics and Genomics and the Association for Molecular Pathology. </w:t>
      </w:r>
      <w:r>
        <w:rPr>
          <w:i/>
          <w:lang w:val="en-US"/>
        </w:rPr>
        <w:t xml:space="preserve">Genet. Med.</w:t>
      </w:r>
      <w:r>
        <w:rPr>
          <w:lang w:val="en-US"/>
        </w:rPr>
        <w:t xml:space="preserve"> </w:t>
      </w:r>
      <w:r>
        <w:rPr>
          <w:b/>
          <w:lang w:val="en-US"/>
        </w:rPr>
        <w:t xml:space="preserve">17</w:t>
      </w:r>
      <w:r>
        <w:rPr>
          <w:lang w:val="en-US"/>
        </w:rPr>
        <w:t xml:space="preserve">, 405–424 (2015).</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t xml:space="preserve">22.</w:t>
      </w:r>
      <w:r>
        <w:rPr>
          <w:lang w:val="en-US"/>
        </w:rPr>
        <w:tab/>
        <w:t xml:space="preserve">Yap, K. L. </w:t>
      </w:r>
      <w:r>
        <w:rPr>
          <w:i/>
          <w:lang w:val="en-US"/>
        </w:rPr>
        <w:t xml:space="preserve">et al.</w:t>
      </w:r>
      <w:r>
        <w:rPr>
          <w:lang w:val="en-US"/>
        </w:rPr>
        <w:t xml:space="preserve"> Congenital hyperinsulinism as the presenting feature of Kabuki </w:t>
      </w:r>
      <w:r>
        <w:rPr>
          <w:lang w:val="en-US"/>
        </w:rPr>
        <w:t xml:space="preserve">syndrome: clinical and molecular characterization of 9 affected individuals. </w:t>
      </w:r>
      <w:r>
        <w:rPr>
          <w:i/>
          <w:lang w:val="en-US"/>
        </w:rPr>
        <w:t xml:space="preserve">Genet. Med.</w:t>
      </w:r>
      <w:r>
        <w:rPr>
          <w:lang w:val="en-US"/>
        </w:rPr>
        <w:t xml:space="preserve"> </w:t>
      </w:r>
      <w:r>
        <w:rPr>
          <w:b/>
          <w:lang w:val="en-US"/>
        </w:rPr>
        <w:t xml:space="preserve">21</w:t>
      </w:r>
      <w:r>
        <w:rPr>
          <w:lang w:val="en-US"/>
        </w:rPr>
        <w:t xml:space="preserve">, 233–242 (2019).</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t xml:space="preserve">23.</w:t>
      </w:r>
      <w:r>
        <w:rPr>
          <w:lang w:val="en-US"/>
        </w:rPr>
        <w:tab/>
        <w:t xml:space="preserve">Mirza-Schreiber, N. </w:t>
      </w:r>
      <w:r>
        <w:rPr>
          <w:i/>
          <w:lang w:val="en-US"/>
        </w:rPr>
        <w:t xml:space="preserve">et al.</w:t>
      </w:r>
      <w:r>
        <w:rPr>
          <w:lang w:val="en-US"/>
        </w:rPr>
        <w:t xml:space="preserve"> Blood DNA methylation provides an accurate biomarker of KMT2B-related dystonia and predicts onset. </w:t>
      </w:r>
      <w:r>
        <w:rPr>
          <w:i/>
          <w:lang w:val="en-US"/>
        </w:rPr>
        <w:t xml:space="preserve">Brain</w:t>
      </w:r>
      <w:r>
        <w:rPr>
          <w:lang w:val="en-US"/>
        </w:rPr>
        <w:t xml:space="preserve"> (2021) doi:10.1093/brain/awab360.</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t xml:space="preserve">24.</w:t>
      </w:r>
      <w:r>
        <w:rPr>
          <w:lang w:val="en-US"/>
        </w:rPr>
        <w:tab/>
        <w:t xml:space="preserve">Green, R. C. </w:t>
      </w:r>
      <w:r>
        <w:rPr>
          <w:i/>
          <w:lang w:val="en-US"/>
        </w:rPr>
        <w:t xml:space="preserve">et al.</w:t>
      </w:r>
      <w:r>
        <w:rPr>
          <w:lang w:val="en-US"/>
        </w:rPr>
        <w:t xml:space="preserve"> ACMG recommendations for reporting of incidental findings in clinical exome and genome sequencing. </w:t>
      </w:r>
      <w:r>
        <w:rPr>
          <w:i/>
          <w:lang w:val="en-US"/>
        </w:rPr>
        <w:t xml:space="preserve">Genet. Med.</w:t>
      </w:r>
      <w:r>
        <w:rPr>
          <w:lang w:val="en-US"/>
        </w:rPr>
        <w:t xml:space="preserve"> </w:t>
      </w:r>
      <w:r>
        <w:rPr>
          <w:b/>
          <w:lang w:val="en-US"/>
        </w:rPr>
        <w:t xml:space="preserve">15</w:t>
      </w:r>
      <w:r>
        <w:rPr>
          <w:lang w:val="en-US"/>
        </w:rPr>
        <w:t xml:space="preserve">, 565–574 (2013).</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t xml:space="preserve">25.</w:t>
      </w:r>
      <w:r>
        <w:rPr>
          <w:lang w:val="en-US"/>
        </w:rPr>
        <w:tab/>
        <w:t xml:space="preserve">Kalia, S. S. </w:t>
      </w:r>
      <w:r>
        <w:rPr>
          <w:i/>
          <w:lang w:val="en-US"/>
        </w:rPr>
        <w:t xml:space="preserve">et al.</w:t>
      </w:r>
      <w:r>
        <w:rPr>
          <w:lang w:val="en-US"/>
        </w:rPr>
        <w:t xml:space="preserve"> Recommendations for reporting of secondary findings in clinical exome and genome sequencing, 2016 update (ACMG SF v2.0): a policy statement of the American College of Medical Genetics and Genomics. </w:t>
      </w:r>
      <w:r>
        <w:rPr>
          <w:i/>
          <w:lang w:val="en-US"/>
        </w:rPr>
        <w:t xml:space="preserve">Genet. Med.</w:t>
      </w:r>
      <w:r>
        <w:rPr>
          <w:lang w:val="en-US"/>
        </w:rPr>
        <w:t xml:space="preserve"> </w:t>
      </w:r>
      <w:r>
        <w:rPr>
          <w:b/>
          <w:lang w:val="en-US"/>
        </w:rPr>
        <w:t xml:space="preserve">19</w:t>
      </w:r>
      <w:r>
        <w:rPr>
          <w:lang w:val="en-US"/>
        </w:rPr>
        <w:t xml:space="preserve">, 249–255 (2017).</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t xml:space="preserve">26.</w:t>
      </w:r>
      <w:r>
        <w:rPr>
          <w:lang w:val="en-US"/>
        </w:rPr>
        <w:tab/>
        <w:t xml:space="preserve">Daly, M. B. </w:t>
      </w:r>
      <w:r>
        <w:rPr>
          <w:i/>
          <w:lang w:val="en-US"/>
        </w:rPr>
        <w:t xml:space="preserve">et al.</w:t>
      </w:r>
      <w:r>
        <w:rPr>
          <w:lang w:val="en-US"/>
        </w:rPr>
        <w:t xml:space="preserve"> NCCN Guidelines Insights: Genetic/Familial High-Risk Assessment: Breast and Ovarian, Version 2.2017. </w:t>
      </w:r>
      <w:r>
        <w:rPr>
          <w:i/>
          <w:lang w:val="en-US"/>
        </w:rPr>
        <w:t xml:space="preserve">J. Natl. Compr. Canc. Netw.</w:t>
      </w:r>
      <w:r>
        <w:rPr>
          <w:lang w:val="en-US"/>
        </w:rPr>
        <w:t xml:space="preserve"> </w:t>
      </w:r>
      <w:r>
        <w:rPr>
          <w:b/>
          <w:lang w:val="en-US"/>
        </w:rPr>
        <w:t xml:space="preserve">15</w:t>
      </w:r>
      <w:r>
        <w:rPr>
          <w:lang w:val="en-US"/>
        </w:rPr>
        <w:t xml:space="preserve">, 9–20 (2017).</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t xml:space="preserve">27.</w:t>
      </w:r>
      <w:r>
        <w:rPr>
          <w:lang w:val="en-US"/>
        </w:rPr>
        <w:tab/>
        <w:t xml:space="preserve">Yang, Y. </w:t>
      </w:r>
      <w:r>
        <w:rPr>
          <w:i/>
          <w:lang w:val="en-US"/>
        </w:rPr>
        <w:t xml:space="preserve">et al.</w:t>
      </w:r>
      <w:r>
        <w:rPr>
          <w:lang w:val="en-US"/>
        </w:rPr>
        <w:t xml:space="preserve"> Molecular findings among patients referred for clinical whole-exome sequencing. </w:t>
      </w:r>
      <w:r>
        <w:rPr>
          <w:i/>
          <w:lang w:val="en-US"/>
        </w:rPr>
        <w:t xml:space="preserve">JAMA</w:t>
      </w:r>
      <w:r>
        <w:rPr>
          <w:lang w:val="en-US"/>
        </w:rPr>
        <w:t xml:space="preserve"> </w:t>
      </w:r>
      <w:r>
        <w:rPr>
          <w:b/>
          <w:lang w:val="en-US"/>
        </w:rPr>
        <w:t xml:space="preserve">312</w:t>
      </w:r>
      <w:r>
        <w:rPr>
          <w:lang w:val="en-US"/>
        </w:rPr>
        <w:t xml:space="preserve">, 1870–1879 (2014).</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t xml:space="preserve">28.</w:t>
      </w:r>
      <w:r>
        <w:rPr>
          <w:lang w:val="en-US"/>
        </w:rPr>
        <w:tab/>
        <w:t xml:space="preserve">Dorschner, M. O. </w:t>
      </w:r>
      <w:r>
        <w:rPr>
          <w:i/>
          <w:lang w:val="en-US"/>
        </w:rPr>
        <w:t xml:space="preserve">et al.</w:t>
      </w:r>
      <w:r>
        <w:rPr>
          <w:lang w:val="en-US"/>
        </w:rPr>
        <w:t xml:space="preserve"> Actionable, pathogenic incidental findings in 1,000 participants’ exomes. </w:t>
      </w:r>
      <w:r>
        <w:rPr>
          <w:i/>
          <w:lang w:val="en-US"/>
        </w:rPr>
        <w:t xml:space="preserve">Am. J. Hum. Genet.</w:t>
      </w:r>
      <w:r>
        <w:rPr>
          <w:lang w:val="en-US"/>
        </w:rPr>
        <w:t xml:space="preserve"> </w:t>
      </w:r>
      <w:r>
        <w:rPr>
          <w:b/>
          <w:lang w:val="en-US"/>
        </w:rPr>
        <w:t xml:space="preserve">93</w:t>
      </w:r>
      <w:r>
        <w:rPr>
          <w:lang w:val="en-US"/>
        </w:rPr>
        <w:t xml:space="preserve">, 631–640 (2013).</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t xml:space="preserve">29.</w:t>
      </w:r>
      <w:r>
        <w:rPr>
          <w:lang w:val="en-US"/>
        </w:rPr>
        <w:tab/>
        <w:t xml:space="preserve">Johnston, J. J. </w:t>
      </w:r>
      <w:r>
        <w:rPr>
          <w:i/>
          <w:lang w:val="en-US"/>
        </w:rPr>
        <w:t xml:space="preserve">et al.</w:t>
      </w:r>
      <w:r>
        <w:rPr>
          <w:lang w:val="en-US"/>
        </w:rPr>
        <w:t xml:space="preserve"> Secondary variants in individuals undergoing exome sequencing: screening of 572 individuals identifies high-penetrance mutations in cancer-susceptibility genes. </w:t>
      </w:r>
      <w:r>
        <w:rPr>
          <w:i/>
          <w:lang w:val="en-US"/>
        </w:rPr>
        <w:t xml:space="preserve">Am. J. Hum. Genet.</w:t>
      </w:r>
      <w:r>
        <w:rPr>
          <w:lang w:val="en-US"/>
        </w:rPr>
        <w:t xml:space="preserve"> </w:t>
      </w:r>
      <w:r>
        <w:rPr>
          <w:b/>
          <w:lang w:val="en-US"/>
        </w:rPr>
        <w:t xml:space="preserve">91</w:t>
      </w:r>
      <w:r>
        <w:rPr>
          <w:lang w:val="en-US"/>
        </w:rPr>
        <w:t xml:space="preserve">, 97–108 (2012).</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t xml:space="preserve">30.</w:t>
      </w:r>
      <w:r>
        <w:rPr>
          <w:lang w:val="en-US"/>
        </w:rPr>
        <w:tab/>
        <w:t xml:space="preserve">Cassa, C. A., Tong, M. Y. &amp; Jordan, D. M. Large numbers of genetic variants considered to be pathogenic are common in asymptomatic individuals. </w:t>
      </w:r>
      <w:r>
        <w:rPr>
          <w:i/>
          <w:lang w:val="en-US"/>
        </w:rPr>
        <w:t xml:space="preserve">Hum. Mutat.</w:t>
      </w:r>
      <w:r>
        <w:rPr>
          <w:lang w:val="en-US"/>
        </w:rPr>
        <w:t xml:space="preserve"> </w:t>
      </w:r>
      <w:r>
        <w:rPr>
          <w:b/>
          <w:lang w:val="en-US"/>
        </w:rPr>
        <w:t xml:space="preserve">34</w:t>
      </w:r>
      <w:r>
        <w:rPr>
          <w:lang w:val="en-US"/>
        </w:rPr>
        <w:t xml:space="preserve">, 1216–1220 (2013).</w:t>
      </w:r>
      <w:r/>
    </w:p>
    <w:p>
      <w:pPr>
        <w:ind w:left="440" w:hanging="440"/>
        <w:spacing w:lineRule="auto" w:line="240"/>
        <w:widowControl w:val="off"/>
        <w:tabs>
          <w:tab w:val="left" w:pos="440" w:leader="none"/>
        </w:tabs>
        <w:pBdr>
          <w:left w:val="none" w:color="000000" w:sz="4" w:space="0"/>
          <w:top w:val="none" w:color="000000" w:sz="4" w:space="0"/>
          <w:right w:val="none" w:color="000000" w:sz="4" w:space="0"/>
          <w:bottom w:val="none" w:color="000000" w:sz="4" w:space="0"/>
          <w:between w:val="none" w:color="000000" w:sz="4" w:space="0"/>
        </w:pBdr>
      </w:pPr>
      <w:r>
        <w:rPr>
          <w:lang w:val="en-US"/>
        </w:rPr>
        <w:t xml:space="preserve">31.</w:t>
      </w:r>
      <w:r>
        <w:rPr>
          <w:lang w:val="en-US"/>
        </w:rPr>
        <w:tab/>
        <w:t xml:space="preserve">Ding, L.-E., Burnett, L. &amp; Chesher, D. The impact of reporting incidental findings from exome and whole-genome sequencing: predicted frequencies based on modeling. </w:t>
      </w:r>
      <w:r>
        <w:rPr>
          <w:i/>
        </w:rPr>
        <w:t xml:space="preserve">Genet. Med.</w:t>
      </w:r>
      <w:r>
        <w:t xml:space="preserve"> </w:t>
      </w:r>
      <w:r>
        <w:rPr>
          <w:b/>
        </w:rPr>
        <w:t xml:space="preserve">17</w:t>
      </w:r>
      <w:r>
        <w:t xml:space="preserve">, 197–204 (2015).</w:t>
      </w:r>
      <w:r>
        <w:fldChar w:fldCharType="end"/>
      </w:r>
      <w:r/>
    </w:p>
    <w:p>
      <w:r>
        <w:br w:type="page"/>
      </w:r>
      <w:r/>
    </w:p>
    <w:p>
      <w:pPr>
        <w:pStyle w:val="642"/>
        <w:rPr>
          <w:lang w:val="en-US"/>
        </w:rPr>
      </w:pPr>
      <w:r/>
      <w:bookmarkStart w:id="17" w:name="_Toc90629827"/>
      <w:r>
        <w:rPr>
          <w:lang w:val="en-US"/>
        </w:rPr>
        <w:t xml:space="preserve">Supplementary Figures</w:t>
      </w:r>
      <w:bookmarkEnd w:id="17"/>
      <w:r/>
      <w:r/>
    </w:p>
    <w:p>
      <w:pPr>
        <w:jc w:val="both"/>
        <w:spacing w:lineRule="auto" w:line="240"/>
      </w:pPr>
      <w:r/>
      <w:r/>
    </w:p>
    <w:p>
      <w:pPr>
        <w:jc w:val="both"/>
        <w:spacing w:lineRule="auto" w:line="240"/>
      </w:pPr>
      <w:r>
        <w:rPr>
          <w:lang w:val="de-DE"/>
        </w:rPr>
        <mc:AlternateContent>
          <mc:Choice Requires="wpg">
            <w:drawing>
              <wp:inline xmlns:wp="http://schemas.openxmlformats.org/drawingml/2006/wordprocessingDrawing" distT="0" distB="0" distL="0" distR="0">
                <wp:extent cx="5731200" cy="2578100"/>
                <wp:effectExtent l="0" t="0" r="0" b="0"/>
                <wp:docPr id="1" name="image1.png" hidden="0"/>
                <wp:cNvGraphicFramePr/>
                <a:graphic xmlns:a="http://schemas.openxmlformats.org/drawingml/2006/main">
                  <a:graphicData uri="http://schemas.openxmlformats.org/drawingml/2006/picture">
                    <pic:pic xmlns:pic="http://schemas.openxmlformats.org/drawingml/2006/picture">
                      <pic:nvPicPr>
                        <pic:cNvPr id="0" name="image1.png" hidden="0"/>
                        <pic:cNvPicPr/>
                        <pic:nvPr isPhoto="0" userDrawn="0"/>
                      </pic:nvPicPr>
                      <pic:blipFill>
                        <a:blip r:embed="rId18"/>
                        <a:stretch/>
                      </pic:blipFill>
                      <pic:spPr bwMode="auto">
                        <a:xfrm>
                          <a:off x="0" y="0"/>
                          <a:ext cx="5731200" cy="2578100"/>
                        </a:xfrm>
                        <a:prstGeom prst="rect">
                          <a:avLst/>
                        </a:prstGeom>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0" o:spid="_x0000_s0" type="#_x0000_t75" style="mso-wrap-distance-left:0.0pt;mso-wrap-distance-top:0.0pt;mso-wrap-distance-right:0.0pt;mso-wrap-distance-bottom:0.0pt;width:451.3pt;height:203.0pt;">
                <v:path textboxrect="0,0,0,0"/>
                <v:imagedata r:id="rId18" o:title=""/>
              </v:shape>
            </w:pict>
          </mc:Fallback>
        </mc:AlternateContent>
      </w:r>
      <w:r/>
    </w:p>
    <w:p>
      <w:pPr>
        <w:jc w:val="both"/>
        <w:spacing w:lineRule="auto" w:line="240"/>
        <w:rPr>
          <w:lang w:val="en-US"/>
        </w:rPr>
      </w:pPr>
      <w:r>
        <w:rPr>
          <w:b/>
          <w:lang w:val="en-US"/>
        </w:rPr>
        <w:t xml:space="preserve">Supplemental Figure 1: </w:t>
      </w:r>
      <w:r>
        <w:rPr>
          <w:lang w:val="en-US"/>
        </w:rPr>
        <w:t xml:space="preserve">The mean number of HPO-terms used to describe a patient was 5. Each HPO term was also assigned to a higher-order HPO groups </w:t>
      </w:r>
      <w:r>
        <w:rPr>
          <w:lang w:val="en-US"/>
        </w:rPr>
        <w:t xml:space="preserve">in order to</w:t>
      </w:r>
      <w:r>
        <w:rPr>
          <w:lang w:val="en-US"/>
        </w:rPr>
        <w:t xml:space="preserve"> study their correlation with physician-reported disease groups. Individuals with neurodevelopmental disorders often also had neurological and neuromuscular abnormalities and vice versa.  </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r>
      <w:r/>
    </w:p>
    <w:p>
      <w:pPr>
        <w:jc w:val="center"/>
        <w:spacing w:lineRule="auto" w:line="240"/>
      </w:pPr>
      <w:r>
        <w:rPr>
          <w:lang w:val="de-DE"/>
        </w:rPr>
        <mc:AlternateContent>
          <mc:Choice Requires="wpg">
            <w:drawing>
              <wp:inline xmlns:wp="http://schemas.openxmlformats.org/drawingml/2006/wordprocessingDrawing" distT="0" distB="0" distL="0" distR="0">
                <wp:extent cx="4035925" cy="3043646"/>
                <wp:effectExtent l="0" t="0" r="3175" b="4445"/>
                <wp:docPr id="2" name="image2.png" hidden="0"/>
                <wp:cNvGraphicFramePr/>
                <a:graphic xmlns:a="http://schemas.openxmlformats.org/drawingml/2006/main">
                  <a:graphicData uri="http://schemas.openxmlformats.org/drawingml/2006/picture">
                    <pic:pic xmlns:pic="http://schemas.openxmlformats.org/drawingml/2006/picture">
                      <pic:nvPicPr>
                        <pic:cNvPr id="0" name="image2.png" hidden="0"/>
                        <pic:cNvPicPr/>
                        <pic:nvPr isPhoto="0" userDrawn="0"/>
                      </pic:nvPicPr>
                      <pic:blipFill>
                        <a:blip r:embed="rId19"/>
                        <a:stretch/>
                      </pic:blipFill>
                      <pic:spPr bwMode="auto">
                        <a:xfrm>
                          <a:off x="0" y="0"/>
                          <a:ext cx="4077660" cy="3075120"/>
                        </a:xfrm>
                        <a:prstGeom prst="rect">
                          <a:avLst/>
                        </a:prstGeom>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 o:spid="_x0000_s1" type="#_x0000_t75" style="mso-wrap-distance-left:0.0pt;mso-wrap-distance-top:0.0pt;mso-wrap-distance-right:0.0pt;mso-wrap-distance-bottom:0.0pt;width:317.8pt;height:239.7pt;">
                <v:path textboxrect="0,0,0,0"/>
                <v:imagedata r:id="rId19" o:title=""/>
              </v:shape>
            </w:pict>
          </mc:Fallback>
        </mc:AlternateContent>
      </w:r>
      <w:r/>
    </w:p>
    <w:p>
      <w:pPr>
        <w:jc w:val="both"/>
        <w:spacing w:lineRule="auto" w:line="240"/>
        <w:rPr>
          <w:b/>
          <w:lang w:val="en-US"/>
        </w:rPr>
      </w:pPr>
      <w:r>
        <w:rPr>
          <w:b/>
          <w:lang w:val="en-US"/>
        </w:rPr>
      </w:r>
      <w:r/>
    </w:p>
    <w:p>
      <w:pPr>
        <w:jc w:val="both"/>
        <w:spacing w:lineRule="auto" w:line="240"/>
        <w:rPr>
          <w:lang w:val="en-US"/>
        </w:rPr>
      </w:pPr>
      <w:r>
        <w:rPr>
          <w:b/>
          <w:lang w:val="en-US"/>
        </w:rPr>
        <w:t xml:space="preserve">Supplemental Figure 2: </w:t>
      </w:r>
      <w:r>
        <w:rPr>
          <w:lang w:val="en-US"/>
        </w:rPr>
        <w:t xml:space="preserve">The quality criteria for exome sequencing were fulfilled if at least 95% of the coding nucleotides of all </w:t>
      </w:r>
      <w:r>
        <w:rPr>
          <w:lang w:val="en-US"/>
        </w:rPr>
        <w:t xml:space="preserve">RefSeq</w:t>
      </w:r>
      <w:r>
        <w:rPr>
          <w:lang w:val="en-US"/>
        </w:rPr>
        <w:t xml:space="preserve"> transcripts were covered by 20 or more reads. </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r>
      <w:r/>
    </w:p>
    <w:p>
      <w:pPr>
        <w:jc w:val="both"/>
        <w:spacing w:lineRule="auto" w:line="240" w:after="180" w:before="180"/>
        <w:rPr>
          <w:sz w:val="30"/>
          <w:szCs w:val="30"/>
          <w:highlight w:val="white"/>
        </w:rPr>
      </w:pPr>
      <w:r>
        <w:rPr>
          <w:sz w:val="30"/>
          <w:szCs w:val="30"/>
          <w:highlight w:val="white"/>
          <w:lang w:val="de-DE"/>
        </w:rPr>
        <mc:AlternateContent>
          <mc:Choice Requires="wpg">
            <w:drawing>
              <wp:inline xmlns:wp="http://schemas.openxmlformats.org/drawingml/2006/wordprocessingDrawing" distT="0" distB="0" distL="0" distR="0">
                <wp:extent cx="5731200" cy="1549400"/>
                <wp:effectExtent l="0" t="0" r="0" b="0"/>
                <wp:docPr id="3" name="image9.png" hidden="0"/>
                <wp:cNvGraphicFramePr/>
                <a:graphic xmlns:a="http://schemas.openxmlformats.org/drawingml/2006/main">
                  <a:graphicData uri="http://schemas.openxmlformats.org/drawingml/2006/picture">
                    <pic:pic xmlns:pic="http://schemas.openxmlformats.org/drawingml/2006/picture">
                      <pic:nvPicPr>
                        <pic:cNvPr id="0" name="image9.png" hidden="0"/>
                        <pic:cNvPicPr/>
                        <pic:nvPr isPhoto="0" userDrawn="0"/>
                      </pic:nvPicPr>
                      <pic:blipFill>
                        <a:blip r:embed="rId20"/>
                        <a:stretch/>
                      </pic:blipFill>
                      <pic:spPr bwMode="auto">
                        <a:xfrm>
                          <a:off x="0" y="0"/>
                          <a:ext cx="5731200" cy="1549400"/>
                        </a:xfrm>
                        <a:prstGeom prst="rect">
                          <a:avLst/>
                        </a:prstGeom>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 o:spid="_x0000_s2" type="#_x0000_t75" style="mso-wrap-distance-left:0.0pt;mso-wrap-distance-top:0.0pt;mso-wrap-distance-right:0.0pt;mso-wrap-distance-bottom:0.0pt;width:451.3pt;height:122.0pt;">
                <v:path textboxrect="0,0,0,0"/>
                <v:imagedata r:id="rId20" o:title=""/>
              </v:shape>
            </w:pict>
          </mc:Fallback>
        </mc:AlternateContent>
      </w:r>
      <w:r/>
    </w:p>
    <w:p>
      <w:pPr>
        <w:jc w:val="both"/>
        <w:spacing w:lineRule="auto" w:line="240" w:after="180" w:before="180"/>
        <w:rPr>
          <w:highlight w:val="white"/>
          <w:lang w:val="en-US"/>
        </w:rPr>
      </w:pPr>
      <w:r>
        <w:rPr>
          <w:b/>
          <w:highlight w:val="white"/>
          <w:lang w:val="en-US"/>
        </w:rPr>
        <w:t xml:space="preserve">Supplemental Figure 3:</w:t>
      </w:r>
      <w:r>
        <w:rPr>
          <w:highlight w:val="white"/>
          <w:lang w:val="en-US"/>
        </w:rPr>
        <w:t xml:space="preserve"> Portrait analysis of case 393 with </w:t>
      </w:r>
      <w:r>
        <w:rPr>
          <w:highlight w:val="white"/>
          <w:lang w:val="en-US"/>
        </w:rPr>
        <w:t xml:space="preserve">DeepGestalt</w:t>
      </w:r>
      <w:r>
        <w:rPr>
          <w:highlight w:val="white"/>
          <w:lang w:val="en-US"/>
        </w:rPr>
        <w:t xml:space="preserve"> suggested high similarity to </w:t>
      </w:r>
      <w:r>
        <w:rPr>
          <w:highlight w:val="white"/>
          <w:lang w:val="en-US"/>
        </w:rPr>
        <w:t xml:space="preserve">Koolen</w:t>
      </w:r>
      <w:r>
        <w:rPr>
          <w:highlight w:val="white"/>
          <w:lang w:val="en-US"/>
        </w:rPr>
        <w:t xml:space="preserve">-De Vries syndrome. After inconclusive ES, WGS was performed and revealed a causal 4.7kb </w:t>
      </w:r>
      <w:r>
        <w:rPr>
          <w:i/>
          <w:highlight w:val="white"/>
          <w:lang w:val="en-US"/>
        </w:rPr>
        <w:t xml:space="preserve">de novo</w:t>
      </w:r>
      <w:r>
        <w:rPr>
          <w:highlight w:val="white"/>
          <w:lang w:val="en-US"/>
        </w:rPr>
        <w:t xml:space="preserve"> deletion in </w:t>
      </w:r>
      <w:r>
        <w:rPr>
          <w:i/>
          <w:highlight w:val="white"/>
          <w:lang w:val="en-US"/>
        </w:rPr>
        <w:t xml:space="preserve">KANSL1.</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r>
      <w:r/>
    </w:p>
    <w:p>
      <w:pPr>
        <w:jc w:val="center"/>
        <w:spacing w:lineRule="auto" w:line="240" w:after="240" w:before="240"/>
        <w:rPr>
          <w:color w:val="333333"/>
          <w:highlight w:val="white"/>
        </w:rPr>
      </w:pPr>
      <w:r>
        <w:rPr>
          <w:color w:val="333333"/>
          <w:highlight w:val="white"/>
          <w:lang w:val="de-DE"/>
        </w:rPr>
        <mc:AlternateContent>
          <mc:Choice Requires="wpg">
            <w:drawing>
              <wp:inline xmlns:wp="http://schemas.openxmlformats.org/drawingml/2006/wordprocessingDrawing" distT="0" distB="0" distL="0" distR="0">
                <wp:extent cx="4200525" cy="4752975"/>
                <wp:effectExtent l="0" t="0" r="9525" b="9525"/>
                <wp:docPr id="4" name="image6.png" hidden="0"/>
                <wp:cNvGraphicFramePr/>
                <a:graphic xmlns:a="http://schemas.openxmlformats.org/drawingml/2006/main">
                  <a:graphicData uri="http://schemas.openxmlformats.org/drawingml/2006/picture">
                    <pic:pic xmlns:pic="http://schemas.openxmlformats.org/drawingml/2006/picture">
                      <pic:nvPicPr>
                        <pic:cNvPr id="0" name="image6.png" hidden="0"/>
                        <pic:cNvPicPr/>
                        <pic:nvPr isPhoto="0" userDrawn="0"/>
                      </pic:nvPicPr>
                      <pic:blipFill>
                        <a:blip r:embed="rId21"/>
                        <a:srcRect l="0" t="6566" r="0" b="0"/>
                        <a:stretch/>
                      </pic:blipFill>
                      <pic:spPr bwMode="auto">
                        <a:xfrm>
                          <a:off x="0" y="0"/>
                          <a:ext cx="4200789" cy="4753274"/>
                        </a:xfrm>
                        <a:prstGeom prst="rect">
                          <a:avLst/>
                        </a:prstGeom>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3" o:spid="_x0000_s3" type="#_x0000_t75" style="mso-wrap-distance-left:0.0pt;mso-wrap-distance-top:0.0pt;mso-wrap-distance-right:0.0pt;mso-wrap-distance-bottom:0.0pt;width:330.8pt;height:374.2pt;">
                <v:path textboxrect="0,0,0,0"/>
                <v:imagedata r:id="rId21" o:title=""/>
              </v:shape>
            </w:pict>
          </mc:Fallback>
        </mc:AlternateContent>
      </w:r>
      <w:r/>
    </w:p>
    <w:p>
      <w:pPr>
        <w:jc w:val="both"/>
        <w:spacing w:lineRule="auto" w:line="240" w:after="240" w:before="240"/>
        <w:rPr>
          <w:color w:val="333333"/>
          <w:highlight w:val="white"/>
          <w:lang w:val="en-US"/>
        </w:rPr>
      </w:pPr>
      <w:r>
        <w:rPr>
          <w:b/>
          <w:color w:val="333333"/>
          <w:highlight w:val="white"/>
          <w:lang w:val="en-US"/>
        </w:rPr>
        <w:t xml:space="preserve">Supplemental Figure 4: </w:t>
      </w:r>
      <w:r>
        <w:rPr>
          <w:color w:val="333333"/>
          <w:highlight w:val="white"/>
          <w:lang w:val="en-US"/>
        </w:rPr>
        <w:t xml:space="preserve">ES in case 1127 revealed missense variants of unknown clinical significance in </w:t>
      </w:r>
      <w:r>
        <w:rPr>
          <w:i/>
          <w:color w:val="333333"/>
          <w:highlight w:val="white"/>
          <w:lang w:val="en-US"/>
        </w:rPr>
        <w:t xml:space="preserve">MDH2.</w:t>
      </w:r>
      <w:r>
        <w:rPr>
          <w:color w:val="333333"/>
          <w:highlight w:val="white"/>
          <w:lang w:val="en-US"/>
        </w:rPr>
        <w:t xml:space="preserve"> Subsequent proteomics in fibroblasts showed significantly reduced intensities for MDH2 and resulted in a reclassification of the variants to likely pathogenic.</w:t>
      </w:r>
      <w:r/>
    </w:p>
    <w:p>
      <w:pPr>
        <w:jc w:val="both"/>
        <w:spacing w:lineRule="auto" w:line="240" w:after="240" w:before="240"/>
        <w:rPr>
          <w:b/>
          <w:highlight w:val="white"/>
        </w:rPr>
      </w:pPr>
      <w:r>
        <w:rPr>
          <w:b/>
          <w:highlight w:val="white"/>
          <w:lang w:val="de-DE"/>
        </w:rPr>
        <mc:AlternateContent>
          <mc:Choice Requires="wpg">
            <w:drawing>
              <wp:inline xmlns:wp="http://schemas.openxmlformats.org/drawingml/2006/wordprocessingDrawing" distT="0" distB="0" distL="0" distR="0">
                <wp:extent cx="5734050" cy="3800424"/>
                <wp:effectExtent l="0" t="0" r="0" b="0"/>
                <wp:docPr id="5" name="image8.png" hidden="0"/>
                <wp:cNvGraphicFramePr/>
                <a:graphic xmlns:a="http://schemas.openxmlformats.org/drawingml/2006/main">
                  <a:graphicData uri="http://schemas.openxmlformats.org/drawingml/2006/picture">
                    <pic:pic xmlns:pic="http://schemas.openxmlformats.org/drawingml/2006/picture">
                      <pic:nvPicPr>
                        <pic:cNvPr id="0" name="image8.png" hidden="0"/>
                        <pic:cNvPicPr/>
                        <pic:nvPr isPhoto="0" userDrawn="0"/>
                      </pic:nvPicPr>
                      <pic:blipFill>
                        <a:blip r:embed="rId22"/>
                        <a:stretch/>
                      </pic:blipFill>
                      <pic:spPr bwMode="auto">
                        <a:xfrm>
                          <a:off x="0" y="0"/>
                          <a:ext cx="5734050" cy="3800424"/>
                        </a:xfrm>
                        <a:prstGeom prst="rect">
                          <a:avLst/>
                        </a:prstGeom>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4" o:spid="_x0000_s4" type="#_x0000_t75" style="mso-wrap-distance-left:0.0pt;mso-wrap-distance-top:0.0pt;mso-wrap-distance-right:0.0pt;mso-wrap-distance-bottom:0.0pt;width:451.5pt;height:299.2pt;">
                <v:path textboxrect="0,0,0,0"/>
                <v:imagedata r:id="rId22" o:title=""/>
              </v:shape>
            </w:pict>
          </mc:Fallback>
        </mc:AlternateContent>
      </w:r>
      <w:r/>
    </w:p>
    <w:p>
      <w:pPr>
        <w:jc w:val="both"/>
        <w:spacing w:lineRule="auto" w:line="240" w:after="240" w:before="240"/>
        <w:rPr>
          <w:highlight w:val="white"/>
          <w:lang w:val="en-US"/>
        </w:rPr>
      </w:pPr>
      <w:r>
        <w:rPr>
          <w:b/>
          <w:highlight w:val="white"/>
          <w:lang w:val="en-US"/>
        </w:rPr>
        <w:t xml:space="preserve">Supplemental Figure 5: </w:t>
      </w:r>
      <w:r>
        <w:rPr>
          <w:highlight w:val="white"/>
          <w:lang w:val="en-US"/>
        </w:rPr>
        <w:t xml:space="preserve">Monogenic disorders of chromatin regulatory proteins cause characteristic methylation epi-signatures. These patterns can be identified on EPIC-arr</w:t>
      </w:r>
      <w:r>
        <w:rPr>
          <w:highlight w:val="white"/>
          <w:lang w:val="en-US"/>
        </w:rPr>
        <w:t xml:space="preserve">ay data by a support vector machine (SVM) that was trained on positive controls for each gene. A score above 0.5 is indicative for a pathogenic variant in the respective gene. Scores in between 0.3 and 0.5 can be caused by mosaicism of pathogenic variants.</w:t>
      </w:r>
      <w:r/>
    </w:p>
    <w:p>
      <w:pPr>
        <w:jc w:val="both"/>
        <w:spacing w:lineRule="auto" w:line="240" w:after="240" w:before="240"/>
        <w:rPr>
          <w:color w:val="333333"/>
          <w:highlight w:val="white"/>
          <w:lang w:val="en-US"/>
        </w:rPr>
      </w:pPr>
      <w:r>
        <w:rPr>
          <w:color w:val="333333"/>
          <w:highlight w:val="white"/>
          <w:lang w:val="en-US"/>
        </w:rPr>
      </w:r>
      <w:r/>
    </w:p>
    <w:p>
      <w:pPr>
        <w:jc w:val="both"/>
        <w:spacing w:lineRule="auto" w:line="240" w:after="240" w:before="240"/>
        <w:rPr>
          <w:highlight w:val="white"/>
          <w:lang w:val="en-US"/>
        </w:rPr>
      </w:pPr>
      <w:r>
        <w:rPr>
          <w:highlight w:val="white"/>
          <w:lang w:val="de-DE"/>
        </w:rPr>
        <mc:AlternateContent>
          <mc:Choice Requires="wpg">
            <w:drawing>
              <wp:inline xmlns:wp="http://schemas.openxmlformats.org/drawingml/2006/wordprocessingDrawing" distT="0" distB="0" distL="0" distR="0">
                <wp:extent cx="4610100" cy="2628900"/>
                <wp:effectExtent l="0" t="0" r="0" b="0"/>
                <wp:docPr id="6" name="image4.png" descr="Ein Bild, das Feuerwerk, dunkel enthält.&#10;&#10;Automatisch generierte Beschreibung" hidden="0"/>
                <wp:cNvGraphicFramePr/>
                <a:graphic xmlns:a="http://schemas.openxmlformats.org/drawingml/2006/main">
                  <a:graphicData uri="http://schemas.openxmlformats.org/drawingml/2006/picture">
                    <pic:pic xmlns:pic="http://schemas.openxmlformats.org/drawingml/2006/picture">
                      <pic:nvPicPr>
                        <pic:cNvPr id="7" name="image4.png" descr="Ein Bild, das Feuerwerk, dunkel enthält.&#10;&#10;Automatisch generierte Beschreibung" hidden="0"/>
                        <pic:cNvPicPr/>
                        <pic:nvPr isPhoto="0" userDrawn="0"/>
                      </pic:nvPicPr>
                      <pic:blipFill>
                        <a:blip r:embed="rId23"/>
                        <a:stretch/>
                      </pic:blipFill>
                      <pic:spPr bwMode="auto">
                        <a:xfrm>
                          <a:off x="0" y="0"/>
                          <a:ext cx="4620079" cy="2634591"/>
                        </a:xfrm>
                        <a:prstGeom prst="rect">
                          <a:avLst/>
                        </a:prstGeom>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5" o:spid="_x0000_s5" type="#_x0000_t75" style="mso-wrap-distance-left:0.0pt;mso-wrap-distance-top:0.0pt;mso-wrap-distance-right:0.0pt;mso-wrap-distance-bottom:0.0pt;width:363.0pt;height:207.0pt;">
                <v:path textboxrect="0,0,0,0"/>
                <v:imagedata r:id="rId23" o:title=""/>
              </v:shape>
            </w:pict>
          </mc:Fallback>
        </mc:AlternateContent>
      </w:r>
      <w:r/>
    </w:p>
    <w:p>
      <w:pPr>
        <w:jc w:val="both"/>
        <w:spacing w:lineRule="auto" w:line="240" w:after="240" w:before="240"/>
        <w:rPr>
          <w:highlight w:val="white"/>
          <w:lang w:val="en-US"/>
        </w:rPr>
      </w:pPr>
      <w:r>
        <w:rPr>
          <w:b/>
          <w:highlight w:val="white"/>
          <w:lang w:val="en-US"/>
        </w:rPr>
        <w:t xml:space="preserve">Supplemental Figure 6: </w:t>
      </w:r>
      <w:r>
        <w:rPr>
          <w:bCs/>
          <w:highlight w:val="white"/>
          <w:lang w:val="en-US"/>
        </w:rPr>
        <w:t xml:space="preserve">Diagnostic grade genes (DGGs) in were ordered according to the number of pathogenic or likely pathogenic variants submitted to </w:t>
      </w:r>
      <w:r>
        <w:rPr>
          <w:bCs/>
          <w:highlight w:val="white"/>
          <w:lang w:val="en-US"/>
        </w:rPr>
        <w:t xml:space="preserve">ClinVar</w:t>
      </w:r>
      <w:r>
        <w:rPr>
          <w:bCs/>
          <w:highlight w:val="white"/>
          <w:lang w:val="en-US"/>
        </w:rPr>
        <w:t xml:space="preserve">. Phenotyp</w:t>
      </w:r>
      <w:r>
        <w:rPr>
          <w:bCs/>
          <w:highlight w:val="white"/>
          <w:lang w:val="en-US"/>
        </w:rPr>
        <w:t xml:space="preserve">es associated with DGGs close to the left can be regarded as more frequent than phenotypes associated with DGGs close to the right. A deviation of the cumulative distribution of a cohort to the lower right indicates an enrichment for ultra-rare phenotypes.</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r>
      <w:r/>
    </w:p>
    <w:p>
      <w:pPr>
        <w:jc w:val="center"/>
        <w:spacing w:lineRule="auto" w:line="240" w:after="240" w:before="240"/>
        <w:rPr>
          <w:b/>
          <w:highlight w:val="white"/>
        </w:rPr>
      </w:pPr>
      <w:r>
        <w:rPr>
          <w:highlight w:val="white"/>
          <w:lang w:val="de-DE"/>
        </w:rPr>
        <mc:AlternateContent>
          <mc:Choice Requires="wpg">
            <w:drawing>
              <wp:inline xmlns:wp="http://schemas.openxmlformats.org/drawingml/2006/wordprocessingDrawing" distT="0" distB="0" distL="0" distR="0">
                <wp:extent cx="4505026" cy="7258050"/>
                <wp:effectExtent l="0" t="0" r="0" b="0"/>
                <wp:docPr id="7" name="image7.jpg" hidden="0"/>
                <wp:cNvGraphicFramePr/>
                <a:graphic xmlns:a="http://schemas.openxmlformats.org/drawingml/2006/main">
                  <a:graphicData uri="http://schemas.openxmlformats.org/drawingml/2006/picture">
                    <pic:pic xmlns:pic="http://schemas.openxmlformats.org/drawingml/2006/picture">
                      <pic:nvPicPr>
                        <pic:cNvPr id="0" name="image7.jpg" hidden="0"/>
                        <pic:cNvPicPr/>
                        <pic:nvPr isPhoto="0" userDrawn="0"/>
                      </pic:nvPicPr>
                      <pic:blipFill>
                        <a:blip r:embed="rId24"/>
                        <a:stretch/>
                      </pic:blipFill>
                      <pic:spPr bwMode="auto">
                        <a:xfrm>
                          <a:off x="0" y="0"/>
                          <a:ext cx="4528908" cy="7296526"/>
                        </a:xfrm>
                        <a:prstGeom prst="rect">
                          <a:avLst/>
                        </a:prstGeom>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6" o:spid="_x0000_s6" type="#_x0000_t75" style="mso-wrap-distance-left:0.0pt;mso-wrap-distance-top:0.0pt;mso-wrap-distance-right:0.0pt;mso-wrap-distance-bottom:0.0pt;width:354.7pt;height:571.5pt;">
                <v:path textboxrect="0,0,0,0"/>
                <v:imagedata r:id="rId24" o:title=""/>
              </v:shape>
            </w:pict>
          </mc:Fallback>
        </mc:AlternateContent>
      </w:r>
      <w:r/>
    </w:p>
    <w:p>
      <w:pPr>
        <w:jc w:val="both"/>
        <w:spacing w:lineRule="auto" w:line="240" w:after="240" w:before="240"/>
        <w:rPr>
          <w:highlight w:val="white"/>
          <w:lang w:val="en-US"/>
        </w:rPr>
      </w:pPr>
      <w:r>
        <w:rPr>
          <w:b/>
          <w:highlight w:val="white"/>
          <w:lang w:val="en-US"/>
        </w:rPr>
        <w:t xml:space="preserve">Supplemental Figure 7: </w:t>
      </w:r>
      <w:r>
        <w:rPr>
          <w:highlight w:val="white"/>
          <w:lang w:val="en-US"/>
        </w:rPr>
        <w:t xml:space="preserve">Cases of the TRANSLATE-NAMSE cohort were enriched for ultra-rare diagnoses and required medical knowledge that was mostly generated in the last decade.</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r>
      <w:r/>
    </w:p>
    <w:p>
      <w:pPr>
        <w:jc w:val="center"/>
        <w:spacing w:lineRule="auto" w:line="240" w:after="240" w:before="240"/>
        <w:rPr>
          <w:highlight w:val="white"/>
        </w:rPr>
      </w:pPr>
      <w:r>
        <w:rPr>
          <w:highlight w:val="white"/>
          <w:lang w:val="de-DE"/>
        </w:rPr>
        <mc:AlternateContent>
          <mc:Choice Requires="wpg">
            <w:drawing>
              <wp:inline xmlns:wp="http://schemas.openxmlformats.org/drawingml/2006/wordprocessingDrawing" distT="0" distB="0" distL="0" distR="0">
                <wp:extent cx="3460387" cy="3174274"/>
                <wp:effectExtent l="0" t="0" r="0" b="1270"/>
                <wp:docPr id="8" name="image5.png" hidden="0"/>
                <wp:cNvGraphicFramePr/>
                <a:graphic xmlns:a="http://schemas.openxmlformats.org/drawingml/2006/main">
                  <a:graphicData uri="http://schemas.openxmlformats.org/drawingml/2006/picture">
                    <pic:pic xmlns:pic="http://schemas.openxmlformats.org/drawingml/2006/picture">
                      <pic:nvPicPr>
                        <pic:cNvPr id="0" name="image5.png" hidden="0"/>
                        <pic:cNvPicPr/>
                        <pic:nvPr isPhoto="0" userDrawn="0"/>
                      </pic:nvPicPr>
                      <pic:blipFill>
                        <a:blip r:embed="rId25"/>
                        <a:stretch/>
                      </pic:blipFill>
                      <pic:spPr bwMode="auto">
                        <a:xfrm>
                          <a:off x="0" y="0"/>
                          <a:ext cx="3463951" cy="3177544"/>
                        </a:xfrm>
                        <a:prstGeom prst="rect">
                          <a:avLst/>
                        </a:prstGeom>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7" o:spid="_x0000_s7" type="#_x0000_t75" style="mso-wrap-distance-left:0.0pt;mso-wrap-distance-top:0.0pt;mso-wrap-distance-right:0.0pt;mso-wrap-distance-bottom:0.0pt;width:272.5pt;height:249.9pt;">
                <v:path textboxrect="0,0,0,0"/>
                <v:imagedata r:id="rId25" o:title=""/>
              </v:shape>
            </w:pict>
          </mc:Fallback>
        </mc:AlternateContent>
      </w:r>
      <w:r/>
    </w:p>
    <w:p>
      <w:pPr>
        <w:jc w:val="both"/>
        <w:spacing w:lineRule="auto" w:line="240" w:after="240" w:before="240"/>
        <w:rPr>
          <w:b/>
          <w:bCs/>
          <w:lang w:val="en-US"/>
        </w:rPr>
      </w:pPr>
      <w:r>
        <w:rPr>
          <w:b/>
          <w:bCs/>
          <w:highlight w:val="white"/>
          <w:lang w:val="en-US"/>
        </w:rPr>
        <w:t xml:space="preserve">Supplemental Figure 8: </w:t>
      </w:r>
      <w:r>
        <w:rPr>
          <w:highlight w:val="white"/>
          <w:lang w:val="en-US"/>
        </w:rPr>
        <w:t xml:space="preserve">Receiver Operator Characteristics (ROC) curve for Predictor of diagnostic yield on a TRANSLATE-NAMSE test set. </w:t>
      </w:r>
      <w:r>
        <w:rPr>
          <w:b/>
          <w:bCs/>
          <w:highlight w:val="white"/>
          <w:lang w:val="en-US"/>
        </w:rPr>
        <w:t xml:space="preserve"> </w:t>
      </w:r>
      <w:r/>
    </w:p>
    <w:p>
      <w:pPr>
        <w:jc w:val="center"/>
        <w:spacing w:lineRule="auto" w:line="240" w:after="240" w:before="240"/>
        <w:rPr>
          <w:highlight w:val="white"/>
        </w:rPr>
      </w:pPr>
      <w:r>
        <w:rPr>
          <w:highlight w:val="white"/>
          <w:lang w:val="de-DE"/>
        </w:rPr>
        <mc:AlternateContent>
          <mc:Choice Requires="wpg">
            <w:drawing>
              <wp:inline xmlns:wp="http://schemas.openxmlformats.org/drawingml/2006/wordprocessingDrawing" distT="0" distB="0" distL="0" distR="0">
                <wp:extent cx="3460387" cy="3174274"/>
                <wp:effectExtent l="0" t="0" r="0" b="1270"/>
                <wp:docPr id="9" name="image5.png" hidden="0"/>
                <wp:cNvGraphicFramePr/>
                <a:graphic xmlns:a="http://schemas.openxmlformats.org/drawingml/2006/main">
                  <a:graphicData uri="http://schemas.openxmlformats.org/drawingml/2006/picture">
                    <pic:pic xmlns:pic="http://schemas.openxmlformats.org/drawingml/2006/picture">
                      <pic:nvPicPr>
                        <pic:cNvPr id="1740551513" name="image5.png" hidden="0"/>
                        <pic:cNvPicPr/>
                        <pic:nvPr isPhoto="0" userDrawn="0"/>
                      </pic:nvPicPr>
                      <pic:blipFill>
                        <a:blip r:embed="rId26"/>
                        <a:stretch/>
                      </pic:blipFill>
                      <pic:spPr bwMode="auto">
                        <a:xfrm>
                          <a:off x="0" y="0"/>
                          <a:ext cx="3463950" cy="3177543"/>
                        </a:xfrm>
                        <a:prstGeom prst="rect">
                          <a:avLst/>
                        </a:prstGeom>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8" o:spid="_x0000_s8" type="#_x0000_t75" style="mso-wrap-distance-left:0.0pt;mso-wrap-distance-top:0.0pt;mso-wrap-distance-right:0.0pt;mso-wrap-distance-bottom:0.0pt;width:272.5pt;height:249.9pt;">
                <v:path textboxrect="0,0,0,0"/>
                <v:imagedata r:id="rId26" o:title=""/>
              </v:shape>
            </w:pict>
          </mc:Fallback>
        </mc:AlternateContent>
      </w:r>
      <w:r/>
    </w:p>
    <w:p>
      <w:pPr>
        <w:jc w:val="both"/>
        <w:spacing w:lineRule="auto" w:line="240" w:after="240" w:before="240"/>
        <w:rPr>
          <w:highlight w:val="white"/>
          <w:lang w:val="en-US"/>
        </w:rPr>
      </w:pPr>
      <w:r>
        <w:rPr>
          <w:b/>
          <w:bCs/>
          <w:highlight w:val="white"/>
          <w:lang w:val="en-US"/>
        </w:rPr>
        <w:t xml:space="preserve">Supplemental Figure 9: </w:t>
      </w:r>
      <w:r>
        <w:rPr>
          <w:highlight w:val="white"/>
          <w:lang w:val="en-US"/>
        </w:rPr>
        <w:t xml:space="preserve">Receiver Operator Characteristics (ROC) curve for Predictor of diagnostic yield on an independent and external cohort. </w:t>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r>
      <w:r/>
    </w:p>
    <w:p>
      <w:pPr>
        <w:jc w:val="center"/>
        <w:spacing w:lineRule="auto" w:line="240" w:after="240" w:before="240"/>
        <w:rPr>
          <w:highlight w:val="white"/>
        </w:rPr>
      </w:pPr>
      <w:r>
        <w:rPr>
          <w:b/>
          <w:highlight w:val="white"/>
          <w:lang w:val="de-DE"/>
        </w:rPr>
        <mc:AlternateContent>
          <mc:Choice Requires="wpg">
            <w:drawing>
              <wp:inline xmlns:wp="http://schemas.openxmlformats.org/drawingml/2006/wordprocessingDrawing" distT="0" distB="0" distL="0" distR="0">
                <wp:extent cx="2964815" cy="2547257"/>
                <wp:effectExtent l="0" t="0" r="0" b="5715"/>
                <wp:docPr id="10" name="image3.png" hidden="0"/>
                <wp:cNvGraphicFramePr/>
                <a:graphic xmlns:a="http://schemas.openxmlformats.org/drawingml/2006/main">
                  <a:graphicData uri="http://schemas.openxmlformats.org/drawingml/2006/picture">
                    <pic:pic xmlns:pic="http://schemas.openxmlformats.org/drawingml/2006/picture">
                      <pic:nvPicPr>
                        <pic:cNvPr id="0" name="image3.png" hidden="0"/>
                        <pic:cNvPicPr/>
                        <pic:nvPr isPhoto="0" userDrawn="0"/>
                      </pic:nvPicPr>
                      <pic:blipFill>
                        <a:blip r:embed="rId27"/>
                        <a:stretch/>
                      </pic:blipFill>
                      <pic:spPr bwMode="auto">
                        <a:xfrm>
                          <a:off x="0" y="0"/>
                          <a:ext cx="2976411" cy="2557220"/>
                        </a:xfrm>
                        <a:prstGeom prst="rect">
                          <a:avLst/>
                        </a:prstGeom>
                        <a:ln/>
                      </pic:spPr>
                    </pic:pic>
                  </a:graphicData>
                </a:graphic>
              </wp:inline>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9" o:spid="_x0000_s9" type="#_x0000_t75" style="mso-wrap-distance-left:0.0pt;mso-wrap-distance-top:0.0pt;mso-wrap-distance-right:0.0pt;mso-wrap-distance-bottom:0.0pt;width:233.4pt;height:200.6pt;">
                <v:path textboxrect="0,0,0,0"/>
                <v:imagedata r:id="rId27" o:title=""/>
              </v:shape>
            </w:pict>
          </mc:Fallback>
        </mc:AlternateContent>
      </w:r>
      <w:r/>
    </w:p>
    <w:p>
      <w:pPr>
        <w:jc w:val="both"/>
        <w:spacing w:lineRule="auto" w:line="240" w:after="240" w:before="240"/>
        <w:rPr>
          <w:highlight w:val="white"/>
          <w:lang w:val="en-US"/>
        </w:rPr>
      </w:pPr>
      <w:r>
        <w:rPr>
          <w:b/>
          <w:bCs/>
          <w:highlight w:val="white"/>
          <w:lang w:val="en-US"/>
        </w:rPr>
        <w:t xml:space="preserve">Supplemental Figure 10:</w:t>
      </w:r>
      <w:r>
        <w:rPr>
          <w:highlight w:val="white"/>
          <w:lang w:val="en-US"/>
        </w:rPr>
        <w:t xml:space="preserve"> The mean coding length of DDGs in the TRANSLATE-NAMSE cohort (</w:t>
      </w:r>
      <w:r>
        <w:rPr>
          <w:highlight w:val="white"/>
          <w:lang w:val="en-US"/>
        </w:rPr>
        <w:t xml:space="preserve">TN_Diagnostic</w:t>
      </w:r>
      <w:r>
        <w:rPr>
          <w:highlight w:val="white"/>
          <w:lang w:val="en-US"/>
        </w:rPr>
        <w:t xml:space="preserve">), as well, as novel DDGs (</w:t>
      </w:r>
      <w:r>
        <w:rPr>
          <w:highlight w:val="white"/>
          <w:lang w:val="en-US"/>
        </w:rPr>
        <w:t xml:space="preserve">TN_Rsearch</w:t>
      </w:r>
      <w:r>
        <w:rPr>
          <w:highlight w:val="white"/>
          <w:lang w:val="en-US"/>
        </w:rPr>
        <w:t xml:space="preserve">) was significantly longer than for all genes or all OMIM genes. </w:t>
      </w:r>
      <w:r/>
    </w:p>
    <w:p>
      <w:pPr>
        <w:rPr>
          <w:lang w:val="en-US"/>
        </w:rPr>
      </w:pPr>
      <w:r>
        <w:rPr>
          <w:lang w:val="en-US"/>
        </w:rPr>
        <w:br w:type="page"/>
      </w:r>
      <w:r/>
    </w:p>
    <w:p>
      <w:pPr>
        <w:pStyle w:val="642"/>
        <w:rPr>
          <w:lang w:val="en-US"/>
        </w:rPr>
      </w:pPr>
      <w:r/>
      <w:bookmarkStart w:id="18" w:name="_Toc90629828"/>
      <w:r>
        <w:rPr>
          <w:lang w:val="en-US"/>
        </w:rPr>
        <w:t xml:space="preserve">Supplementary Tables</w:t>
      </w:r>
      <w:bookmarkEnd w:id="18"/>
      <w:r/>
      <w:r/>
    </w:p>
    <w:p>
      <w:pPr>
        <w:jc w:val="both"/>
        <w:spacing w:lineRule="auto" w:line="240"/>
        <w:rPr>
          <w:b/>
          <w:bCs/>
          <w:lang w:val="en-US"/>
        </w:rPr>
      </w:pPr>
      <w:r>
        <w:rPr>
          <w:b/>
          <w:bCs/>
          <w:lang w:val="en-US"/>
        </w:rPr>
      </w:r>
      <w:r/>
    </w:p>
    <w:p>
      <w:pPr>
        <w:jc w:val="both"/>
        <w:spacing w:lineRule="auto" w:line="240"/>
        <w:rPr>
          <w:lang w:val="en-US"/>
        </w:rPr>
      </w:pPr>
      <w:r>
        <w:rPr>
          <w:b/>
          <w:bCs/>
          <w:lang w:val="en-US"/>
        </w:rPr>
        <w:t xml:space="preserve">Supplemental Table 1:</w:t>
      </w:r>
      <w:r>
        <w:rPr>
          <w:lang w:val="en-US"/>
        </w:rPr>
        <w:t xml:space="preserve"> The five most frequently used HPO terms per disease category</w:t>
      </w:r>
      <w:r/>
    </w:p>
    <w:p>
      <w:pPr>
        <w:jc w:val="both"/>
        <w:spacing w:lineRule="auto" w:line="240"/>
        <w:rPr>
          <w:lang w:val="en-US"/>
        </w:rPr>
      </w:pPr>
      <w:r>
        <w:rPr>
          <w:lang w:val="en-US"/>
        </w:rPr>
      </w:r>
      <w:r/>
    </w:p>
    <w:tbl>
      <w:tblPr>
        <w:tblStyle w:val="840"/>
        <w:tblW w:w="9025" w:type="dxa"/>
        <w:tblInd w:w="0" w:type="dxa"/>
        <w:tblBorders>
          <w:left w:val="none" w:color="000000" w:sz="4" w:space="0"/>
          <w:top w:val="none" w:color="000000" w:sz="4" w:space="0"/>
          <w:right w:val="none" w:color="000000" w:sz="4" w:space="0"/>
          <w:bottom w:val="none" w:color="000000" w:sz="4" w:space="0"/>
          <w:insideV w:val="none" w:color="000000" w:sz="4" w:space="0"/>
          <w:insideH w:val="none" w:color="000000" w:sz="4" w:space="0"/>
        </w:tblBorders>
        <w:tblLayout w:type="fixed"/>
        <w:tblLook w:val="0600" w:firstRow="0" w:lastRow="0" w:firstColumn="0" w:lastColumn="0" w:noHBand="1" w:noVBand="1"/>
      </w:tblPr>
      <w:tblGrid>
        <w:gridCol w:w="1382"/>
        <w:gridCol w:w="1198"/>
        <w:gridCol w:w="999"/>
        <w:gridCol w:w="1237"/>
        <w:gridCol w:w="999"/>
        <w:gridCol w:w="973"/>
        <w:gridCol w:w="947"/>
        <w:gridCol w:w="1290"/>
      </w:tblGrid>
      <w:tr>
        <w:trPr>
          <w:trHeight w:val="460"/>
        </w:trPr>
        <w:tc>
          <w:tcPr>
            <w:tcBorders>
              <w:left w:val="none" w:color="000000" w:sz="4" w:space="0"/>
              <w:top w:val="single" w:color="000000" w:sz="8" w:space="0"/>
              <w:right w:val="single" w:color="000000" w:sz="8" w:space="0"/>
              <w:bottom w:val="single" w:color="000000" w:sz="8" w:space="0"/>
            </w:tcBorders>
            <w:tcMar>
              <w:left w:w="40" w:type="dxa"/>
              <w:top w:w="20" w:type="dxa"/>
              <w:right w:w="40" w:type="dxa"/>
              <w:bottom w:w="100" w:type="dxa"/>
            </w:tcMar>
            <w:tcW w:w="1381" w:type="dxa"/>
            <w:vAlign w:val="center"/>
            <w:textDirection w:val="lrTb"/>
            <w:noWrap w:val="false"/>
          </w:tcPr>
          <w:p>
            <w:pPr>
              <w:jc w:val="center"/>
              <w:spacing w:lineRule="auto" w:line="240"/>
              <w:rPr>
                <w:rFonts w:eastAsia="Calibri"/>
                <w:b/>
                <w:sz w:val="12"/>
                <w:szCs w:val="12"/>
                <w:highlight w:val="white"/>
              </w:rPr>
            </w:pPr>
            <w:r>
              <w:rPr>
                <w:rFonts w:eastAsia="Calibri"/>
                <w:b/>
                <w:sz w:val="12"/>
                <w:szCs w:val="12"/>
                <w:highlight w:val="white"/>
              </w:rPr>
              <w:t xml:space="preserve">Disease</w:t>
            </w:r>
            <w:r>
              <w:rPr>
                <w:rFonts w:eastAsia="Calibri"/>
                <w:b/>
                <w:sz w:val="12"/>
                <w:szCs w:val="12"/>
                <w:highlight w:val="white"/>
              </w:rPr>
              <w:t xml:space="preserve"> </w:t>
            </w:r>
            <w:r>
              <w:rPr>
                <w:rFonts w:eastAsia="Calibri"/>
                <w:b/>
                <w:sz w:val="12"/>
                <w:szCs w:val="12"/>
                <w:highlight w:val="white"/>
              </w:rPr>
              <w:t xml:space="preserve">Category</w:t>
            </w:r>
            <w:r/>
          </w:p>
        </w:tc>
        <w:tc>
          <w:tcPr>
            <w:gridSpan w:val="7"/>
            <w:tcBorders>
              <w:left w:val="single" w:color="000000" w:sz="8" w:space="0"/>
              <w:top w:val="single" w:color="000000" w:sz="8" w:space="0"/>
              <w:right w:val="none" w:color="000000" w:sz="4" w:space="0"/>
              <w:bottom w:val="single" w:color="000000" w:sz="8" w:space="0"/>
            </w:tcBorders>
            <w:tcMar>
              <w:left w:w="40" w:type="dxa"/>
              <w:top w:w="20" w:type="dxa"/>
              <w:right w:w="40" w:type="dxa"/>
              <w:bottom w:w="100" w:type="dxa"/>
            </w:tcMar>
            <w:tcW w:w="7640" w:type="dxa"/>
            <w:vAlign w:val="center"/>
            <w:textDirection w:val="lrTb"/>
            <w:noWrap w:val="false"/>
          </w:tcPr>
          <w:p>
            <w:pPr>
              <w:jc w:val="center"/>
              <w:spacing w:lineRule="auto" w:line="240"/>
              <w:rPr>
                <w:rFonts w:eastAsia="Calibri"/>
                <w:b/>
                <w:sz w:val="12"/>
                <w:szCs w:val="12"/>
                <w:highlight w:val="white"/>
                <w:lang w:val="en-US"/>
              </w:rPr>
            </w:pPr>
            <w:r>
              <w:rPr>
                <w:rFonts w:eastAsia="Calibri"/>
                <w:b/>
                <w:sz w:val="12"/>
                <w:szCs w:val="12"/>
                <w:highlight w:val="white"/>
                <w:lang w:val="en-US"/>
              </w:rPr>
              <w:t xml:space="preserve"> Most frequent HPO terms within disease categories</w:t>
            </w:r>
            <w:r/>
          </w:p>
        </w:tc>
      </w:tr>
      <w:tr>
        <w:trPr>
          <w:trHeight w:val="490"/>
        </w:trPr>
        <w:tc>
          <w:tcPr>
            <w:shd w:val="clear" w:fill="auto" w:color="auto"/>
            <w:tcBorders>
              <w:left w:val="none" w:color="000000" w:sz="4" w:space="0"/>
              <w:top w:val="single" w:color="000000" w:sz="8" w:space="0"/>
              <w:right w:val="single" w:color="000000" w:sz="8" w:space="0"/>
              <w:bottom w:val="none" w:color="000000" w:sz="4" w:space="0"/>
            </w:tcBorders>
            <w:tcMar>
              <w:left w:w="40" w:type="dxa"/>
              <w:top w:w="20" w:type="dxa"/>
              <w:right w:w="40" w:type="dxa"/>
              <w:bottom w:w="100" w:type="dxa"/>
            </w:tcMar>
            <w:tcW w:w="1381" w:type="dxa"/>
            <w:vAlign w:val="center"/>
            <w:textDirection w:val="lrTb"/>
            <w:noWrap w:val="false"/>
          </w:tcPr>
          <w:p>
            <w:pPr>
              <w:jc w:val="center"/>
              <w:spacing w:lineRule="auto" w:line="240"/>
              <w:rPr>
                <w:b/>
                <w:sz w:val="10"/>
                <w:szCs w:val="10"/>
                <w:highlight w:val="white"/>
                <w:lang w:val="en-US"/>
              </w:rPr>
            </w:pPr>
            <w:r>
              <w:rPr>
                <w:b/>
                <w:sz w:val="10"/>
                <w:szCs w:val="10"/>
                <w:highlight w:val="white"/>
                <w:lang w:val="en-US"/>
              </w:rPr>
              <w:t xml:space="preserve">mental, </w:t>
            </w:r>
            <w:r>
              <w:rPr>
                <w:b/>
                <w:sz w:val="10"/>
                <w:szCs w:val="10"/>
                <w:highlight w:val="white"/>
                <w:lang w:val="en-US"/>
              </w:rPr>
              <w:t xml:space="preserve">behavioral</w:t>
            </w:r>
            <w:r>
              <w:rPr>
                <w:b/>
                <w:sz w:val="10"/>
                <w:szCs w:val="10"/>
                <w:highlight w:val="white"/>
                <w:lang w:val="en-US"/>
              </w:rPr>
              <w:t xml:space="preserve"> or neurodevelopmental (N=734)</w:t>
            </w:r>
            <w:r/>
          </w:p>
        </w:tc>
        <w:tc>
          <w:tcPr>
            <w:shd w:val="clear" w:fill="auto" w:color="auto"/>
            <w:tcBorders>
              <w:left w:val="single" w:color="000000" w:sz="8" w:space="0"/>
              <w:top w:val="single" w:color="000000" w:sz="8" w:space="0"/>
              <w:right w:val="none" w:color="000000" w:sz="4" w:space="0"/>
              <w:bottom w:val="none" w:color="000000" w:sz="4" w:space="0"/>
            </w:tcBorders>
            <w:tcMar>
              <w:left w:w="40" w:type="dxa"/>
              <w:top w:w="20" w:type="dxa"/>
              <w:right w:w="40" w:type="dxa"/>
              <w:bottom w:w="100" w:type="dxa"/>
            </w:tcMar>
            <w:tcW w:w="1197" w:type="dxa"/>
            <w:vAlign w:val="center"/>
            <w:textDirection w:val="lrTb"/>
            <w:noWrap w:val="false"/>
          </w:tcPr>
          <w:p>
            <w:pPr>
              <w:jc w:val="center"/>
              <w:spacing w:lineRule="auto" w:line="240"/>
              <w:rPr>
                <w:b/>
                <w:color w:val="FF0000"/>
                <w:sz w:val="10"/>
                <w:szCs w:val="10"/>
                <w:highlight w:val="white"/>
              </w:rPr>
            </w:pPr>
            <w:r>
              <w:rPr>
                <w:b/>
                <w:color w:val="FF0000"/>
                <w:sz w:val="10"/>
                <w:szCs w:val="10"/>
                <w:highlight w:val="white"/>
              </w:rPr>
              <w:t xml:space="preserve">Global </w:t>
            </w:r>
            <w:r>
              <w:rPr>
                <w:b/>
                <w:color w:val="FF0000"/>
                <w:sz w:val="10"/>
                <w:szCs w:val="10"/>
                <w:highlight w:val="white"/>
              </w:rPr>
              <w:t xml:space="preserve">developmental</w:t>
            </w:r>
            <w:r>
              <w:rPr>
                <w:b/>
                <w:color w:val="FF0000"/>
                <w:sz w:val="10"/>
                <w:szCs w:val="10"/>
                <w:highlight w:val="white"/>
              </w:rPr>
              <w:t xml:space="preserve"> </w:t>
            </w:r>
            <w:r>
              <w:rPr>
                <w:b/>
                <w:color w:val="FF0000"/>
                <w:sz w:val="10"/>
                <w:szCs w:val="10"/>
                <w:highlight w:val="white"/>
              </w:rPr>
              <w:t xml:space="preserve">delay</w:t>
            </w:r>
            <w:r>
              <w:rPr>
                <w:b/>
                <w:color w:val="FF0000"/>
                <w:sz w:val="10"/>
                <w:szCs w:val="10"/>
                <w:highlight w:val="white"/>
              </w:rPr>
              <w:t xml:space="preserve"> (N=404)</w:t>
            </w:r>
            <w:r/>
          </w:p>
        </w:tc>
        <w:tc>
          <w:tcPr>
            <w:shd w:val="clear" w:fill="auto" w:color="auto"/>
            <w:tcBorders>
              <w:left w:val="none" w:color="000000" w:sz="4" w:space="0"/>
              <w:top w:val="single" w:color="000000" w:sz="8" w:space="0"/>
              <w:right w:val="none" w:color="000000" w:sz="4" w:space="0"/>
              <w:bottom w:val="none" w:color="000000" w:sz="4" w:space="0"/>
            </w:tcBorders>
            <w:tcMar>
              <w:left w:w="40" w:type="dxa"/>
              <w:top w:w="20" w:type="dxa"/>
              <w:right w:w="40" w:type="dxa"/>
              <w:bottom w:w="100" w:type="dxa"/>
            </w:tcMar>
            <w:tcW w:w="999" w:type="dxa"/>
            <w:vAlign w:val="center"/>
            <w:textDirection w:val="lrTb"/>
            <w:noWrap w:val="false"/>
          </w:tcPr>
          <w:p>
            <w:pPr>
              <w:jc w:val="center"/>
              <w:spacing w:lineRule="auto" w:line="240"/>
              <w:rPr>
                <w:b/>
                <w:sz w:val="10"/>
                <w:szCs w:val="10"/>
                <w:highlight w:val="white"/>
              </w:rPr>
            </w:pPr>
            <w:r>
              <w:rPr>
                <w:b/>
                <w:sz w:val="10"/>
                <w:szCs w:val="10"/>
                <w:highlight w:val="white"/>
              </w:rPr>
              <w:t xml:space="preserve">Hypotonia</w:t>
            </w:r>
            <w:r>
              <w:rPr>
                <w:b/>
                <w:sz w:val="10"/>
                <w:szCs w:val="10"/>
                <w:highlight w:val="white"/>
              </w:rPr>
              <w:t xml:space="preserve"> (N=194)</w:t>
            </w:r>
            <w:r/>
          </w:p>
        </w:tc>
        <w:tc>
          <w:tcPr>
            <w:shd w:val="clear" w:fill="auto" w:color="auto"/>
            <w:tcBorders>
              <w:left w:val="none" w:color="000000" w:sz="4" w:space="0"/>
              <w:top w:val="single" w:color="000000" w:sz="8" w:space="0"/>
              <w:right w:val="none" w:color="000000" w:sz="4" w:space="0"/>
              <w:bottom w:val="none" w:color="000000" w:sz="4" w:space="0"/>
            </w:tcBorders>
            <w:tcMar>
              <w:left w:w="40" w:type="dxa"/>
              <w:top w:w="20" w:type="dxa"/>
              <w:right w:w="40" w:type="dxa"/>
              <w:bottom w:w="100" w:type="dxa"/>
            </w:tcMar>
            <w:tcW w:w="1236" w:type="dxa"/>
            <w:vAlign w:val="center"/>
            <w:textDirection w:val="lrTb"/>
            <w:noWrap w:val="false"/>
          </w:tcPr>
          <w:p>
            <w:pPr>
              <w:jc w:val="center"/>
              <w:spacing w:lineRule="auto" w:line="240"/>
              <w:rPr>
                <w:b/>
                <w:sz w:val="10"/>
                <w:szCs w:val="10"/>
                <w:highlight w:val="white"/>
              </w:rPr>
            </w:pPr>
            <w:r>
              <w:rPr>
                <w:b/>
                <w:sz w:val="10"/>
                <w:szCs w:val="10"/>
                <w:highlight w:val="white"/>
              </w:rPr>
              <w:t xml:space="preserve">Microcephaly</w:t>
            </w:r>
            <w:r>
              <w:rPr>
                <w:b/>
                <w:sz w:val="10"/>
                <w:szCs w:val="10"/>
                <w:highlight w:val="white"/>
              </w:rPr>
              <w:t xml:space="preserve"> (N=184)</w:t>
            </w:r>
            <w:r/>
          </w:p>
        </w:tc>
        <w:tc>
          <w:tcPr>
            <w:shd w:val="clear" w:fill="auto" w:color="auto"/>
            <w:tcBorders>
              <w:left w:val="none" w:color="000000" w:sz="4" w:space="0"/>
              <w:top w:val="single" w:color="000000" w:sz="8" w:space="0"/>
              <w:right w:val="none" w:color="000000" w:sz="4" w:space="0"/>
              <w:bottom w:val="none" w:color="000000" w:sz="4" w:space="0"/>
            </w:tcBorders>
            <w:tcMar>
              <w:left w:w="40" w:type="dxa"/>
              <w:top w:w="20" w:type="dxa"/>
              <w:right w:w="40" w:type="dxa"/>
              <w:bottom w:w="100" w:type="dxa"/>
            </w:tcMar>
            <w:tcW w:w="999" w:type="dxa"/>
            <w:vAlign w:val="center"/>
            <w:textDirection w:val="lrTb"/>
            <w:noWrap w:val="false"/>
          </w:tcPr>
          <w:p>
            <w:pPr>
              <w:jc w:val="center"/>
              <w:spacing w:lineRule="auto" w:line="240"/>
              <w:rPr>
                <w:sz w:val="10"/>
                <w:szCs w:val="10"/>
                <w:highlight w:val="white"/>
                <w:lang w:val="en-US"/>
              </w:rPr>
            </w:pPr>
            <w:r>
              <w:rPr>
                <w:sz w:val="10"/>
                <w:szCs w:val="10"/>
                <w:highlight w:val="white"/>
                <w:lang w:val="en-US"/>
              </w:rPr>
              <w:t xml:space="preserve">Delayed speech / language development (N=176)</w:t>
            </w:r>
            <w:r/>
          </w:p>
        </w:tc>
        <w:tc>
          <w:tcPr>
            <w:shd w:val="clear" w:fill="auto" w:color="auto"/>
            <w:tcBorders>
              <w:left w:val="none" w:color="000000" w:sz="4" w:space="0"/>
              <w:top w:val="single" w:color="000000" w:sz="8" w:space="0"/>
              <w:right w:val="none" w:color="000000" w:sz="4" w:space="0"/>
              <w:bottom w:val="none" w:color="000000" w:sz="4" w:space="0"/>
            </w:tcBorders>
            <w:tcMar>
              <w:left w:w="40" w:type="dxa"/>
              <w:top w:w="20" w:type="dxa"/>
              <w:right w:w="40" w:type="dxa"/>
              <w:bottom w:w="100" w:type="dxa"/>
            </w:tcMar>
            <w:tcW w:w="973" w:type="dxa"/>
            <w:vAlign w:val="center"/>
            <w:textDirection w:val="lrTb"/>
            <w:noWrap w:val="false"/>
          </w:tcPr>
          <w:p>
            <w:pPr>
              <w:jc w:val="center"/>
              <w:spacing w:lineRule="auto" w:line="240"/>
              <w:rPr>
                <w:sz w:val="10"/>
                <w:szCs w:val="10"/>
                <w:highlight w:val="white"/>
              </w:rPr>
            </w:pPr>
            <w:r>
              <w:rPr>
                <w:sz w:val="10"/>
                <w:szCs w:val="10"/>
                <w:highlight w:val="white"/>
              </w:rPr>
              <w:t xml:space="preserve">Intellectual</w:t>
            </w:r>
            <w:r>
              <w:rPr>
                <w:sz w:val="10"/>
                <w:szCs w:val="10"/>
                <w:highlight w:val="white"/>
              </w:rPr>
              <w:t xml:space="preserve"> </w:t>
            </w:r>
            <w:r>
              <w:rPr>
                <w:sz w:val="10"/>
                <w:szCs w:val="10"/>
                <w:highlight w:val="white"/>
              </w:rPr>
              <w:t xml:space="preserve">disability</w:t>
            </w:r>
            <w:r>
              <w:rPr>
                <w:sz w:val="10"/>
                <w:szCs w:val="10"/>
                <w:highlight w:val="white"/>
              </w:rPr>
              <w:t xml:space="preserve"> (N=103)</w:t>
            </w:r>
            <w:r/>
          </w:p>
        </w:tc>
        <w:tc>
          <w:tcPr>
            <w:shd w:val="clear" w:fill="auto" w:color="auto"/>
            <w:tcBorders>
              <w:left w:val="none" w:color="000000" w:sz="4" w:space="0"/>
              <w:top w:val="single" w:color="000000" w:sz="8" w:space="0"/>
              <w:right w:val="none" w:color="000000" w:sz="4" w:space="0"/>
              <w:bottom w:val="none" w:color="000000" w:sz="4" w:space="0"/>
            </w:tcBorders>
            <w:tcMar>
              <w:left w:w="40" w:type="dxa"/>
              <w:top w:w="20" w:type="dxa"/>
              <w:right w:w="40" w:type="dxa"/>
              <w:bottom w:w="100" w:type="dxa"/>
            </w:tcMar>
            <w:tcW w:w="947" w:type="dxa"/>
            <w:vAlign w:val="center"/>
            <w:textDirection w:val="lrTb"/>
            <w:noWrap w:val="false"/>
          </w:tcPr>
          <w:p>
            <w:pPr>
              <w:jc w:val="center"/>
              <w:spacing w:lineRule="auto" w:line="240"/>
              <w:rPr>
                <w:b/>
                <w:sz w:val="10"/>
                <w:szCs w:val="10"/>
                <w:highlight w:val="white"/>
              </w:rPr>
            </w:pPr>
            <w:r>
              <w:rPr>
                <w:b/>
                <w:sz w:val="10"/>
                <w:szCs w:val="10"/>
                <w:highlight w:val="white"/>
              </w:rPr>
              <w:t xml:space="preserve">Short </w:t>
            </w:r>
            <w:r>
              <w:rPr>
                <w:b/>
                <w:sz w:val="10"/>
                <w:szCs w:val="10"/>
                <w:highlight w:val="white"/>
              </w:rPr>
              <w:t xml:space="preserve">stature</w:t>
            </w:r>
            <w:r>
              <w:rPr>
                <w:b/>
                <w:sz w:val="10"/>
                <w:szCs w:val="10"/>
                <w:highlight w:val="white"/>
              </w:rPr>
              <w:t xml:space="preserve"> (N=98)</w:t>
            </w:r>
            <w:r/>
          </w:p>
        </w:tc>
        <w:tc>
          <w:tcPr>
            <w:shd w:val="clear" w:fill="auto" w:color="auto"/>
            <w:tcBorders>
              <w:left w:val="none" w:color="000000" w:sz="4" w:space="0"/>
              <w:top w:val="single" w:color="000000" w:sz="8" w:space="0"/>
              <w:right w:val="none" w:color="000000" w:sz="4" w:space="0"/>
              <w:bottom w:val="none" w:color="000000" w:sz="4" w:space="0"/>
            </w:tcBorders>
            <w:tcMar>
              <w:left w:w="40" w:type="dxa"/>
              <w:top w:w="20" w:type="dxa"/>
              <w:right w:w="40" w:type="dxa"/>
              <w:bottom w:w="100" w:type="dxa"/>
            </w:tcMar>
            <w:tcW w:w="1289" w:type="dxa"/>
            <w:vAlign w:val="center"/>
            <w:textDirection w:val="lrTb"/>
            <w:noWrap w:val="false"/>
          </w:tcPr>
          <w:p>
            <w:pPr>
              <w:jc w:val="center"/>
              <w:spacing w:lineRule="auto" w:line="240"/>
              <w:rPr>
                <w:b/>
                <w:color w:val="4472C4"/>
                <w:sz w:val="10"/>
                <w:szCs w:val="10"/>
                <w:highlight w:val="white"/>
              </w:rPr>
            </w:pPr>
            <w:r>
              <w:rPr>
                <w:b/>
                <w:color w:val="4472C4"/>
                <w:sz w:val="10"/>
                <w:szCs w:val="10"/>
                <w:highlight w:val="white"/>
              </w:rPr>
              <w:t xml:space="preserve">Seizure</w:t>
            </w:r>
            <w:r>
              <w:rPr>
                <w:b/>
                <w:color w:val="4472C4"/>
                <w:sz w:val="10"/>
                <w:szCs w:val="10"/>
                <w:highlight w:val="white"/>
              </w:rPr>
              <w:t xml:space="preserve"> (N=94)</w:t>
            </w:r>
            <w:r/>
          </w:p>
        </w:tc>
      </w:tr>
      <w:tr>
        <w:trPr>
          <w:trHeight w:val="460"/>
        </w:trPr>
        <w:tc>
          <w:tcPr>
            <w:shd w:val="clear" w:fill="auto" w:color="auto"/>
            <w:tcBorders>
              <w:left w:val="none" w:color="000000" w:sz="4" w:space="0"/>
              <w:top w:val="none" w:color="000000" w:sz="4" w:space="0"/>
              <w:right w:val="single" w:color="000000" w:sz="8" w:space="0"/>
              <w:bottom w:val="none" w:color="000000" w:sz="4" w:space="0"/>
            </w:tcBorders>
            <w:tcMar>
              <w:left w:w="40" w:type="dxa"/>
              <w:top w:w="20" w:type="dxa"/>
              <w:right w:w="40" w:type="dxa"/>
              <w:bottom w:w="100" w:type="dxa"/>
            </w:tcMar>
            <w:tcW w:w="1381" w:type="dxa"/>
            <w:vAlign w:val="center"/>
            <w:textDirection w:val="lrTb"/>
            <w:noWrap w:val="false"/>
          </w:tcPr>
          <w:p>
            <w:pPr>
              <w:jc w:val="center"/>
              <w:spacing w:lineRule="auto" w:line="240"/>
              <w:rPr>
                <w:b/>
                <w:sz w:val="10"/>
                <w:szCs w:val="10"/>
                <w:highlight w:val="white"/>
              </w:rPr>
            </w:pPr>
            <w:r>
              <w:rPr>
                <w:b/>
                <w:sz w:val="10"/>
                <w:szCs w:val="10"/>
                <w:highlight w:val="white"/>
              </w:rPr>
              <w:t xml:space="preserve">neurological</w:t>
            </w:r>
            <w:r>
              <w:rPr>
                <w:b/>
                <w:sz w:val="10"/>
                <w:szCs w:val="10"/>
                <w:highlight w:val="white"/>
              </w:rPr>
              <w:t xml:space="preserve"> </w:t>
            </w:r>
            <w:r>
              <w:rPr>
                <w:b/>
                <w:sz w:val="10"/>
                <w:szCs w:val="10"/>
                <w:highlight w:val="white"/>
              </w:rPr>
              <w:t xml:space="preserve">neuromuscular</w:t>
            </w:r>
            <w:r>
              <w:rPr>
                <w:b/>
                <w:sz w:val="10"/>
                <w:szCs w:val="10"/>
                <w:highlight w:val="white"/>
              </w:rPr>
              <w:t xml:space="preserve"> (N=282)</w:t>
            </w:r>
            <w:r/>
          </w:p>
        </w:tc>
        <w:tc>
          <w:tcPr>
            <w:shd w:val="clear" w:fill="auto" w:color="auto"/>
            <w:tcBorders>
              <w:left w:val="single" w:color="000000" w:sz="8" w:space="0"/>
              <w:top w:val="none" w:color="000000" w:sz="4" w:space="0"/>
              <w:right w:val="none" w:color="000000" w:sz="4" w:space="0"/>
              <w:bottom w:val="none" w:color="000000" w:sz="4" w:space="0"/>
            </w:tcBorders>
            <w:tcMar>
              <w:left w:w="40" w:type="dxa"/>
              <w:top w:w="20" w:type="dxa"/>
              <w:right w:w="40" w:type="dxa"/>
              <w:bottom w:w="100" w:type="dxa"/>
            </w:tcMar>
            <w:tcW w:w="1197" w:type="dxa"/>
            <w:vAlign w:val="center"/>
            <w:textDirection w:val="lrTb"/>
            <w:noWrap w:val="false"/>
          </w:tcPr>
          <w:p>
            <w:pPr>
              <w:jc w:val="center"/>
              <w:spacing w:lineRule="auto" w:line="240"/>
              <w:rPr>
                <w:b/>
                <w:color w:val="4472C4"/>
                <w:sz w:val="10"/>
                <w:szCs w:val="10"/>
                <w:highlight w:val="white"/>
              </w:rPr>
            </w:pPr>
            <w:r>
              <w:rPr>
                <w:b/>
                <w:color w:val="4472C4"/>
                <w:sz w:val="10"/>
                <w:szCs w:val="10"/>
                <w:highlight w:val="white"/>
              </w:rPr>
              <w:t xml:space="preserve">Seizure</w:t>
            </w:r>
            <w:r>
              <w:rPr>
                <w:b/>
                <w:color w:val="4472C4"/>
                <w:sz w:val="10"/>
                <w:szCs w:val="10"/>
                <w:highlight w:val="white"/>
              </w:rPr>
              <w:t xml:space="preserve"> (N=60)</w:t>
            </w:r>
            <w:r/>
          </w:p>
        </w:tc>
        <w:tc>
          <w:tcPr>
            <w:shd w:val="clear" w:fill="auto" w:color="auto"/>
            <w:tcBorders>
              <w:left w:val="none" w:color="000000" w:sz="4" w:space="0"/>
              <w:top w:val="none" w:color="000000" w:sz="4" w:space="0"/>
              <w:right w:val="none" w:color="000000" w:sz="4" w:space="0"/>
              <w:bottom w:val="none" w:color="000000" w:sz="4" w:space="0"/>
            </w:tcBorders>
            <w:tcMar>
              <w:left w:w="40" w:type="dxa"/>
              <w:top w:w="20" w:type="dxa"/>
              <w:right w:w="40" w:type="dxa"/>
              <w:bottom w:w="100" w:type="dxa"/>
            </w:tcMar>
            <w:tcW w:w="999" w:type="dxa"/>
            <w:vAlign w:val="center"/>
            <w:textDirection w:val="lrTb"/>
            <w:noWrap w:val="false"/>
          </w:tcPr>
          <w:p>
            <w:pPr>
              <w:jc w:val="center"/>
              <w:spacing w:lineRule="auto" w:line="240"/>
              <w:rPr>
                <w:sz w:val="10"/>
                <w:szCs w:val="10"/>
                <w:highlight w:val="white"/>
              </w:rPr>
            </w:pPr>
            <w:r>
              <w:rPr>
                <w:sz w:val="10"/>
                <w:szCs w:val="10"/>
                <w:highlight w:val="white"/>
              </w:rPr>
              <w:t xml:space="preserve">Dystonia</w:t>
            </w:r>
            <w:r>
              <w:rPr>
                <w:sz w:val="10"/>
                <w:szCs w:val="10"/>
                <w:highlight w:val="white"/>
              </w:rPr>
              <w:t xml:space="preserve"> (N=33)</w:t>
            </w:r>
            <w:r/>
          </w:p>
        </w:tc>
        <w:tc>
          <w:tcPr>
            <w:shd w:val="clear" w:fill="auto" w:color="auto"/>
            <w:tcBorders>
              <w:left w:val="none" w:color="000000" w:sz="4" w:space="0"/>
              <w:top w:val="none" w:color="000000" w:sz="4" w:space="0"/>
              <w:right w:val="none" w:color="000000" w:sz="4" w:space="0"/>
              <w:bottom w:val="none" w:color="000000" w:sz="4" w:space="0"/>
            </w:tcBorders>
            <w:tcMar>
              <w:left w:w="40" w:type="dxa"/>
              <w:top w:w="20" w:type="dxa"/>
              <w:right w:w="40" w:type="dxa"/>
              <w:bottom w:w="100" w:type="dxa"/>
            </w:tcMar>
            <w:tcW w:w="1236" w:type="dxa"/>
            <w:vAlign w:val="center"/>
            <w:textDirection w:val="lrTb"/>
            <w:noWrap w:val="false"/>
          </w:tcPr>
          <w:p>
            <w:pPr>
              <w:jc w:val="center"/>
              <w:spacing w:lineRule="auto" w:line="240"/>
              <w:rPr>
                <w:b/>
                <w:sz w:val="10"/>
                <w:szCs w:val="10"/>
                <w:highlight w:val="white"/>
              </w:rPr>
            </w:pPr>
            <w:r>
              <w:rPr>
                <w:b/>
                <w:sz w:val="10"/>
                <w:szCs w:val="10"/>
                <w:highlight w:val="white"/>
              </w:rPr>
              <w:t xml:space="preserve">Hypotonia</w:t>
            </w:r>
            <w:r>
              <w:rPr>
                <w:b/>
                <w:sz w:val="10"/>
                <w:szCs w:val="10"/>
                <w:highlight w:val="white"/>
              </w:rPr>
              <w:t xml:space="preserve"> (N=29)</w:t>
            </w:r>
            <w:r/>
          </w:p>
        </w:tc>
        <w:tc>
          <w:tcPr>
            <w:shd w:val="clear" w:fill="auto" w:color="auto"/>
            <w:tcBorders>
              <w:left w:val="none" w:color="000000" w:sz="4" w:space="0"/>
              <w:top w:val="none" w:color="000000" w:sz="4" w:space="0"/>
              <w:right w:val="none" w:color="000000" w:sz="4" w:space="0"/>
              <w:bottom w:val="none" w:color="000000" w:sz="4" w:space="0"/>
            </w:tcBorders>
            <w:tcMar>
              <w:left w:w="40" w:type="dxa"/>
              <w:top w:w="20" w:type="dxa"/>
              <w:right w:w="40" w:type="dxa"/>
              <w:bottom w:w="100" w:type="dxa"/>
            </w:tcMar>
            <w:tcW w:w="999" w:type="dxa"/>
            <w:vAlign w:val="center"/>
            <w:textDirection w:val="lrTb"/>
            <w:noWrap w:val="false"/>
          </w:tcPr>
          <w:p>
            <w:pPr>
              <w:jc w:val="center"/>
              <w:spacing w:lineRule="auto" w:line="240"/>
              <w:rPr>
                <w:b/>
                <w:color w:val="FF0000"/>
                <w:sz w:val="10"/>
                <w:szCs w:val="10"/>
                <w:highlight w:val="white"/>
              </w:rPr>
            </w:pPr>
            <w:r>
              <w:rPr>
                <w:b/>
                <w:color w:val="FF0000"/>
                <w:sz w:val="10"/>
                <w:szCs w:val="10"/>
                <w:highlight w:val="white"/>
              </w:rPr>
              <w:t xml:space="preserve">Global </w:t>
            </w:r>
            <w:r>
              <w:rPr>
                <w:b/>
                <w:color w:val="FF0000"/>
                <w:sz w:val="10"/>
                <w:szCs w:val="10"/>
                <w:highlight w:val="white"/>
              </w:rPr>
              <w:t xml:space="preserve">developmental</w:t>
            </w:r>
            <w:r>
              <w:rPr>
                <w:b/>
                <w:color w:val="FF0000"/>
                <w:sz w:val="10"/>
                <w:szCs w:val="10"/>
                <w:highlight w:val="white"/>
              </w:rPr>
              <w:t xml:space="preserve"> </w:t>
            </w:r>
            <w:r>
              <w:rPr>
                <w:b/>
                <w:color w:val="FF0000"/>
                <w:sz w:val="10"/>
                <w:szCs w:val="10"/>
                <w:highlight w:val="white"/>
              </w:rPr>
              <w:t xml:space="preserve">delay</w:t>
            </w:r>
            <w:r>
              <w:rPr>
                <w:b/>
                <w:color w:val="FF0000"/>
                <w:sz w:val="10"/>
                <w:szCs w:val="10"/>
                <w:highlight w:val="white"/>
              </w:rPr>
              <w:t xml:space="preserve"> (N=28)</w:t>
            </w:r>
            <w:r/>
          </w:p>
        </w:tc>
        <w:tc>
          <w:tcPr>
            <w:shd w:val="clear" w:fill="auto" w:color="auto"/>
            <w:tcBorders>
              <w:left w:val="none" w:color="000000" w:sz="4" w:space="0"/>
              <w:top w:val="none" w:color="000000" w:sz="4" w:space="0"/>
              <w:right w:val="none" w:color="000000" w:sz="4" w:space="0"/>
              <w:bottom w:val="none" w:color="000000" w:sz="4" w:space="0"/>
            </w:tcBorders>
            <w:tcMar>
              <w:left w:w="40" w:type="dxa"/>
              <w:top w:w="20" w:type="dxa"/>
              <w:right w:w="40" w:type="dxa"/>
              <w:bottom w:w="100" w:type="dxa"/>
            </w:tcMar>
            <w:tcW w:w="973" w:type="dxa"/>
            <w:vAlign w:val="center"/>
            <w:textDirection w:val="lrTb"/>
            <w:noWrap w:val="false"/>
          </w:tcPr>
          <w:p>
            <w:pPr>
              <w:jc w:val="center"/>
              <w:spacing w:lineRule="auto" w:line="240"/>
              <w:rPr>
                <w:sz w:val="10"/>
                <w:szCs w:val="10"/>
                <w:highlight w:val="white"/>
              </w:rPr>
            </w:pPr>
            <w:r>
              <w:rPr>
                <w:sz w:val="10"/>
                <w:szCs w:val="10"/>
                <w:highlight w:val="white"/>
              </w:rPr>
              <w:t xml:space="preserve">Ataxia</w:t>
            </w:r>
            <w:r>
              <w:rPr>
                <w:sz w:val="10"/>
                <w:szCs w:val="10"/>
                <w:highlight w:val="white"/>
              </w:rPr>
              <w:t xml:space="preserve"> (N=24)</w:t>
            </w:r>
            <w:r/>
          </w:p>
        </w:tc>
        <w:tc>
          <w:tcPr>
            <w:shd w:val="clear" w:fill="auto" w:color="auto"/>
            <w:tcBorders>
              <w:left w:val="none" w:color="000000" w:sz="4" w:space="0"/>
              <w:top w:val="none" w:color="000000" w:sz="4" w:space="0"/>
              <w:right w:val="none" w:color="000000" w:sz="4" w:space="0"/>
              <w:bottom w:val="none" w:color="000000" w:sz="4" w:space="0"/>
            </w:tcBorders>
            <w:tcMar>
              <w:left w:w="40" w:type="dxa"/>
              <w:top w:w="20" w:type="dxa"/>
              <w:right w:w="40" w:type="dxa"/>
              <w:bottom w:w="100" w:type="dxa"/>
            </w:tcMar>
            <w:tcW w:w="947" w:type="dxa"/>
            <w:vAlign w:val="center"/>
            <w:textDirection w:val="lrTb"/>
            <w:noWrap w:val="false"/>
          </w:tcPr>
          <w:p>
            <w:pPr>
              <w:jc w:val="center"/>
              <w:spacing w:lineRule="auto" w:line="240"/>
              <w:rPr>
                <w:sz w:val="10"/>
                <w:szCs w:val="10"/>
                <w:highlight w:val="white"/>
              </w:rPr>
            </w:pPr>
            <w:r>
              <w:rPr>
                <w:sz w:val="10"/>
                <w:szCs w:val="10"/>
                <w:highlight w:val="white"/>
              </w:rPr>
              <w:t xml:space="preserve">Myopathy</w:t>
            </w:r>
            <w:r>
              <w:rPr>
                <w:sz w:val="10"/>
                <w:szCs w:val="10"/>
                <w:highlight w:val="white"/>
              </w:rPr>
              <w:t xml:space="preserve"> (N=22)</w:t>
            </w:r>
            <w:r/>
          </w:p>
        </w:tc>
        <w:tc>
          <w:tcPr>
            <w:shd w:val="clear" w:fill="auto" w:color="auto"/>
            <w:tcBorders>
              <w:left w:val="none" w:color="000000" w:sz="4" w:space="0"/>
              <w:top w:val="none" w:color="000000" w:sz="4" w:space="0"/>
              <w:right w:val="none" w:color="000000" w:sz="4" w:space="0"/>
              <w:bottom w:val="none" w:color="000000" w:sz="4" w:space="0"/>
            </w:tcBorders>
            <w:tcMar>
              <w:left w:w="40" w:type="dxa"/>
              <w:top w:w="20" w:type="dxa"/>
              <w:right w:w="40" w:type="dxa"/>
              <w:bottom w:w="100" w:type="dxa"/>
            </w:tcMar>
            <w:tcW w:w="1289" w:type="dxa"/>
            <w:vAlign w:val="center"/>
            <w:textDirection w:val="lrTb"/>
            <w:noWrap w:val="false"/>
          </w:tcPr>
          <w:p>
            <w:pPr>
              <w:jc w:val="center"/>
              <w:spacing w:lineRule="auto" w:line="240"/>
              <w:rPr>
                <w:sz w:val="10"/>
                <w:szCs w:val="10"/>
                <w:highlight w:val="white"/>
              </w:rPr>
            </w:pPr>
            <w:r>
              <w:rPr>
                <w:sz w:val="10"/>
                <w:szCs w:val="10"/>
                <w:highlight w:val="white"/>
              </w:rPr>
              <w:t xml:space="preserve">Focal</w:t>
            </w:r>
            <w:r>
              <w:rPr>
                <w:sz w:val="10"/>
                <w:szCs w:val="10"/>
                <w:highlight w:val="white"/>
              </w:rPr>
              <w:t xml:space="preserve"> </w:t>
            </w:r>
            <w:r>
              <w:rPr>
                <w:sz w:val="10"/>
                <w:szCs w:val="10"/>
                <w:highlight w:val="white"/>
              </w:rPr>
              <w:t xml:space="preserve">dystonia</w:t>
            </w:r>
            <w:r>
              <w:rPr>
                <w:sz w:val="10"/>
                <w:szCs w:val="10"/>
                <w:highlight w:val="white"/>
              </w:rPr>
              <w:t xml:space="preserve"> (N=19)</w:t>
            </w:r>
            <w:r/>
          </w:p>
        </w:tc>
      </w:tr>
      <w:tr>
        <w:trPr>
          <w:trHeight w:val="475"/>
        </w:trPr>
        <w:tc>
          <w:tcPr>
            <w:shd w:val="clear" w:fill="auto" w:color="auto"/>
            <w:tcBorders>
              <w:left w:val="none" w:color="000000" w:sz="4" w:space="0"/>
              <w:top w:val="none" w:color="000000" w:sz="4" w:space="0"/>
              <w:right w:val="single" w:color="000000" w:sz="8" w:space="0"/>
              <w:bottom w:val="none" w:color="000000" w:sz="4" w:space="0"/>
            </w:tcBorders>
            <w:tcMar>
              <w:left w:w="40" w:type="dxa"/>
              <w:top w:w="20" w:type="dxa"/>
              <w:right w:w="40" w:type="dxa"/>
              <w:bottom w:w="100" w:type="dxa"/>
            </w:tcMar>
            <w:tcW w:w="1381" w:type="dxa"/>
            <w:vAlign w:val="center"/>
            <w:textDirection w:val="lrTb"/>
            <w:noWrap w:val="false"/>
          </w:tcPr>
          <w:p>
            <w:pPr>
              <w:jc w:val="center"/>
              <w:spacing w:lineRule="auto" w:line="240"/>
              <w:rPr>
                <w:b/>
                <w:sz w:val="10"/>
                <w:szCs w:val="10"/>
                <w:highlight w:val="white"/>
                <w:lang w:val="en-US"/>
              </w:rPr>
            </w:pPr>
            <w:r>
              <w:rPr>
                <w:b/>
                <w:sz w:val="10"/>
                <w:szCs w:val="10"/>
                <w:highlight w:val="white"/>
                <w:lang w:val="en-US"/>
              </w:rPr>
              <w:t xml:space="preserve">ear, eye, skeleton, kidney, genitals, liver, skin, lung, intestines (N=181)</w:t>
            </w:r>
            <w:r/>
          </w:p>
        </w:tc>
        <w:tc>
          <w:tcPr>
            <w:shd w:val="clear" w:fill="auto" w:color="auto"/>
            <w:tcBorders>
              <w:left w:val="single" w:color="000000" w:sz="8" w:space="0"/>
              <w:top w:val="none" w:color="000000" w:sz="4" w:space="0"/>
              <w:right w:val="none" w:color="000000" w:sz="4" w:space="0"/>
              <w:bottom w:val="none" w:color="000000" w:sz="4" w:space="0"/>
            </w:tcBorders>
            <w:tcMar>
              <w:left w:w="40" w:type="dxa"/>
              <w:top w:w="20" w:type="dxa"/>
              <w:right w:w="40" w:type="dxa"/>
              <w:bottom w:w="100" w:type="dxa"/>
            </w:tcMar>
            <w:tcW w:w="1197" w:type="dxa"/>
            <w:vAlign w:val="center"/>
            <w:textDirection w:val="lrTb"/>
            <w:noWrap w:val="false"/>
          </w:tcPr>
          <w:p>
            <w:pPr>
              <w:jc w:val="center"/>
              <w:spacing w:lineRule="auto" w:line="240"/>
              <w:rPr>
                <w:b/>
                <w:sz w:val="10"/>
                <w:szCs w:val="10"/>
                <w:highlight w:val="white"/>
              </w:rPr>
            </w:pPr>
            <w:r>
              <w:rPr>
                <w:b/>
                <w:sz w:val="10"/>
                <w:szCs w:val="10"/>
                <w:highlight w:val="white"/>
              </w:rPr>
              <w:t xml:space="preserve">Short </w:t>
            </w:r>
            <w:r>
              <w:rPr>
                <w:b/>
                <w:sz w:val="10"/>
                <w:szCs w:val="10"/>
                <w:highlight w:val="white"/>
              </w:rPr>
              <w:t xml:space="preserve">stature</w:t>
            </w:r>
            <w:r>
              <w:rPr>
                <w:b/>
                <w:sz w:val="10"/>
                <w:szCs w:val="10"/>
                <w:highlight w:val="white"/>
              </w:rPr>
              <w:t xml:space="preserve"> (N=28)</w:t>
            </w:r>
            <w:r/>
          </w:p>
        </w:tc>
        <w:tc>
          <w:tcPr>
            <w:shd w:val="clear" w:fill="auto" w:color="auto"/>
            <w:tcBorders>
              <w:left w:val="none" w:color="000000" w:sz="4" w:space="0"/>
              <w:top w:val="none" w:color="000000" w:sz="4" w:space="0"/>
              <w:right w:val="none" w:color="000000" w:sz="4" w:space="0"/>
              <w:bottom w:val="none" w:color="000000" w:sz="4" w:space="0"/>
            </w:tcBorders>
            <w:tcMar>
              <w:left w:w="40" w:type="dxa"/>
              <w:top w:w="20" w:type="dxa"/>
              <w:right w:w="40" w:type="dxa"/>
              <w:bottom w:w="100" w:type="dxa"/>
            </w:tcMar>
            <w:tcW w:w="999" w:type="dxa"/>
            <w:vAlign w:val="center"/>
            <w:textDirection w:val="lrTb"/>
            <w:noWrap w:val="false"/>
          </w:tcPr>
          <w:p>
            <w:pPr>
              <w:jc w:val="center"/>
              <w:spacing w:lineRule="auto" w:line="240"/>
              <w:rPr>
                <w:b/>
                <w:color w:val="FF0000"/>
                <w:sz w:val="10"/>
                <w:szCs w:val="10"/>
                <w:highlight w:val="white"/>
              </w:rPr>
            </w:pPr>
            <w:r>
              <w:rPr>
                <w:b/>
                <w:color w:val="FF0000"/>
                <w:sz w:val="10"/>
                <w:szCs w:val="10"/>
                <w:highlight w:val="white"/>
              </w:rPr>
              <w:t xml:space="preserve">Global </w:t>
            </w:r>
            <w:r>
              <w:rPr>
                <w:b/>
                <w:color w:val="FF0000"/>
                <w:sz w:val="10"/>
                <w:szCs w:val="10"/>
                <w:highlight w:val="white"/>
              </w:rPr>
              <w:t xml:space="preserve">developmental</w:t>
            </w:r>
            <w:r>
              <w:rPr>
                <w:b/>
                <w:color w:val="FF0000"/>
                <w:sz w:val="10"/>
                <w:szCs w:val="10"/>
                <w:highlight w:val="white"/>
              </w:rPr>
              <w:t xml:space="preserve"> </w:t>
            </w:r>
            <w:r>
              <w:rPr>
                <w:b/>
                <w:color w:val="FF0000"/>
                <w:sz w:val="10"/>
                <w:szCs w:val="10"/>
                <w:highlight w:val="white"/>
              </w:rPr>
              <w:t xml:space="preserve">delay</w:t>
            </w:r>
            <w:r>
              <w:rPr>
                <w:b/>
                <w:color w:val="FF0000"/>
                <w:sz w:val="10"/>
                <w:szCs w:val="10"/>
                <w:highlight w:val="white"/>
              </w:rPr>
              <w:t xml:space="preserve"> (N=14)</w:t>
            </w:r>
            <w:r/>
          </w:p>
        </w:tc>
        <w:tc>
          <w:tcPr>
            <w:shd w:val="clear" w:fill="auto" w:color="auto"/>
            <w:tcBorders>
              <w:left w:val="none" w:color="000000" w:sz="4" w:space="0"/>
              <w:top w:val="none" w:color="000000" w:sz="4" w:space="0"/>
              <w:right w:val="none" w:color="000000" w:sz="4" w:space="0"/>
              <w:bottom w:val="none" w:color="000000" w:sz="4" w:space="0"/>
            </w:tcBorders>
            <w:tcMar>
              <w:left w:w="40" w:type="dxa"/>
              <w:top w:w="20" w:type="dxa"/>
              <w:right w:w="40" w:type="dxa"/>
              <w:bottom w:w="100" w:type="dxa"/>
            </w:tcMar>
            <w:tcW w:w="1236" w:type="dxa"/>
            <w:vAlign w:val="center"/>
            <w:textDirection w:val="lrTb"/>
            <w:noWrap w:val="false"/>
          </w:tcPr>
          <w:p>
            <w:pPr>
              <w:jc w:val="center"/>
              <w:spacing w:lineRule="auto" w:line="240"/>
              <w:rPr>
                <w:sz w:val="10"/>
                <w:szCs w:val="10"/>
                <w:highlight w:val="white"/>
              </w:rPr>
            </w:pPr>
            <w:r>
              <w:rPr>
                <w:sz w:val="10"/>
                <w:szCs w:val="10"/>
                <w:highlight w:val="white"/>
              </w:rPr>
              <w:t xml:space="preserve">Disproportionate</w:t>
            </w:r>
            <w:r>
              <w:rPr>
                <w:sz w:val="10"/>
                <w:szCs w:val="10"/>
                <w:highlight w:val="white"/>
              </w:rPr>
              <w:t xml:space="preserve"> </w:t>
            </w:r>
            <w:r>
              <w:rPr>
                <w:sz w:val="10"/>
                <w:szCs w:val="10"/>
                <w:highlight w:val="white"/>
              </w:rPr>
              <w:t xml:space="preserve">short</w:t>
            </w:r>
            <w:r>
              <w:rPr>
                <w:sz w:val="10"/>
                <w:szCs w:val="10"/>
                <w:highlight w:val="white"/>
              </w:rPr>
              <w:t xml:space="preserve"> </w:t>
            </w:r>
            <w:r>
              <w:rPr>
                <w:sz w:val="10"/>
                <w:szCs w:val="10"/>
                <w:highlight w:val="white"/>
              </w:rPr>
              <w:t xml:space="preserve">stature</w:t>
            </w:r>
            <w:r>
              <w:rPr>
                <w:sz w:val="10"/>
                <w:szCs w:val="10"/>
                <w:highlight w:val="white"/>
              </w:rPr>
              <w:t xml:space="preserve"> (N=12)</w:t>
            </w:r>
            <w:r/>
          </w:p>
        </w:tc>
        <w:tc>
          <w:tcPr>
            <w:shd w:val="clear" w:fill="auto" w:color="auto"/>
            <w:tcBorders>
              <w:left w:val="none" w:color="000000" w:sz="4" w:space="0"/>
              <w:top w:val="none" w:color="000000" w:sz="4" w:space="0"/>
              <w:right w:val="none" w:color="000000" w:sz="4" w:space="0"/>
              <w:bottom w:val="none" w:color="000000" w:sz="4" w:space="0"/>
            </w:tcBorders>
            <w:tcMar>
              <w:left w:w="40" w:type="dxa"/>
              <w:top w:w="20" w:type="dxa"/>
              <w:right w:w="40" w:type="dxa"/>
              <w:bottom w:w="100" w:type="dxa"/>
            </w:tcMar>
            <w:tcW w:w="999" w:type="dxa"/>
            <w:vAlign w:val="center"/>
            <w:textDirection w:val="lrTb"/>
            <w:noWrap w:val="false"/>
          </w:tcPr>
          <w:p>
            <w:pPr>
              <w:jc w:val="center"/>
              <w:spacing w:lineRule="auto" w:line="240"/>
              <w:rPr>
                <w:sz w:val="10"/>
                <w:szCs w:val="10"/>
                <w:highlight w:val="white"/>
                <w:lang w:val="en-US"/>
              </w:rPr>
            </w:pPr>
            <w:r>
              <w:rPr>
                <w:sz w:val="10"/>
                <w:szCs w:val="10"/>
                <w:highlight w:val="white"/>
                <w:lang w:val="en-US"/>
              </w:rPr>
              <w:t xml:space="preserve">Decreased response to growth hormone stimulation test (N=12)</w:t>
            </w:r>
            <w:r/>
          </w:p>
        </w:tc>
        <w:tc>
          <w:tcPr>
            <w:shd w:val="clear" w:fill="auto" w:color="auto"/>
            <w:tcBorders>
              <w:left w:val="none" w:color="000000" w:sz="4" w:space="0"/>
              <w:top w:val="none" w:color="000000" w:sz="4" w:space="0"/>
              <w:right w:val="none" w:color="000000" w:sz="4" w:space="0"/>
              <w:bottom w:val="none" w:color="000000" w:sz="4" w:space="0"/>
            </w:tcBorders>
            <w:tcMar>
              <w:left w:w="40" w:type="dxa"/>
              <w:top w:w="20" w:type="dxa"/>
              <w:right w:w="40" w:type="dxa"/>
              <w:bottom w:w="100" w:type="dxa"/>
            </w:tcMar>
            <w:tcW w:w="973" w:type="dxa"/>
            <w:vAlign w:val="center"/>
            <w:textDirection w:val="lrTb"/>
            <w:noWrap w:val="false"/>
          </w:tcPr>
          <w:p>
            <w:pPr>
              <w:jc w:val="center"/>
              <w:spacing w:lineRule="auto" w:line="240"/>
              <w:rPr>
                <w:sz w:val="10"/>
                <w:szCs w:val="10"/>
                <w:highlight w:val="white"/>
              </w:rPr>
            </w:pPr>
            <w:r>
              <w:rPr>
                <w:sz w:val="10"/>
                <w:szCs w:val="10"/>
                <w:highlight w:val="white"/>
              </w:rPr>
              <w:t xml:space="preserve">Premature</w:t>
            </w:r>
            <w:r>
              <w:rPr>
                <w:sz w:val="10"/>
                <w:szCs w:val="10"/>
                <w:highlight w:val="white"/>
              </w:rPr>
              <w:t xml:space="preserve"> </w:t>
            </w:r>
            <w:r>
              <w:rPr>
                <w:sz w:val="10"/>
                <w:szCs w:val="10"/>
                <w:highlight w:val="white"/>
              </w:rPr>
              <w:t xml:space="preserve">birth</w:t>
            </w:r>
            <w:r>
              <w:rPr>
                <w:sz w:val="10"/>
                <w:szCs w:val="10"/>
                <w:highlight w:val="white"/>
              </w:rPr>
              <w:t xml:space="preserve"> (N=11)</w:t>
            </w:r>
            <w:r/>
          </w:p>
        </w:tc>
        <w:tc>
          <w:tcPr>
            <w:shd w:val="clear" w:fill="auto" w:color="auto"/>
            <w:tcBorders>
              <w:left w:val="none" w:color="000000" w:sz="4" w:space="0"/>
              <w:top w:val="none" w:color="000000" w:sz="4" w:space="0"/>
              <w:right w:val="none" w:color="000000" w:sz="4" w:space="0"/>
              <w:bottom w:val="none" w:color="000000" w:sz="4" w:space="0"/>
            </w:tcBorders>
            <w:tcMar>
              <w:left w:w="40" w:type="dxa"/>
              <w:top w:w="20" w:type="dxa"/>
              <w:right w:w="40" w:type="dxa"/>
              <w:bottom w:w="100" w:type="dxa"/>
            </w:tcMar>
            <w:tcW w:w="947" w:type="dxa"/>
            <w:vAlign w:val="center"/>
            <w:textDirection w:val="lrTb"/>
            <w:noWrap w:val="false"/>
          </w:tcPr>
          <w:p>
            <w:pPr>
              <w:jc w:val="center"/>
              <w:spacing w:lineRule="auto" w:line="240"/>
              <w:rPr>
                <w:b/>
                <w:sz w:val="10"/>
                <w:szCs w:val="10"/>
                <w:highlight w:val="white"/>
              </w:rPr>
            </w:pPr>
            <w:r>
              <w:rPr>
                <w:b/>
                <w:sz w:val="10"/>
                <w:szCs w:val="10"/>
                <w:highlight w:val="white"/>
              </w:rPr>
              <w:t xml:space="preserve">Microcephaly</w:t>
            </w:r>
            <w:r>
              <w:rPr>
                <w:b/>
                <w:sz w:val="10"/>
                <w:szCs w:val="10"/>
                <w:highlight w:val="white"/>
              </w:rPr>
              <w:t xml:space="preserve"> (N=11)</w:t>
            </w:r>
            <w:r/>
          </w:p>
        </w:tc>
        <w:tc>
          <w:tcPr>
            <w:shd w:val="clear" w:fill="auto" w:color="auto"/>
            <w:tcBorders>
              <w:left w:val="none" w:color="000000" w:sz="4" w:space="0"/>
              <w:top w:val="none" w:color="000000" w:sz="4" w:space="0"/>
              <w:right w:val="none" w:color="000000" w:sz="4" w:space="0"/>
              <w:bottom w:val="none" w:color="000000" w:sz="4" w:space="0"/>
            </w:tcBorders>
            <w:tcMar>
              <w:left w:w="40" w:type="dxa"/>
              <w:top w:w="20" w:type="dxa"/>
              <w:right w:w="40" w:type="dxa"/>
              <w:bottom w:w="100" w:type="dxa"/>
            </w:tcMar>
            <w:tcW w:w="1289" w:type="dxa"/>
            <w:vAlign w:val="center"/>
            <w:textDirection w:val="lrTb"/>
            <w:noWrap w:val="false"/>
          </w:tcPr>
          <w:p>
            <w:pPr>
              <w:jc w:val="center"/>
              <w:spacing w:lineRule="auto" w:line="240"/>
              <w:rPr>
                <w:sz w:val="10"/>
                <w:szCs w:val="10"/>
                <w:highlight w:val="white"/>
              </w:rPr>
            </w:pPr>
            <w:r>
              <w:rPr>
                <w:sz w:val="10"/>
                <w:szCs w:val="10"/>
                <w:highlight w:val="white"/>
              </w:rPr>
              <w:t xml:space="preserve">Hypotonia</w:t>
            </w:r>
            <w:r>
              <w:rPr>
                <w:sz w:val="10"/>
                <w:szCs w:val="10"/>
                <w:highlight w:val="white"/>
              </w:rPr>
              <w:t xml:space="preserve"> (N=10)</w:t>
            </w:r>
            <w:r/>
          </w:p>
        </w:tc>
      </w:tr>
      <w:tr>
        <w:trPr>
          <w:trHeight w:val="475"/>
        </w:trPr>
        <w:tc>
          <w:tcPr>
            <w:shd w:val="clear" w:fill="auto" w:color="auto"/>
            <w:tcBorders>
              <w:left w:val="none" w:color="000000" w:sz="4" w:space="0"/>
              <w:top w:val="none" w:color="000000" w:sz="4" w:space="0"/>
              <w:right w:val="single" w:color="000000" w:sz="8" w:space="0"/>
              <w:bottom w:val="none" w:color="000000" w:sz="4" w:space="0"/>
            </w:tcBorders>
            <w:tcMar>
              <w:left w:w="40" w:type="dxa"/>
              <w:top w:w="20" w:type="dxa"/>
              <w:right w:w="40" w:type="dxa"/>
              <w:bottom w:w="100" w:type="dxa"/>
            </w:tcMar>
            <w:tcW w:w="1381" w:type="dxa"/>
            <w:vAlign w:val="center"/>
            <w:textDirection w:val="lrTb"/>
            <w:noWrap w:val="false"/>
          </w:tcPr>
          <w:p>
            <w:pPr>
              <w:jc w:val="center"/>
              <w:spacing w:lineRule="auto" w:line="240"/>
              <w:rPr>
                <w:b/>
                <w:sz w:val="10"/>
                <w:szCs w:val="10"/>
                <w:highlight w:val="white"/>
              </w:rPr>
            </w:pPr>
            <w:r>
              <w:rPr>
                <w:b/>
                <w:sz w:val="10"/>
                <w:szCs w:val="10"/>
                <w:highlight w:val="white"/>
              </w:rPr>
              <w:t xml:space="preserve">endocrine</w:t>
            </w:r>
            <w:r>
              <w:rPr>
                <w:b/>
                <w:sz w:val="10"/>
                <w:szCs w:val="10"/>
                <w:highlight w:val="white"/>
              </w:rPr>
              <w:t xml:space="preserve">, </w:t>
            </w:r>
            <w:r>
              <w:rPr>
                <w:b/>
                <w:sz w:val="10"/>
                <w:szCs w:val="10"/>
                <w:highlight w:val="white"/>
              </w:rPr>
              <w:t xml:space="preserve">metabolic</w:t>
            </w:r>
            <w:r>
              <w:rPr>
                <w:b/>
                <w:sz w:val="10"/>
                <w:szCs w:val="10"/>
                <w:highlight w:val="white"/>
              </w:rPr>
              <w:t xml:space="preserve">, </w:t>
            </w:r>
            <w:r>
              <w:rPr>
                <w:b/>
                <w:sz w:val="10"/>
                <w:szCs w:val="10"/>
                <w:highlight w:val="white"/>
              </w:rPr>
              <w:t xml:space="preserve">mitochondrial</w:t>
            </w:r>
            <w:r>
              <w:rPr>
                <w:b/>
                <w:sz w:val="10"/>
                <w:szCs w:val="10"/>
                <w:highlight w:val="white"/>
              </w:rPr>
              <w:t xml:space="preserve"> nutritional (N=74)</w:t>
            </w:r>
            <w:r/>
          </w:p>
        </w:tc>
        <w:tc>
          <w:tcPr>
            <w:shd w:val="clear" w:fill="auto" w:color="auto"/>
            <w:tcBorders>
              <w:left w:val="single" w:color="000000" w:sz="8" w:space="0"/>
              <w:top w:val="none" w:color="000000" w:sz="4" w:space="0"/>
              <w:right w:val="none" w:color="000000" w:sz="4" w:space="0"/>
              <w:bottom w:val="none" w:color="000000" w:sz="4" w:space="0"/>
            </w:tcBorders>
            <w:tcMar>
              <w:left w:w="40" w:type="dxa"/>
              <w:top w:w="20" w:type="dxa"/>
              <w:right w:w="40" w:type="dxa"/>
              <w:bottom w:w="100" w:type="dxa"/>
            </w:tcMar>
            <w:tcW w:w="1197" w:type="dxa"/>
            <w:vAlign w:val="center"/>
            <w:textDirection w:val="lrTb"/>
            <w:noWrap w:val="false"/>
          </w:tcPr>
          <w:p>
            <w:pPr>
              <w:jc w:val="center"/>
              <w:spacing w:lineRule="auto" w:line="240"/>
              <w:rPr>
                <w:sz w:val="10"/>
                <w:szCs w:val="10"/>
                <w:highlight w:val="white"/>
                <w:lang w:val="en-US"/>
              </w:rPr>
            </w:pPr>
            <w:r>
              <w:rPr>
                <w:sz w:val="10"/>
                <w:szCs w:val="10"/>
                <w:highlight w:val="white"/>
                <w:lang w:val="en-US"/>
              </w:rPr>
              <w:t xml:space="preserve">Decreased response to growth hormone stimulation test (N=9)</w:t>
            </w:r>
            <w:r/>
          </w:p>
        </w:tc>
        <w:tc>
          <w:tcPr>
            <w:shd w:val="clear" w:fill="auto" w:color="auto"/>
            <w:tcBorders>
              <w:left w:val="none" w:color="000000" w:sz="4" w:space="0"/>
              <w:top w:val="none" w:color="000000" w:sz="4" w:space="0"/>
              <w:right w:val="none" w:color="000000" w:sz="4" w:space="0"/>
              <w:bottom w:val="none" w:color="000000" w:sz="4" w:space="0"/>
            </w:tcBorders>
            <w:tcMar>
              <w:left w:w="40" w:type="dxa"/>
              <w:top w:w="20" w:type="dxa"/>
              <w:right w:w="40" w:type="dxa"/>
              <w:bottom w:w="100" w:type="dxa"/>
            </w:tcMar>
            <w:tcW w:w="999" w:type="dxa"/>
            <w:vAlign w:val="center"/>
            <w:textDirection w:val="lrTb"/>
            <w:noWrap w:val="false"/>
          </w:tcPr>
          <w:p>
            <w:pPr>
              <w:jc w:val="center"/>
              <w:spacing w:lineRule="auto" w:line="240"/>
              <w:rPr>
                <w:b/>
                <w:color w:val="4472C4"/>
                <w:sz w:val="10"/>
                <w:szCs w:val="10"/>
                <w:highlight w:val="white"/>
              </w:rPr>
            </w:pPr>
            <w:r>
              <w:rPr>
                <w:b/>
                <w:color w:val="4472C4"/>
                <w:sz w:val="10"/>
                <w:szCs w:val="10"/>
                <w:highlight w:val="white"/>
              </w:rPr>
              <w:t xml:space="preserve">Seizure</w:t>
            </w:r>
            <w:r>
              <w:rPr>
                <w:b/>
                <w:color w:val="4472C4"/>
                <w:sz w:val="10"/>
                <w:szCs w:val="10"/>
                <w:highlight w:val="white"/>
              </w:rPr>
              <w:t xml:space="preserve"> (N=6)</w:t>
            </w:r>
            <w:r/>
          </w:p>
        </w:tc>
        <w:tc>
          <w:tcPr>
            <w:shd w:val="clear" w:fill="auto" w:color="auto"/>
            <w:tcBorders>
              <w:left w:val="none" w:color="000000" w:sz="4" w:space="0"/>
              <w:top w:val="none" w:color="000000" w:sz="4" w:space="0"/>
              <w:right w:val="none" w:color="000000" w:sz="4" w:space="0"/>
              <w:bottom w:val="none" w:color="000000" w:sz="4" w:space="0"/>
            </w:tcBorders>
            <w:tcMar>
              <w:left w:w="40" w:type="dxa"/>
              <w:top w:w="20" w:type="dxa"/>
              <w:right w:w="40" w:type="dxa"/>
              <w:bottom w:w="100" w:type="dxa"/>
            </w:tcMar>
            <w:tcW w:w="1236" w:type="dxa"/>
            <w:vAlign w:val="center"/>
            <w:textDirection w:val="lrTb"/>
            <w:noWrap w:val="false"/>
          </w:tcPr>
          <w:p>
            <w:pPr>
              <w:jc w:val="center"/>
              <w:spacing w:lineRule="auto" w:line="240"/>
              <w:rPr>
                <w:sz w:val="10"/>
                <w:szCs w:val="10"/>
                <w:highlight w:val="white"/>
              </w:rPr>
            </w:pPr>
            <w:r>
              <w:rPr>
                <w:sz w:val="10"/>
                <w:szCs w:val="10"/>
                <w:highlight w:val="white"/>
              </w:rPr>
              <w:t xml:space="preserve">Panhypopituitarism</w:t>
            </w:r>
            <w:r>
              <w:rPr>
                <w:sz w:val="10"/>
                <w:szCs w:val="10"/>
                <w:highlight w:val="white"/>
              </w:rPr>
              <w:t xml:space="preserve"> (N=6)</w:t>
            </w:r>
            <w:r/>
          </w:p>
        </w:tc>
        <w:tc>
          <w:tcPr>
            <w:shd w:val="clear" w:fill="auto" w:color="auto"/>
            <w:tcBorders>
              <w:left w:val="none" w:color="000000" w:sz="4" w:space="0"/>
              <w:top w:val="none" w:color="000000" w:sz="4" w:space="0"/>
              <w:right w:val="none" w:color="000000" w:sz="4" w:space="0"/>
              <w:bottom w:val="none" w:color="000000" w:sz="4" w:space="0"/>
            </w:tcBorders>
            <w:tcMar>
              <w:left w:w="40" w:type="dxa"/>
              <w:top w:w="20" w:type="dxa"/>
              <w:right w:w="40" w:type="dxa"/>
              <w:bottom w:w="100" w:type="dxa"/>
            </w:tcMar>
            <w:tcW w:w="999" w:type="dxa"/>
            <w:vAlign w:val="center"/>
            <w:textDirection w:val="lrTb"/>
            <w:noWrap w:val="false"/>
          </w:tcPr>
          <w:p>
            <w:pPr>
              <w:jc w:val="center"/>
              <w:spacing w:lineRule="auto" w:line="240"/>
              <w:rPr>
                <w:sz w:val="10"/>
                <w:szCs w:val="10"/>
                <w:highlight w:val="white"/>
              </w:rPr>
            </w:pPr>
            <w:r>
              <w:rPr>
                <w:sz w:val="10"/>
                <w:szCs w:val="10"/>
                <w:highlight w:val="white"/>
              </w:rPr>
              <w:t xml:space="preserve">Short </w:t>
            </w:r>
            <w:r>
              <w:rPr>
                <w:sz w:val="10"/>
                <w:szCs w:val="10"/>
                <w:highlight w:val="white"/>
              </w:rPr>
              <w:t xml:space="preserve">stature</w:t>
            </w:r>
            <w:r>
              <w:rPr>
                <w:sz w:val="10"/>
                <w:szCs w:val="10"/>
                <w:highlight w:val="white"/>
              </w:rPr>
              <w:t xml:space="preserve"> (N=6)</w:t>
            </w:r>
            <w:r/>
          </w:p>
        </w:tc>
        <w:tc>
          <w:tcPr>
            <w:shd w:val="clear" w:fill="auto" w:color="auto"/>
            <w:tcBorders>
              <w:left w:val="none" w:color="000000" w:sz="4" w:space="0"/>
              <w:top w:val="none" w:color="000000" w:sz="4" w:space="0"/>
              <w:right w:val="none" w:color="000000" w:sz="4" w:space="0"/>
              <w:bottom w:val="none" w:color="000000" w:sz="4" w:space="0"/>
            </w:tcBorders>
            <w:tcMar>
              <w:left w:w="40" w:type="dxa"/>
              <w:top w:w="20" w:type="dxa"/>
              <w:right w:w="40" w:type="dxa"/>
              <w:bottom w:w="100" w:type="dxa"/>
            </w:tcMar>
            <w:tcW w:w="973" w:type="dxa"/>
            <w:vAlign w:val="center"/>
            <w:textDirection w:val="lrTb"/>
            <w:noWrap w:val="false"/>
          </w:tcPr>
          <w:p>
            <w:pPr>
              <w:jc w:val="center"/>
              <w:spacing w:lineRule="auto" w:line="240"/>
              <w:rPr>
                <w:sz w:val="10"/>
                <w:szCs w:val="10"/>
                <w:highlight w:val="white"/>
              </w:rPr>
            </w:pPr>
            <w:r>
              <w:rPr>
                <w:sz w:val="10"/>
                <w:szCs w:val="10"/>
                <w:highlight w:val="white"/>
              </w:rPr>
              <w:t xml:space="preserve">Hypoglycemia</w:t>
            </w:r>
            <w:r>
              <w:rPr>
                <w:sz w:val="10"/>
                <w:szCs w:val="10"/>
                <w:highlight w:val="white"/>
              </w:rPr>
              <w:t xml:space="preserve"> (N=5)</w:t>
            </w:r>
            <w:r/>
          </w:p>
        </w:tc>
        <w:tc>
          <w:tcPr>
            <w:shd w:val="clear" w:fill="auto" w:color="auto"/>
            <w:tcBorders>
              <w:left w:val="none" w:color="000000" w:sz="4" w:space="0"/>
              <w:top w:val="none" w:color="000000" w:sz="4" w:space="0"/>
              <w:right w:val="none" w:color="000000" w:sz="4" w:space="0"/>
              <w:bottom w:val="none" w:color="000000" w:sz="4" w:space="0"/>
            </w:tcBorders>
            <w:tcMar>
              <w:left w:w="40" w:type="dxa"/>
              <w:top w:w="20" w:type="dxa"/>
              <w:right w:w="40" w:type="dxa"/>
              <w:bottom w:w="100" w:type="dxa"/>
            </w:tcMar>
            <w:tcW w:w="947" w:type="dxa"/>
            <w:vAlign w:val="center"/>
            <w:textDirection w:val="lrTb"/>
            <w:noWrap w:val="false"/>
          </w:tcPr>
          <w:p>
            <w:pPr>
              <w:jc w:val="center"/>
              <w:spacing w:lineRule="auto" w:line="240"/>
              <w:rPr>
                <w:sz w:val="10"/>
                <w:szCs w:val="10"/>
                <w:highlight w:val="white"/>
              </w:rPr>
            </w:pPr>
            <w:r>
              <w:rPr>
                <w:sz w:val="10"/>
                <w:szCs w:val="10"/>
                <w:highlight w:val="white"/>
              </w:rPr>
              <w:t xml:space="preserve">Ectopic</w:t>
            </w:r>
            <w:r>
              <w:rPr>
                <w:sz w:val="10"/>
                <w:szCs w:val="10"/>
                <w:highlight w:val="white"/>
              </w:rPr>
              <w:t xml:space="preserve"> </w:t>
            </w:r>
            <w:r>
              <w:rPr>
                <w:sz w:val="10"/>
                <w:szCs w:val="10"/>
                <w:highlight w:val="white"/>
              </w:rPr>
              <w:t xml:space="preserve">posterior</w:t>
            </w:r>
            <w:r>
              <w:rPr>
                <w:sz w:val="10"/>
                <w:szCs w:val="10"/>
                <w:highlight w:val="white"/>
              </w:rPr>
              <w:t xml:space="preserve"> </w:t>
            </w:r>
            <w:r>
              <w:rPr>
                <w:sz w:val="10"/>
                <w:szCs w:val="10"/>
                <w:highlight w:val="white"/>
              </w:rPr>
              <w:t xml:space="preserve">pituitary</w:t>
            </w:r>
            <w:r>
              <w:rPr>
                <w:sz w:val="10"/>
                <w:szCs w:val="10"/>
                <w:highlight w:val="white"/>
              </w:rPr>
              <w:t xml:space="preserve"> (N=5)</w:t>
            </w:r>
            <w:r/>
          </w:p>
        </w:tc>
        <w:tc>
          <w:tcPr>
            <w:shd w:val="clear" w:fill="auto" w:color="auto"/>
            <w:tcBorders>
              <w:left w:val="none" w:color="000000" w:sz="4" w:space="0"/>
              <w:top w:val="none" w:color="000000" w:sz="4" w:space="0"/>
              <w:right w:val="none" w:color="000000" w:sz="4" w:space="0"/>
              <w:bottom w:val="none" w:color="000000" w:sz="4" w:space="0"/>
            </w:tcBorders>
            <w:tcMar>
              <w:left w:w="40" w:type="dxa"/>
              <w:top w:w="20" w:type="dxa"/>
              <w:right w:w="40" w:type="dxa"/>
              <w:bottom w:w="100" w:type="dxa"/>
            </w:tcMar>
            <w:tcW w:w="1289" w:type="dxa"/>
            <w:vAlign w:val="center"/>
            <w:textDirection w:val="lrTb"/>
            <w:noWrap w:val="false"/>
          </w:tcPr>
          <w:p>
            <w:pPr>
              <w:jc w:val="center"/>
              <w:spacing w:lineRule="auto" w:line="240"/>
              <w:rPr>
                <w:sz w:val="10"/>
                <w:szCs w:val="10"/>
                <w:highlight w:val="white"/>
                <w:lang w:val="en-US"/>
              </w:rPr>
            </w:pPr>
            <w:r>
              <w:rPr>
                <w:sz w:val="10"/>
                <w:szCs w:val="10"/>
                <w:highlight w:val="white"/>
                <w:lang w:val="en-US"/>
              </w:rPr>
              <w:t xml:space="preserve">Abnormality of the mitochondrion (N=4)</w:t>
            </w:r>
            <w:r/>
          </w:p>
        </w:tc>
      </w:tr>
      <w:tr>
        <w:trPr>
          <w:trHeight w:val="355"/>
        </w:trPr>
        <w:tc>
          <w:tcPr>
            <w:shd w:val="clear" w:fill="auto" w:color="auto"/>
            <w:tcBorders>
              <w:left w:val="none" w:color="000000" w:sz="4" w:space="0"/>
              <w:top w:val="none" w:color="000000" w:sz="4" w:space="0"/>
              <w:right w:val="single" w:color="000000" w:sz="8" w:space="0"/>
              <w:bottom w:val="none" w:color="000000" w:sz="4" w:space="0"/>
            </w:tcBorders>
            <w:tcMar>
              <w:left w:w="40" w:type="dxa"/>
              <w:top w:w="20" w:type="dxa"/>
              <w:right w:w="40" w:type="dxa"/>
              <w:bottom w:w="100" w:type="dxa"/>
            </w:tcMar>
            <w:tcW w:w="1381" w:type="dxa"/>
            <w:vAlign w:val="center"/>
            <w:textDirection w:val="lrTb"/>
            <w:noWrap w:val="false"/>
          </w:tcPr>
          <w:p>
            <w:pPr>
              <w:jc w:val="center"/>
              <w:spacing w:lineRule="auto" w:line="240"/>
              <w:rPr>
                <w:b/>
                <w:sz w:val="10"/>
                <w:szCs w:val="10"/>
                <w:highlight w:val="white"/>
              </w:rPr>
            </w:pPr>
            <w:r>
              <w:rPr>
                <w:b/>
                <w:sz w:val="10"/>
                <w:szCs w:val="10"/>
                <w:highlight w:val="white"/>
              </w:rPr>
              <w:t xml:space="preserve">haematopoiesis</w:t>
            </w:r>
            <w:r>
              <w:rPr>
                <w:b/>
                <w:sz w:val="10"/>
                <w:szCs w:val="10"/>
                <w:highlight w:val="white"/>
              </w:rPr>
              <w:t xml:space="preserve"> </w:t>
            </w:r>
            <w:r>
              <w:rPr>
                <w:b/>
                <w:sz w:val="10"/>
                <w:szCs w:val="10"/>
                <w:highlight w:val="white"/>
              </w:rPr>
              <w:t xml:space="preserve">and</w:t>
            </w:r>
            <w:r>
              <w:rPr>
                <w:b/>
                <w:sz w:val="10"/>
                <w:szCs w:val="10"/>
                <w:highlight w:val="white"/>
              </w:rPr>
              <w:t xml:space="preserve"> immune </w:t>
            </w:r>
            <w:r>
              <w:rPr>
                <w:b/>
                <w:sz w:val="10"/>
                <w:szCs w:val="10"/>
                <w:highlight w:val="white"/>
              </w:rPr>
              <w:t xml:space="preserve">system</w:t>
            </w:r>
            <w:r>
              <w:rPr>
                <w:b/>
                <w:sz w:val="10"/>
                <w:szCs w:val="10"/>
                <w:highlight w:val="white"/>
              </w:rPr>
              <w:t xml:space="preserve"> (N=65)</w:t>
            </w:r>
            <w:r/>
          </w:p>
        </w:tc>
        <w:tc>
          <w:tcPr>
            <w:shd w:val="clear" w:fill="auto" w:color="auto"/>
            <w:tcBorders>
              <w:left w:val="single" w:color="000000" w:sz="8" w:space="0"/>
              <w:top w:val="none" w:color="000000" w:sz="4" w:space="0"/>
              <w:right w:val="none" w:color="000000" w:sz="4" w:space="0"/>
              <w:bottom w:val="none" w:color="000000" w:sz="4" w:space="0"/>
            </w:tcBorders>
            <w:tcMar>
              <w:left w:w="40" w:type="dxa"/>
              <w:top w:w="20" w:type="dxa"/>
              <w:right w:w="40" w:type="dxa"/>
              <w:bottom w:w="100" w:type="dxa"/>
            </w:tcMar>
            <w:tcW w:w="1197" w:type="dxa"/>
            <w:vAlign w:val="center"/>
            <w:textDirection w:val="lrTb"/>
            <w:noWrap w:val="false"/>
          </w:tcPr>
          <w:p>
            <w:pPr>
              <w:jc w:val="center"/>
              <w:spacing w:lineRule="auto" w:line="240"/>
              <w:rPr>
                <w:sz w:val="10"/>
                <w:szCs w:val="10"/>
                <w:highlight w:val="white"/>
              </w:rPr>
            </w:pPr>
            <w:r>
              <w:rPr>
                <w:sz w:val="10"/>
                <w:szCs w:val="10"/>
                <w:highlight w:val="white"/>
              </w:rPr>
              <w:t xml:space="preserve">Immunodeficiency</w:t>
            </w:r>
            <w:r>
              <w:rPr>
                <w:sz w:val="10"/>
                <w:szCs w:val="10"/>
                <w:highlight w:val="white"/>
              </w:rPr>
              <w:t xml:space="preserve"> (N=18)</w:t>
            </w:r>
            <w:r/>
          </w:p>
        </w:tc>
        <w:tc>
          <w:tcPr>
            <w:shd w:val="clear" w:fill="auto" w:color="auto"/>
            <w:tcBorders>
              <w:left w:val="none" w:color="000000" w:sz="4" w:space="0"/>
              <w:top w:val="none" w:color="000000" w:sz="4" w:space="0"/>
              <w:right w:val="none" w:color="000000" w:sz="4" w:space="0"/>
              <w:bottom w:val="none" w:color="000000" w:sz="4" w:space="0"/>
            </w:tcBorders>
            <w:tcMar>
              <w:left w:w="40" w:type="dxa"/>
              <w:top w:w="20" w:type="dxa"/>
              <w:right w:w="40" w:type="dxa"/>
              <w:bottom w:w="100" w:type="dxa"/>
            </w:tcMar>
            <w:tcW w:w="999" w:type="dxa"/>
            <w:vAlign w:val="center"/>
            <w:textDirection w:val="lrTb"/>
            <w:noWrap w:val="false"/>
          </w:tcPr>
          <w:p>
            <w:pPr>
              <w:jc w:val="center"/>
              <w:spacing w:lineRule="auto" w:line="240"/>
              <w:rPr>
                <w:sz w:val="10"/>
                <w:szCs w:val="10"/>
                <w:highlight w:val="white"/>
              </w:rPr>
            </w:pPr>
            <w:r>
              <w:rPr>
                <w:sz w:val="10"/>
                <w:szCs w:val="10"/>
                <w:highlight w:val="white"/>
              </w:rPr>
              <w:t xml:space="preserve">Recurrent</w:t>
            </w:r>
            <w:r>
              <w:rPr>
                <w:sz w:val="10"/>
                <w:szCs w:val="10"/>
                <w:highlight w:val="white"/>
              </w:rPr>
              <w:t xml:space="preserve"> </w:t>
            </w:r>
            <w:r>
              <w:rPr>
                <w:sz w:val="10"/>
                <w:szCs w:val="10"/>
                <w:highlight w:val="white"/>
              </w:rPr>
              <w:t xml:space="preserve">infections</w:t>
            </w:r>
            <w:r>
              <w:rPr>
                <w:sz w:val="10"/>
                <w:szCs w:val="10"/>
                <w:highlight w:val="white"/>
              </w:rPr>
              <w:t xml:space="preserve">  (</w:t>
            </w:r>
            <w:r>
              <w:rPr>
                <w:sz w:val="10"/>
                <w:szCs w:val="10"/>
                <w:highlight w:val="white"/>
              </w:rPr>
              <w:t xml:space="preserve">N=9)</w:t>
            </w:r>
            <w:r/>
          </w:p>
        </w:tc>
        <w:tc>
          <w:tcPr>
            <w:shd w:val="clear" w:fill="auto" w:color="auto"/>
            <w:tcBorders>
              <w:left w:val="none" w:color="000000" w:sz="4" w:space="0"/>
              <w:top w:val="none" w:color="000000" w:sz="4" w:space="0"/>
              <w:right w:val="none" w:color="000000" w:sz="4" w:space="0"/>
              <w:bottom w:val="none" w:color="000000" w:sz="4" w:space="0"/>
            </w:tcBorders>
            <w:tcMar>
              <w:left w:w="40" w:type="dxa"/>
              <w:top w:w="20" w:type="dxa"/>
              <w:right w:w="40" w:type="dxa"/>
              <w:bottom w:w="100" w:type="dxa"/>
            </w:tcMar>
            <w:tcW w:w="1236" w:type="dxa"/>
            <w:vAlign w:val="center"/>
            <w:textDirection w:val="lrTb"/>
            <w:noWrap w:val="false"/>
          </w:tcPr>
          <w:p>
            <w:pPr>
              <w:jc w:val="center"/>
              <w:spacing w:lineRule="auto" w:line="240"/>
              <w:rPr>
                <w:sz w:val="10"/>
                <w:szCs w:val="10"/>
                <w:highlight w:val="white"/>
              </w:rPr>
            </w:pPr>
            <w:r>
              <w:rPr>
                <w:sz w:val="10"/>
                <w:szCs w:val="10"/>
                <w:highlight w:val="white"/>
              </w:rPr>
              <w:t xml:space="preserve">Recurrent</w:t>
            </w:r>
            <w:r>
              <w:rPr>
                <w:sz w:val="10"/>
                <w:szCs w:val="10"/>
                <w:highlight w:val="white"/>
              </w:rPr>
              <w:t xml:space="preserve"> </w:t>
            </w:r>
            <w:r>
              <w:rPr>
                <w:sz w:val="10"/>
                <w:szCs w:val="10"/>
                <w:highlight w:val="white"/>
              </w:rPr>
              <w:t xml:space="preserve">fever</w:t>
            </w:r>
            <w:r>
              <w:rPr>
                <w:sz w:val="10"/>
                <w:szCs w:val="10"/>
                <w:highlight w:val="white"/>
              </w:rPr>
              <w:t xml:space="preserve"> (N=8)</w:t>
            </w:r>
            <w:r/>
          </w:p>
        </w:tc>
        <w:tc>
          <w:tcPr>
            <w:shd w:val="clear" w:fill="auto" w:color="auto"/>
            <w:tcBorders>
              <w:left w:val="none" w:color="000000" w:sz="4" w:space="0"/>
              <w:top w:val="none" w:color="000000" w:sz="4" w:space="0"/>
              <w:right w:val="none" w:color="000000" w:sz="4" w:space="0"/>
              <w:bottom w:val="none" w:color="000000" w:sz="4" w:space="0"/>
            </w:tcBorders>
            <w:tcMar>
              <w:left w:w="40" w:type="dxa"/>
              <w:top w:w="20" w:type="dxa"/>
              <w:right w:w="40" w:type="dxa"/>
              <w:bottom w:w="100" w:type="dxa"/>
            </w:tcMar>
            <w:tcW w:w="999" w:type="dxa"/>
            <w:vAlign w:val="center"/>
            <w:textDirection w:val="lrTb"/>
            <w:noWrap w:val="false"/>
          </w:tcPr>
          <w:p>
            <w:pPr>
              <w:jc w:val="center"/>
              <w:spacing w:lineRule="auto" w:line="240"/>
              <w:rPr>
                <w:sz w:val="10"/>
                <w:szCs w:val="10"/>
                <w:highlight w:val="white"/>
                <w:lang w:val="en-US"/>
              </w:rPr>
            </w:pPr>
            <w:r>
              <w:rPr>
                <w:sz w:val="10"/>
                <w:szCs w:val="10"/>
                <w:highlight w:val="white"/>
                <w:lang w:val="en-US"/>
              </w:rPr>
              <w:t xml:space="preserve">Decreased circulating antibody level (N=8)</w:t>
            </w:r>
            <w:r/>
          </w:p>
        </w:tc>
        <w:tc>
          <w:tcPr>
            <w:shd w:val="clear" w:fill="auto" w:color="auto"/>
            <w:tcBorders>
              <w:left w:val="none" w:color="000000" w:sz="4" w:space="0"/>
              <w:top w:val="none" w:color="000000" w:sz="4" w:space="0"/>
              <w:right w:val="none" w:color="000000" w:sz="4" w:space="0"/>
              <w:bottom w:val="none" w:color="000000" w:sz="4" w:space="0"/>
            </w:tcBorders>
            <w:tcMar>
              <w:left w:w="40" w:type="dxa"/>
              <w:top w:w="20" w:type="dxa"/>
              <w:right w:w="40" w:type="dxa"/>
              <w:bottom w:w="100" w:type="dxa"/>
            </w:tcMar>
            <w:tcW w:w="973" w:type="dxa"/>
            <w:vAlign w:val="center"/>
            <w:textDirection w:val="lrTb"/>
            <w:noWrap w:val="false"/>
          </w:tcPr>
          <w:p>
            <w:pPr>
              <w:jc w:val="center"/>
              <w:spacing w:lineRule="auto" w:line="240"/>
              <w:rPr>
                <w:sz w:val="10"/>
                <w:szCs w:val="10"/>
                <w:highlight w:val="white"/>
              </w:rPr>
            </w:pPr>
            <w:r>
              <w:rPr>
                <w:sz w:val="10"/>
                <w:szCs w:val="10"/>
                <w:highlight w:val="white"/>
              </w:rPr>
              <w:t xml:space="preserve">Autoimmunity</w:t>
            </w:r>
            <w:r>
              <w:rPr>
                <w:sz w:val="10"/>
                <w:szCs w:val="10"/>
                <w:highlight w:val="white"/>
              </w:rPr>
              <w:t xml:space="preserve"> (N=6)</w:t>
            </w:r>
            <w:r/>
          </w:p>
        </w:tc>
        <w:tc>
          <w:tcPr>
            <w:shd w:val="clear" w:fill="auto" w:color="auto"/>
            <w:tcBorders>
              <w:left w:val="none" w:color="000000" w:sz="4" w:space="0"/>
              <w:top w:val="none" w:color="000000" w:sz="4" w:space="0"/>
              <w:right w:val="none" w:color="000000" w:sz="4" w:space="0"/>
              <w:bottom w:val="none" w:color="000000" w:sz="4" w:space="0"/>
            </w:tcBorders>
            <w:tcMar>
              <w:left w:w="40" w:type="dxa"/>
              <w:top w:w="20" w:type="dxa"/>
              <w:right w:w="40" w:type="dxa"/>
              <w:bottom w:w="100" w:type="dxa"/>
            </w:tcMar>
            <w:tcW w:w="947" w:type="dxa"/>
            <w:vAlign w:val="center"/>
            <w:textDirection w:val="lrTb"/>
            <w:noWrap w:val="false"/>
          </w:tcPr>
          <w:p>
            <w:pPr>
              <w:jc w:val="center"/>
              <w:spacing w:lineRule="auto" w:line="240"/>
              <w:rPr>
                <w:sz w:val="10"/>
                <w:szCs w:val="10"/>
                <w:highlight w:val="white"/>
              </w:rPr>
            </w:pPr>
            <w:r>
              <w:rPr>
                <w:sz w:val="10"/>
                <w:szCs w:val="10"/>
                <w:highlight w:val="white"/>
              </w:rPr>
              <w:t xml:space="preserve">Recurrent</w:t>
            </w:r>
            <w:r>
              <w:rPr>
                <w:sz w:val="10"/>
                <w:szCs w:val="10"/>
                <w:highlight w:val="white"/>
              </w:rPr>
              <w:t xml:space="preserve"> </w:t>
            </w:r>
            <w:r>
              <w:rPr>
                <w:sz w:val="10"/>
                <w:szCs w:val="10"/>
                <w:highlight w:val="white"/>
              </w:rPr>
              <w:t xml:space="preserve">otitis</w:t>
            </w:r>
            <w:r>
              <w:rPr>
                <w:sz w:val="10"/>
                <w:szCs w:val="10"/>
                <w:highlight w:val="white"/>
              </w:rPr>
              <w:t xml:space="preserve"> </w:t>
            </w:r>
            <w:r>
              <w:rPr>
                <w:sz w:val="10"/>
                <w:szCs w:val="10"/>
                <w:highlight w:val="white"/>
              </w:rPr>
              <w:t xml:space="preserve">media</w:t>
            </w:r>
            <w:r>
              <w:rPr>
                <w:sz w:val="10"/>
                <w:szCs w:val="10"/>
                <w:highlight w:val="white"/>
              </w:rPr>
              <w:t xml:space="preserve"> (N=6)</w:t>
            </w:r>
            <w:r/>
          </w:p>
        </w:tc>
        <w:tc>
          <w:tcPr>
            <w:shd w:val="clear" w:fill="auto" w:color="auto"/>
            <w:tcBorders>
              <w:left w:val="none" w:color="000000" w:sz="4" w:space="0"/>
              <w:top w:val="none" w:color="000000" w:sz="4" w:space="0"/>
              <w:right w:val="none" w:color="000000" w:sz="4" w:space="0"/>
              <w:bottom w:val="none" w:color="000000" w:sz="4" w:space="0"/>
            </w:tcBorders>
            <w:tcMar>
              <w:left w:w="40" w:type="dxa"/>
              <w:top w:w="20" w:type="dxa"/>
              <w:right w:w="40" w:type="dxa"/>
              <w:bottom w:w="100" w:type="dxa"/>
            </w:tcMar>
            <w:tcW w:w="1289" w:type="dxa"/>
            <w:vAlign w:val="center"/>
            <w:textDirection w:val="lrTb"/>
            <w:noWrap w:val="false"/>
          </w:tcPr>
          <w:p>
            <w:pPr>
              <w:jc w:val="center"/>
              <w:spacing w:lineRule="auto" w:line="240"/>
              <w:rPr>
                <w:sz w:val="10"/>
                <w:szCs w:val="10"/>
                <w:highlight w:val="white"/>
              </w:rPr>
            </w:pPr>
            <w:r>
              <w:rPr>
                <w:sz w:val="10"/>
                <w:szCs w:val="10"/>
                <w:highlight w:val="white"/>
              </w:rPr>
              <w:t xml:space="preserve">Pneumonia</w:t>
            </w:r>
            <w:r>
              <w:rPr>
                <w:sz w:val="10"/>
                <w:szCs w:val="10"/>
                <w:highlight w:val="white"/>
              </w:rPr>
              <w:t xml:space="preserve"> (N=4)</w:t>
            </w:r>
            <w:r/>
          </w:p>
        </w:tc>
      </w:tr>
      <w:tr>
        <w:trPr>
          <w:trHeight w:val="490"/>
        </w:trPr>
        <w:tc>
          <w:tcPr>
            <w:shd w:val="clear" w:fill="auto" w:color="auto"/>
            <w:tcBorders>
              <w:left w:val="none" w:color="000000" w:sz="4" w:space="0"/>
              <w:top w:val="none" w:color="000000" w:sz="4" w:space="0"/>
              <w:right w:val="single" w:color="000000" w:sz="8" w:space="0"/>
              <w:bottom w:val="single" w:color="000000" w:sz="8" w:space="0"/>
            </w:tcBorders>
            <w:tcMar>
              <w:left w:w="40" w:type="dxa"/>
              <w:top w:w="20" w:type="dxa"/>
              <w:right w:w="40" w:type="dxa"/>
              <w:bottom w:w="100" w:type="dxa"/>
            </w:tcMar>
            <w:tcW w:w="1381" w:type="dxa"/>
            <w:vAlign w:val="center"/>
            <w:textDirection w:val="lrTb"/>
            <w:noWrap w:val="false"/>
          </w:tcPr>
          <w:p>
            <w:pPr>
              <w:jc w:val="center"/>
              <w:spacing w:lineRule="auto" w:line="240"/>
              <w:rPr>
                <w:b/>
                <w:sz w:val="10"/>
                <w:szCs w:val="10"/>
                <w:highlight w:val="white"/>
              </w:rPr>
            </w:pPr>
            <w:r>
              <w:rPr>
                <w:b/>
                <w:sz w:val="10"/>
                <w:szCs w:val="10"/>
                <w:highlight w:val="white"/>
              </w:rPr>
              <w:t xml:space="preserve">Cardiovascular</w:t>
            </w:r>
            <w:r>
              <w:rPr>
                <w:b/>
                <w:sz w:val="10"/>
                <w:szCs w:val="10"/>
                <w:highlight w:val="white"/>
              </w:rPr>
              <w:t xml:space="preserve"> (N=17)</w:t>
            </w:r>
            <w:r/>
          </w:p>
        </w:tc>
        <w:tc>
          <w:tcPr>
            <w:shd w:val="clear" w:fill="auto" w:color="auto"/>
            <w:tcBorders>
              <w:left w:val="single" w:color="000000" w:sz="8" w:space="0"/>
              <w:top w:val="none" w:color="000000" w:sz="4" w:space="0"/>
              <w:right w:val="none" w:color="000000" w:sz="4" w:space="0"/>
              <w:bottom w:val="single" w:color="000000" w:sz="8" w:space="0"/>
            </w:tcBorders>
            <w:tcMar>
              <w:left w:w="40" w:type="dxa"/>
              <w:top w:w="20" w:type="dxa"/>
              <w:right w:w="40" w:type="dxa"/>
              <w:bottom w:w="100" w:type="dxa"/>
            </w:tcMar>
            <w:tcW w:w="1197" w:type="dxa"/>
            <w:vAlign w:val="center"/>
            <w:textDirection w:val="lrTb"/>
            <w:noWrap w:val="false"/>
          </w:tcPr>
          <w:p>
            <w:pPr>
              <w:jc w:val="center"/>
              <w:spacing w:lineRule="auto" w:line="240"/>
              <w:rPr>
                <w:b/>
                <w:sz w:val="10"/>
                <w:szCs w:val="10"/>
                <w:highlight w:val="white"/>
              </w:rPr>
            </w:pPr>
            <w:r>
              <w:rPr>
                <w:b/>
                <w:sz w:val="10"/>
                <w:szCs w:val="10"/>
                <w:highlight w:val="white"/>
              </w:rPr>
              <w:t xml:space="preserve">Hypotonia</w:t>
            </w:r>
            <w:r>
              <w:rPr>
                <w:b/>
                <w:sz w:val="10"/>
                <w:szCs w:val="10"/>
                <w:highlight w:val="white"/>
              </w:rPr>
              <w:t xml:space="preserve"> (N=7)</w:t>
            </w:r>
            <w:r/>
          </w:p>
        </w:tc>
        <w:tc>
          <w:tcPr>
            <w:shd w:val="clear" w:fill="auto" w:color="auto"/>
            <w:tcBorders>
              <w:left w:val="none" w:color="000000" w:sz="4" w:space="0"/>
              <w:top w:val="none" w:color="000000" w:sz="4" w:space="0"/>
              <w:right w:val="none" w:color="000000" w:sz="4" w:space="0"/>
              <w:bottom w:val="single" w:color="000000" w:sz="8" w:space="0"/>
            </w:tcBorders>
            <w:tcMar>
              <w:left w:w="40" w:type="dxa"/>
              <w:top w:w="20" w:type="dxa"/>
              <w:right w:w="40" w:type="dxa"/>
              <w:bottom w:w="100" w:type="dxa"/>
            </w:tcMar>
            <w:tcW w:w="999" w:type="dxa"/>
            <w:vAlign w:val="center"/>
            <w:textDirection w:val="lrTb"/>
            <w:noWrap w:val="false"/>
          </w:tcPr>
          <w:p>
            <w:pPr>
              <w:jc w:val="center"/>
              <w:spacing w:lineRule="auto" w:line="240"/>
              <w:rPr>
                <w:sz w:val="10"/>
                <w:szCs w:val="10"/>
                <w:highlight w:val="white"/>
                <w:lang w:val="en-US"/>
              </w:rPr>
            </w:pPr>
            <w:r>
              <w:rPr>
                <w:sz w:val="10"/>
                <w:szCs w:val="10"/>
                <w:highlight w:val="white"/>
                <w:lang w:val="en-US"/>
              </w:rPr>
              <w:t xml:space="preserve">Abnorma</w:t>
            </w:r>
            <w:r>
              <w:rPr>
                <w:sz w:val="10"/>
                <w:szCs w:val="10"/>
                <w:highlight w:val="white"/>
                <w:lang w:val="en-US"/>
              </w:rPr>
              <w:t xml:space="preserve"> corpus callosum morphology (N=2)</w:t>
            </w:r>
            <w:r/>
          </w:p>
        </w:tc>
        <w:tc>
          <w:tcPr>
            <w:shd w:val="clear" w:fill="auto" w:color="auto"/>
            <w:tcBorders>
              <w:left w:val="none" w:color="000000" w:sz="4" w:space="0"/>
              <w:top w:val="none" w:color="000000" w:sz="4" w:space="0"/>
              <w:right w:val="none" w:color="000000" w:sz="4" w:space="0"/>
              <w:bottom w:val="single" w:color="000000" w:sz="8" w:space="0"/>
            </w:tcBorders>
            <w:tcMar>
              <w:left w:w="40" w:type="dxa"/>
              <w:top w:w="20" w:type="dxa"/>
              <w:right w:w="40" w:type="dxa"/>
              <w:bottom w:w="100" w:type="dxa"/>
            </w:tcMar>
            <w:tcW w:w="1236" w:type="dxa"/>
            <w:vAlign w:val="center"/>
            <w:textDirection w:val="lrTb"/>
            <w:noWrap w:val="false"/>
          </w:tcPr>
          <w:p>
            <w:pPr>
              <w:jc w:val="center"/>
              <w:spacing w:lineRule="auto" w:line="240"/>
              <w:rPr>
                <w:b/>
                <w:sz w:val="10"/>
                <w:szCs w:val="10"/>
                <w:highlight w:val="white"/>
              </w:rPr>
            </w:pPr>
            <w:r>
              <w:rPr>
                <w:b/>
                <w:sz w:val="10"/>
                <w:szCs w:val="10"/>
                <w:highlight w:val="white"/>
              </w:rPr>
              <w:t xml:space="preserve">Microcephaly</w:t>
            </w:r>
            <w:r>
              <w:rPr>
                <w:b/>
                <w:sz w:val="10"/>
                <w:szCs w:val="10"/>
                <w:highlight w:val="white"/>
              </w:rPr>
              <w:t xml:space="preserve"> (N=2)</w:t>
            </w:r>
            <w:r/>
          </w:p>
        </w:tc>
        <w:tc>
          <w:tcPr>
            <w:shd w:val="clear" w:fill="auto" w:color="auto"/>
            <w:tcBorders>
              <w:left w:val="none" w:color="000000" w:sz="4" w:space="0"/>
              <w:top w:val="none" w:color="000000" w:sz="4" w:space="0"/>
              <w:right w:val="none" w:color="000000" w:sz="4" w:space="0"/>
              <w:bottom w:val="single" w:color="000000" w:sz="8" w:space="0"/>
            </w:tcBorders>
            <w:tcMar>
              <w:left w:w="40" w:type="dxa"/>
              <w:top w:w="20" w:type="dxa"/>
              <w:right w:w="40" w:type="dxa"/>
              <w:bottom w:w="100" w:type="dxa"/>
            </w:tcMar>
            <w:tcW w:w="999" w:type="dxa"/>
            <w:vAlign w:val="center"/>
            <w:textDirection w:val="lrTb"/>
            <w:noWrap w:val="false"/>
          </w:tcPr>
          <w:p>
            <w:pPr>
              <w:jc w:val="center"/>
              <w:spacing w:lineRule="auto" w:line="240"/>
              <w:rPr>
                <w:sz w:val="10"/>
                <w:szCs w:val="10"/>
                <w:highlight w:val="white"/>
              </w:rPr>
            </w:pPr>
            <w:r>
              <w:rPr>
                <w:sz w:val="10"/>
                <w:szCs w:val="10"/>
                <w:highlight w:val="white"/>
              </w:rPr>
              <w:t xml:space="preserve">Abnormal </w:t>
            </w:r>
            <w:r>
              <w:rPr>
                <w:sz w:val="10"/>
                <w:szCs w:val="10"/>
                <w:highlight w:val="white"/>
              </w:rPr>
              <w:t xml:space="preserve">heart</w:t>
            </w:r>
            <w:r>
              <w:rPr>
                <w:sz w:val="10"/>
                <w:szCs w:val="10"/>
                <w:highlight w:val="white"/>
              </w:rPr>
              <w:t xml:space="preserve"> </w:t>
            </w:r>
            <w:r>
              <w:rPr>
                <w:sz w:val="10"/>
                <w:szCs w:val="10"/>
                <w:highlight w:val="white"/>
              </w:rPr>
              <w:t xml:space="preserve">morphology</w:t>
            </w:r>
            <w:r>
              <w:rPr>
                <w:sz w:val="10"/>
                <w:szCs w:val="10"/>
                <w:highlight w:val="white"/>
              </w:rPr>
              <w:t xml:space="preserve"> (N=2)</w:t>
            </w:r>
            <w:r/>
          </w:p>
        </w:tc>
        <w:tc>
          <w:tcPr>
            <w:shd w:val="clear" w:fill="auto" w:color="auto"/>
            <w:tcBorders>
              <w:left w:val="none" w:color="000000" w:sz="4" w:space="0"/>
              <w:top w:val="none" w:color="000000" w:sz="4" w:space="0"/>
              <w:right w:val="none" w:color="000000" w:sz="4" w:space="0"/>
              <w:bottom w:val="single" w:color="000000" w:sz="8" w:space="0"/>
            </w:tcBorders>
            <w:tcMar>
              <w:left w:w="40" w:type="dxa"/>
              <w:top w:w="20" w:type="dxa"/>
              <w:right w:w="40" w:type="dxa"/>
              <w:bottom w:w="100" w:type="dxa"/>
            </w:tcMar>
            <w:tcW w:w="973" w:type="dxa"/>
            <w:vAlign w:val="center"/>
            <w:textDirection w:val="lrTb"/>
            <w:noWrap w:val="false"/>
          </w:tcPr>
          <w:p>
            <w:pPr>
              <w:jc w:val="center"/>
              <w:spacing w:lineRule="auto" w:line="240"/>
              <w:rPr>
                <w:sz w:val="10"/>
                <w:szCs w:val="10"/>
                <w:highlight w:val="white"/>
              </w:rPr>
            </w:pPr>
            <w:r>
              <w:rPr>
                <w:sz w:val="10"/>
                <w:szCs w:val="10"/>
                <w:highlight w:val="white"/>
              </w:rPr>
              <w:t xml:space="preserve">Atrial</w:t>
            </w:r>
            <w:r>
              <w:rPr>
                <w:sz w:val="10"/>
                <w:szCs w:val="10"/>
                <w:highlight w:val="white"/>
              </w:rPr>
              <w:t xml:space="preserve"> </w:t>
            </w:r>
            <w:r>
              <w:rPr>
                <w:sz w:val="10"/>
                <w:szCs w:val="10"/>
                <w:highlight w:val="white"/>
              </w:rPr>
              <w:t xml:space="preserve">septal</w:t>
            </w:r>
            <w:r>
              <w:rPr>
                <w:sz w:val="10"/>
                <w:szCs w:val="10"/>
                <w:highlight w:val="white"/>
              </w:rPr>
              <w:t xml:space="preserve"> </w:t>
            </w:r>
            <w:r>
              <w:rPr>
                <w:sz w:val="10"/>
                <w:szCs w:val="10"/>
                <w:highlight w:val="white"/>
              </w:rPr>
              <w:t xml:space="preserve">defect</w:t>
            </w:r>
            <w:r>
              <w:rPr>
                <w:sz w:val="10"/>
                <w:szCs w:val="10"/>
                <w:highlight w:val="white"/>
              </w:rPr>
              <w:t xml:space="preserve"> (N=2)</w:t>
            </w:r>
            <w:r/>
          </w:p>
        </w:tc>
        <w:tc>
          <w:tcPr>
            <w:shd w:val="clear" w:fill="auto" w:color="auto"/>
            <w:tcBorders>
              <w:left w:val="none" w:color="000000" w:sz="4" w:space="0"/>
              <w:top w:val="none" w:color="000000" w:sz="4" w:space="0"/>
              <w:right w:val="none" w:color="000000" w:sz="4" w:space="0"/>
              <w:bottom w:val="single" w:color="000000" w:sz="8" w:space="0"/>
            </w:tcBorders>
            <w:tcMar>
              <w:left w:w="40" w:type="dxa"/>
              <w:top w:w="20" w:type="dxa"/>
              <w:right w:w="40" w:type="dxa"/>
              <w:bottom w:w="100" w:type="dxa"/>
            </w:tcMar>
            <w:tcW w:w="947" w:type="dxa"/>
            <w:vAlign w:val="center"/>
            <w:textDirection w:val="lrTb"/>
            <w:noWrap w:val="false"/>
          </w:tcPr>
          <w:p>
            <w:pPr>
              <w:jc w:val="center"/>
              <w:spacing w:lineRule="auto" w:line="240"/>
              <w:rPr>
                <w:sz w:val="10"/>
                <w:szCs w:val="10"/>
                <w:highlight w:val="white"/>
              </w:rPr>
            </w:pPr>
            <w:r>
              <w:rPr>
                <w:sz w:val="10"/>
                <w:szCs w:val="10"/>
                <w:highlight w:val="white"/>
              </w:rPr>
              <w:t xml:space="preserve">Hearing </w:t>
            </w:r>
            <w:r>
              <w:rPr>
                <w:sz w:val="10"/>
                <w:szCs w:val="10"/>
                <w:highlight w:val="white"/>
              </w:rPr>
              <w:t xml:space="preserve">impairment</w:t>
            </w:r>
            <w:r>
              <w:rPr>
                <w:sz w:val="10"/>
                <w:szCs w:val="10"/>
                <w:highlight w:val="white"/>
              </w:rPr>
              <w:t xml:space="preserve"> (N=2)</w:t>
            </w:r>
            <w:r/>
          </w:p>
        </w:tc>
        <w:tc>
          <w:tcPr>
            <w:shd w:val="clear" w:fill="auto" w:color="auto"/>
            <w:tcBorders>
              <w:left w:val="none" w:color="000000" w:sz="4" w:space="0"/>
              <w:top w:val="none" w:color="000000" w:sz="4" w:space="0"/>
              <w:right w:val="none" w:color="000000" w:sz="4" w:space="0"/>
              <w:bottom w:val="single" w:color="000000" w:sz="8" w:space="0"/>
            </w:tcBorders>
            <w:tcMar>
              <w:left w:w="40" w:type="dxa"/>
              <w:top w:w="20" w:type="dxa"/>
              <w:right w:w="40" w:type="dxa"/>
              <w:bottom w:w="100" w:type="dxa"/>
            </w:tcMar>
            <w:tcW w:w="1289" w:type="dxa"/>
            <w:vAlign w:val="center"/>
            <w:textDirection w:val="lrTb"/>
            <w:noWrap w:val="false"/>
          </w:tcPr>
          <w:p>
            <w:pPr>
              <w:jc w:val="center"/>
              <w:spacing w:lineRule="auto" w:line="240"/>
              <w:rPr>
                <w:sz w:val="10"/>
                <w:szCs w:val="10"/>
                <w:highlight w:val="white"/>
              </w:rPr>
            </w:pPr>
            <w:r>
              <w:rPr>
                <w:sz w:val="10"/>
                <w:szCs w:val="10"/>
                <w:highlight w:val="white"/>
              </w:rPr>
              <w:t xml:space="preserve">Cardiomyopathy</w:t>
            </w:r>
            <w:r>
              <w:rPr>
                <w:sz w:val="10"/>
                <w:szCs w:val="10"/>
                <w:highlight w:val="white"/>
              </w:rPr>
              <w:t xml:space="preserve"> (N=2)</w:t>
            </w:r>
            <w:r/>
          </w:p>
        </w:tc>
      </w:tr>
    </w:tbl>
    <w:p>
      <w:pPr>
        <w:jc w:val="both"/>
        <w:spacing w:lineRule="auto" w:line="240"/>
        <w:rPr>
          <w:lang w:val="en-US"/>
        </w:rPr>
      </w:pPr>
      <w:r>
        <w:rPr>
          <w:lang w:val="en-US"/>
        </w:rPr>
      </w:r>
      <w:r/>
    </w:p>
    <w:p>
      <w:pPr>
        <w:ind w:left="440" w:hanging="440"/>
        <w:spacing w:lineRule="auto" w:line="240"/>
        <w:widowControl w:val="off"/>
        <w:tabs>
          <w:tab w:val="left" w:pos="440" w:leader="none"/>
        </w:tabs>
        <w:rPr>
          <w:lang w:val="en-US"/>
        </w:rPr>
        <w:pBdr>
          <w:left w:val="none" w:color="000000" w:sz="4" w:space="0"/>
          <w:top w:val="none" w:color="000000" w:sz="4" w:space="0"/>
          <w:right w:val="none" w:color="000000" w:sz="4" w:space="0"/>
          <w:bottom w:val="none" w:color="000000" w:sz="4" w:space="0"/>
          <w:between w:val="none" w:color="000000" w:sz="4" w:space="0"/>
        </w:pBdr>
      </w:pPr>
      <w:r>
        <w:rPr>
          <w:lang w:val="en-US"/>
        </w:rPr>
      </w:r>
      <w:r/>
    </w:p>
    <w:sectPr>
      <w:footnotePr/>
      <w:endnotePr/>
      <w:type w:val="nextPage"/>
      <w:pgSz w:w="11909" w:h="16834" w:orient="portrait"/>
      <w:pgMar w:top="1440" w:right="1440" w:bottom="1440" w:left="1440" w:header="720" w:footer="720" w:gutter="0"/>
      <w:pgNumType w:start="1"/>
      <w:cols w:num="1" w:sep="0" w:space="720" w:equalWidth="1"/>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spacing w:lineRule="auto" w:line="240"/>
      </w:pPr>
      <w:r>
        <w:separator/>
      </w:r>
      <w:r/>
    </w:p>
  </w:endnote>
  <w:endnote w:type="continuationSeparator" w:id="0">
    <w:p>
      <w:pPr>
        <w:spacing w:lineRule="auto" w:line="240"/>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font>
  <w:font w:name="Segoe UI">
    <w:panose1 w:val="020B0502040504020204"/>
  </w:font>
  <w:font w:name="Arial Unicode MS">
    <w:panose1 w:val="020B0604020202020204"/>
  </w:font>
  <w:font w:name="Arial">
    <w:panose1 w:val="020B0604020202020204"/>
  </w:font>
  <w:font w:name="Times New Roman">
    <w:panose1 w:val="02020603050405020304"/>
  </w:font>
  <w:font w:name="Cambria">
    <w:panose1 w:val="020206030504050203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spacing w:lineRule="auto" w:line="240"/>
      </w:pPr>
      <w:r>
        <w:separator/>
      </w:r>
      <w:r/>
    </w:p>
  </w:footnote>
  <w:footnote w:type="continuationSeparator" w:id="0">
    <w:p>
      <w:pPr>
        <w:spacing w:lineRule="auto" w:line="240"/>
      </w:pPr>
      <w:r>
        <w:continuationSeparator/>
      </w:r>
      <w:r/>
    </w:p>
  </w:footnote>
</w:footnotes>
</file>

<file path=word/settings.xml><?xml version="1.0" encoding="utf-8"?>
<w:settings xmlns:w="http://schemas.openxmlformats.org/wordprocessingml/2006/main" xmlns:m="http://schemas.openxmlformats.org/officeDocument/2006/math" xmlns:o="urn:schemas-microsoft-com:office:office" xmlns:v="urn:schemas-microsoft-com:vml">
  <w:clrSchemeMapping w:accent1="accent1" w:accent2="accent2" w:accent3="accent3" w:accent4="accent4" w:accent5="accent5" w:accent6="accent6" w:bg1="light1" w:bg2="light2" w:followedHyperlink="followedHyperlink" w:hyperlink="hyperlink" w:t1="dark1" w:t2="dark2"/>
  <w:defaultTabStop w:val="720"/>
  <m:mathPr>
    <m:brkBin m:val="before"/>
    <m:defJc m:val="centerGroup"/>
    <m:intLim m:val="subSup"/>
    <m:lMargin m:val="0"/>
    <m:mathFont m:val="Cambria Math"/>
    <m:naryLim m:val="undOvr"/>
    <m:rMargin m:val="0"/>
    <m:smallFrac m:val="off"/>
    <m:wrapIndent m:val="1440"/>
  </m:mathPr>
  <w:trackRevisions w:val="false"/>
  <w:footnotePr>
    <w:footnote w:id="-1"/>
    <w:footnote w:id="0"/>
    <w:numFmt w:val="decimal"/>
    <w:numRestart w:val="continuous"/>
    <w:numStart w:val="1"/>
    <w:pos w:val="pageBottom"/>
  </w:footnotePr>
  <w:endnotePr>
    <w:endnote w:id="-1"/>
    <w:endnote w:id="0"/>
    <w:numFmt w:val="lowerRoman"/>
    <w:numRestart w:val="continuous"/>
    <w:numStart w:val="1"/>
    <w:pos w:val="docEnd"/>
  </w:endnotePr>
  <w:decimalSymbol w:val=","/>
  <w:listSeparator w:va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zoom w:percent="100"/>
  <w:characterSpacingControl w:val="doNotCompress"/>
  <w:themeFontLang w:val="en-US" w:eastAsia="zh-CN"/>
  <w:shapeDefaults>
    <o:shapedefaults v:ext="edit" spidmax="1026"/>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cs="Arial" w:eastAsia="Arial" w:hint="default"/>
        <w:sz w:val="22"/>
        <w:szCs w:val="22"/>
        <w:lang w:val="de" w:bidi="ar-SA" w:eastAsia="de-DE"/>
      </w:rPr>
    </w:rPrDefault>
    <w:pPrDefault>
      <w:pPr>
        <w:spacing w:lineRule="auto" w:line="276" w:after="0" w:afterAutospacing="0" w:before="0" w:beforeAutospacing="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640" w:default="1">
    <w:name w:val="Normal"/>
    <w:qFormat/>
  </w:style>
  <w:style w:type="paragraph" w:styleId="641">
    <w:name w:val="Heading 1"/>
    <w:basedOn w:val="640"/>
    <w:next w:val="640"/>
    <w:link w:val="670"/>
    <w:qFormat/>
    <w:uiPriority w:val="9"/>
    <w:rPr>
      <w:sz w:val="40"/>
      <w:szCs w:val="40"/>
    </w:rPr>
    <w:pPr>
      <w:keepLines/>
      <w:keepNext/>
      <w:spacing w:after="120" w:before="400"/>
      <w:outlineLvl w:val="0"/>
    </w:pPr>
  </w:style>
  <w:style w:type="paragraph" w:styleId="642">
    <w:name w:val="Heading 2"/>
    <w:basedOn w:val="640"/>
    <w:next w:val="640"/>
    <w:link w:val="671"/>
    <w:qFormat/>
    <w:uiPriority w:val="9"/>
    <w:unhideWhenUsed/>
    <w:rPr>
      <w:sz w:val="32"/>
      <w:szCs w:val="32"/>
    </w:rPr>
    <w:pPr>
      <w:keepLines/>
      <w:keepNext/>
      <w:spacing w:after="120" w:before="360"/>
      <w:outlineLvl w:val="1"/>
    </w:pPr>
  </w:style>
  <w:style w:type="paragraph" w:styleId="643">
    <w:name w:val="Heading 3"/>
    <w:basedOn w:val="640"/>
    <w:next w:val="640"/>
    <w:link w:val="672"/>
    <w:qFormat/>
    <w:uiPriority w:val="9"/>
    <w:unhideWhenUsed/>
    <w:rPr>
      <w:color w:val="434343"/>
      <w:sz w:val="28"/>
      <w:szCs w:val="28"/>
    </w:rPr>
    <w:pPr>
      <w:keepLines/>
      <w:keepNext/>
      <w:spacing w:after="80" w:before="320"/>
      <w:outlineLvl w:val="2"/>
    </w:pPr>
  </w:style>
  <w:style w:type="paragraph" w:styleId="644">
    <w:name w:val="Heading 4"/>
    <w:basedOn w:val="640"/>
    <w:next w:val="640"/>
    <w:link w:val="673"/>
    <w:qFormat/>
    <w:uiPriority w:val="9"/>
    <w:unhideWhenUsed/>
    <w:rPr>
      <w:color w:val="666666"/>
      <w:sz w:val="24"/>
      <w:szCs w:val="24"/>
    </w:rPr>
    <w:pPr>
      <w:keepLines/>
      <w:keepNext/>
      <w:spacing w:after="80" w:before="280"/>
      <w:outlineLvl w:val="3"/>
    </w:pPr>
  </w:style>
  <w:style w:type="paragraph" w:styleId="645">
    <w:name w:val="Heading 5"/>
    <w:basedOn w:val="640"/>
    <w:next w:val="640"/>
    <w:link w:val="674"/>
    <w:qFormat/>
    <w:uiPriority w:val="9"/>
    <w:unhideWhenUsed/>
    <w:rPr>
      <w:color w:val="666666"/>
    </w:rPr>
    <w:pPr>
      <w:keepLines/>
      <w:keepNext/>
      <w:spacing w:after="80" w:before="240"/>
      <w:outlineLvl w:val="4"/>
    </w:pPr>
  </w:style>
  <w:style w:type="paragraph" w:styleId="646">
    <w:name w:val="Heading 6"/>
    <w:basedOn w:val="640"/>
    <w:next w:val="640"/>
    <w:link w:val="675"/>
    <w:qFormat/>
    <w:uiPriority w:val="9"/>
    <w:semiHidden/>
    <w:unhideWhenUsed/>
    <w:rPr>
      <w:i/>
      <w:color w:val="666666"/>
    </w:rPr>
    <w:pPr>
      <w:keepLines/>
      <w:keepNext/>
      <w:spacing w:after="80" w:before="240"/>
      <w:outlineLvl w:val="5"/>
    </w:pPr>
  </w:style>
  <w:style w:type="paragraph" w:styleId="647">
    <w:name w:val="Heading 7"/>
    <w:basedOn w:val="640"/>
    <w:next w:val="640"/>
    <w:link w:val="676"/>
    <w:qFormat/>
    <w:uiPriority w:val="9"/>
    <w:unhideWhenUsed/>
    <w:rPr>
      <w:b/>
      <w:bCs/>
      <w:i/>
      <w:iCs/>
    </w:rPr>
    <w:pPr>
      <w:keepLines/>
      <w:keepNext/>
      <w:spacing w:after="200" w:before="320"/>
      <w:outlineLvl w:val="6"/>
    </w:pPr>
  </w:style>
  <w:style w:type="paragraph" w:styleId="648">
    <w:name w:val="Heading 8"/>
    <w:basedOn w:val="640"/>
    <w:next w:val="640"/>
    <w:link w:val="677"/>
    <w:qFormat/>
    <w:uiPriority w:val="9"/>
    <w:unhideWhenUsed/>
    <w:rPr>
      <w:i/>
      <w:iCs/>
    </w:rPr>
    <w:pPr>
      <w:keepLines/>
      <w:keepNext/>
      <w:spacing w:after="200" w:before="320"/>
      <w:outlineLvl w:val="7"/>
    </w:pPr>
  </w:style>
  <w:style w:type="paragraph" w:styleId="649">
    <w:name w:val="Heading 9"/>
    <w:basedOn w:val="640"/>
    <w:next w:val="640"/>
    <w:link w:val="678"/>
    <w:qFormat/>
    <w:uiPriority w:val="9"/>
    <w:unhideWhenUsed/>
    <w:rPr>
      <w:i/>
      <w:iCs/>
      <w:sz w:val="21"/>
      <w:szCs w:val="21"/>
    </w:rPr>
    <w:pPr>
      <w:keepLines/>
      <w:keepNext/>
      <w:spacing w:after="200" w:before="320"/>
      <w:outlineLvl w:val="8"/>
    </w:pPr>
  </w:style>
  <w:style w:type="character" w:styleId="650" w:default="1">
    <w:name w:val="Default Paragraph Font"/>
    <w:uiPriority w:val="1"/>
    <w:semiHidden/>
    <w:unhideWhenUsed/>
  </w:style>
  <w:style w:type="table" w:styleId="651" w:default="1">
    <w:name w:val="Normal Table"/>
    <w:uiPriority w:val="99"/>
    <w:semiHidden/>
    <w:unhideWhenUsed/>
    <w:tblPr>
      <w:tblInd w:w="0" w:type="dxa"/>
      <w:tblCellMar>
        <w:left w:w="108" w:type="dxa"/>
        <w:top w:w="0" w:type="dxa"/>
        <w:right w:w="108" w:type="dxa"/>
        <w:bottom w:w="0" w:type="dxa"/>
      </w:tblCellMar>
    </w:tblPr>
  </w:style>
  <w:style w:type="numbering" w:styleId="652" w:default="1">
    <w:name w:val="No List"/>
    <w:uiPriority w:val="99"/>
    <w:semiHidden/>
    <w:unhideWhenUsed/>
  </w:style>
  <w:style w:type="character" w:styleId="653" w:customStyle="1">
    <w:name w:val="Heading 1 Char"/>
    <w:basedOn w:val="650"/>
    <w:uiPriority w:val="9"/>
    <w:rPr>
      <w:rFonts w:ascii="Arial" w:hAnsi="Arial" w:cs="Arial" w:eastAsia="Arial"/>
      <w:sz w:val="40"/>
      <w:szCs w:val="40"/>
    </w:rPr>
  </w:style>
  <w:style w:type="character" w:styleId="654" w:customStyle="1">
    <w:name w:val="Heading 2 Char"/>
    <w:basedOn w:val="650"/>
    <w:uiPriority w:val="9"/>
    <w:rPr>
      <w:rFonts w:ascii="Arial" w:hAnsi="Arial" w:cs="Arial" w:eastAsia="Arial"/>
      <w:sz w:val="34"/>
    </w:rPr>
  </w:style>
  <w:style w:type="character" w:styleId="655" w:customStyle="1">
    <w:name w:val="Heading 3 Char"/>
    <w:basedOn w:val="650"/>
    <w:uiPriority w:val="9"/>
    <w:rPr>
      <w:rFonts w:ascii="Arial" w:hAnsi="Arial" w:cs="Arial" w:eastAsia="Arial"/>
      <w:sz w:val="30"/>
      <w:szCs w:val="30"/>
    </w:rPr>
  </w:style>
  <w:style w:type="character" w:styleId="656" w:customStyle="1">
    <w:name w:val="Heading 4 Char"/>
    <w:basedOn w:val="650"/>
    <w:uiPriority w:val="9"/>
    <w:rPr>
      <w:rFonts w:ascii="Arial" w:hAnsi="Arial" w:cs="Arial" w:eastAsia="Arial"/>
      <w:b/>
      <w:bCs/>
      <w:sz w:val="26"/>
      <w:szCs w:val="26"/>
    </w:rPr>
  </w:style>
  <w:style w:type="character" w:styleId="657" w:customStyle="1">
    <w:name w:val="Heading 5 Char"/>
    <w:basedOn w:val="650"/>
    <w:uiPriority w:val="9"/>
    <w:rPr>
      <w:rFonts w:ascii="Arial" w:hAnsi="Arial" w:cs="Arial" w:eastAsia="Arial"/>
      <w:b/>
      <w:bCs/>
      <w:sz w:val="24"/>
      <w:szCs w:val="24"/>
    </w:rPr>
  </w:style>
  <w:style w:type="character" w:styleId="658" w:customStyle="1">
    <w:name w:val="Heading 6 Char"/>
    <w:basedOn w:val="650"/>
    <w:uiPriority w:val="9"/>
    <w:rPr>
      <w:rFonts w:ascii="Arial" w:hAnsi="Arial" w:cs="Arial" w:eastAsia="Arial"/>
      <w:b/>
      <w:bCs/>
      <w:sz w:val="22"/>
      <w:szCs w:val="22"/>
    </w:rPr>
  </w:style>
  <w:style w:type="character" w:styleId="659" w:customStyle="1">
    <w:name w:val="Heading 7 Char"/>
    <w:basedOn w:val="650"/>
    <w:uiPriority w:val="9"/>
    <w:rPr>
      <w:rFonts w:ascii="Arial" w:hAnsi="Arial" w:cs="Arial" w:eastAsia="Arial"/>
      <w:b/>
      <w:bCs/>
      <w:i/>
      <w:iCs/>
      <w:sz w:val="22"/>
      <w:szCs w:val="22"/>
    </w:rPr>
  </w:style>
  <w:style w:type="character" w:styleId="660" w:customStyle="1">
    <w:name w:val="Heading 8 Char"/>
    <w:basedOn w:val="650"/>
    <w:uiPriority w:val="9"/>
    <w:rPr>
      <w:rFonts w:ascii="Arial" w:hAnsi="Arial" w:cs="Arial" w:eastAsia="Arial"/>
      <w:i/>
      <w:iCs/>
      <w:sz w:val="22"/>
      <w:szCs w:val="22"/>
    </w:rPr>
  </w:style>
  <w:style w:type="character" w:styleId="661" w:customStyle="1">
    <w:name w:val="Heading 9 Char"/>
    <w:basedOn w:val="650"/>
    <w:uiPriority w:val="9"/>
    <w:rPr>
      <w:rFonts w:ascii="Arial" w:hAnsi="Arial" w:cs="Arial" w:eastAsia="Arial"/>
      <w:i/>
      <w:iCs/>
      <w:sz w:val="21"/>
      <w:szCs w:val="21"/>
    </w:rPr>
  </w:style>
  <w:style w:type="character" w:styleId="662" w:customStyle="1">
    <w:name w:val="Title Char"/>
    <w:basedOn w:val="650"/>
    <w:uiPriority w:val="10"/>
    <w:rPr>
      <w:sz w:val="48"/>
      <w:szCs w:val="48"/>
    </w:rPr>
  </w:style>
  <w:style w:type="character" w:styleId="663" w:customStyle="1">
    <w:name w:val="Subtitle Char"/>
    <w:basedOn w:val="650"/>
    <w:uiPriority w:val="11"/>
    <w:rPr>
      <w:sz w:val="24"/>
      <w:szCs w:val="24"/>
    </w:rPr>
  </w:style>
  <w:style w:type="character" w:styleId="664" w:customStyle="1">
    <w:name w:val="Quote Char"/>
    <w:uiPriority w:val="29"/>
    <w:rPr>
      <w:i/>
    </w:rPr>
  </w:style>
  <w:style w:type="character" w:styleId="665" w:customStyle="1">
    <w:name w:val="Intense Quote Char"/>
    <w:uiPriority w:val="30"/>
    <w:rPr>
      <w:i/>
    </w:rPr>
  </w:style>
  <w:style w:type="character" w:styleId="666" w:customStyle="1">
    <w:name w:val="Header Char"/>
    <w:basedOn w:val="650"/>
    <w:uiPriority w:val="99"/>
  </w:style>
  <w:style w:type="character" w:styleId="667" w:customStyle="1">
    <w:name w:val="Caption Char"/>
    <w:uiPriority w:val="99"/>
  </w:style>
  <w:style w:type="character" w:styleId="668" w:customStyle="1">
    <w:name w:val="Footnote Text Char"/>
    <w:uiPriority w:val="99"/>
    <w:rPr>
      <w:sz w:val="18"/>
    </w:rPr>
  </w:style>
  <w:style w:type="character" w:styleId="669" w:customStyle="1">
    <w:name w:val="Endnote Text Char"/>
    <w:uiPriority w:val="99"/>
    <w:rPr>
      <w:sz w:val="20"/>
    </w:rPr>
  </w:style>
  <w:style w:type="character" w:styleId="670" w:customStyle="1">
    <w:name w:val="Überschrift 1 Zchn"/>
    <w:basedOn w:val="650"/>
    <w:link w:val="641"/>
    <w:uiPriority w:val="9"/>
    <w:rPr>
      <w:rFonts w:ascii="Arial" w:hAnsi="Arial" w:cs="Arial" w:eastAsia="Arial"/>
      <w:sz w:val="40"/>
      <w:szCs w:val="40"/>
    </w:rPr>
  </w:style>
  <w:style w:type="character" w:styleId="671" w:customStyle="1">
    <w:name w:val="Überschrift 2 Zchn"/>
    <w:basedOn w:val="650"/>
    <w:link w:val="642"/>
    <w:uiPriority w:val="9"/>
    <w:rPr>
      <w:rFonts w:ascii="Arial" w:hAnsi="Arial" w:cs="Arial" w:eastAsia="Arial"/>
      <w:sz w:val="34"/>
    </w:rPr>
  </w:style>
  <w:style w:type="character" w:styleId="672" w:customStyle="1">
    <w:name w:val="Überschrift 3 Zchn"/>
    <w:basedOn w:val="650"/>
    <w:link w:val="643"/>
    <w:uiPriority w:val="9"/>
    <w:rPr>
      <w:rFonts w:ascii="Arial" w:hAnsi="Arial" w:cs="Arial" w:eastAsia="Arial"/>
      <w:sz w:val="30"/>
      <w:szCs w:val="30"/>
    </w:rPr>
  </w:style>
  <w:style w:type="character" w:styleId="673" w:customStyle="1">
    <w:name w:val="Überschrift 4 Zchn"/>
    <w:basedOn w:val="650"/>
    <w:link w:val="644"/>
    <w:uiPriority w:val="9"/>
    <w:rPr>
      <w:rFonts w:ascii="Arial" w:hAnsi="Arial" w:cs="Arial" w:eastAsia="Arial"/>
      <w:b/>
      <w:bCs/>
      <w:sz w:val="26"/>
      <w:szCs w:val="26"/>
    </w:rPr>
  </w:style>
  <w:style w:type="character" w:styleId="674" w:customStyle="1">
    <w:name w:val="Überschrift 5 Zchn"/>
    <w:basedOn w:val="650"/>
    <w:link w:val="645"/>
    <w:uiPriority w:val="9"/>
    <w:rPr>
      <w:rFonts w:ascii="Arial" w:hAnsi="Arial" w:cs="Arial" w:eastAsia="Arial"/>
      <w:b/>
      <w:bCs/>
      <w:sz w:val="24"/>
      <w:szCs w:val="24"/>
    </w:rPr>
  </w:style>
  <w:style w:type="character" w:styleId="675" w:customStyle="1">
    <w:name w:val="Überschrift 6 Zchn"/>
    <w:basedOn w:val="650"/>
    <w:link w:val="646"/>
    <w:uiPriority w:val="9"/>
    <w:rPr>
      <w:rFonts w:ascii="Arial" w:hAnsi="Arial" w:cs="Arial" w:eastAsia="Arial"/>
      <w:b/>
      <w:bCs/>
      <w:sz w:val="22"/>
      <w:szCs w:val="22"/>
    </w:rPr>
  </w:style>
  <w:style w:type="character" w:styleId="676" w:customStyle="1">
    <w:name w:val="Überschrift 7 Zchn"/>
    <w:basedOn w:val="650"/>
    <w:link w:val="647"/>
    <w:uiPriority w:val="9"/>
    <w:rPr>
      <w:rFonts w:ascii="Arial" w:hAnsi="Arial" w:cs="Arial" w:eastAsia="Arial"/>
      <w:b/>
      <w:bCs/>
      <w:i/>
      <w:iCs/>
      <w:sz w:val="22"/>
      <w:szCs w:val="22"/>
    </w:rPr>
  </w:style>
  <w:style w:type="character" w:styleId="677" w:customStyle="1">
    <w:name w:val="Überschrift 8 Zchn"/>
    <w:basedOn w:val="650"/>
    <w:link w:val="648"/>
    <w:uiPriority w:val="9"/>
    <w:rPr>
      <w:rFonts w:ascii="Arial" w:hAnsi="Arial" w:cs="Arial" w:eastAsia="Arial"/>
      <w:i/>
      <w:iCs/>
      <w:sz w:val="22"/>
      <w:szCs w:val="22"/>
    </w:rPr>
  </w:style>
  <w:style w:type="character" w:styleId="678" w:customStyle="1">
    <w:name w:val="Überschrift 9 Zchn"/>
    <w:basedOn w:val="650"/>
    <w:link w:val="649"/>
    <w:uiPriority w:val="9"/>
    <w:rPr>
      <w:rFonts w:ascii="Arial" w:hAnsi="Arial" w:cs="Arial" w:eastAsia="Arial"/>
      <w:i/>
      <w:iCs/>
      <w:sz w:val="21"/>
      <w:szCs w:val="21"/>
    </w:rPr>
  </w:style>
  <w:style w:type="paragraph" w:styleId="679">
    <w:name w:val="List Paragraph"/>
    <w:basedOn w:val="640"/>
    <w:qFormat/>
    <w:uiPriority w:val="34"/>
    <w:pPr>
      <w:contextualSpacing w:val="true"/>
      <w:ind w:left="720"/>
    </w:pPr>
  </w:style>
  <w:style w:type="paragraph" w:styleId="680">
    <w:name w:val="No Spacing"/>
    <w:qFormat/>
    <w:uiPriority w:val="1"/>
    <w:pPr>
      <w:spacing w:lineRule="auto" w:line="240"/>
    </w:pPr>
  </w:style>
  <w:style w:type="character" w:styleId="681" w:customStyle="1">
    <w:name w:val="Titel Zchn"/>
    <w:basedOn w:val="650"/>
    <w:link w:val="838"/>
    <w:uiPriority w:val="10"/>
    <w:rPr>
      <w:sz w:val="48"/>
      <w:szCs w:val="48"/>
    </w:rPr>
  </w:style>
  <w:style w:type="character" w:styleId="682" w:customStyle="1">
    <w:name w:val="Untertitel Zchn"/>
    <w:basedOn w:val="650"/>
    <w:link w:val="839"/>
    <w:uiPriority w:val="11"/>
    <w:rPr>
      <w:sz w:val="24"/>
      <w:szCs w:val="24"/>
    </w:rPr>
  </w:style>
  <w:style w:type="paragraph" w:styleId="683">
    <w:name w:val="Quote"/>
    <w:basedOn w:val="640"/>
    <w:next w:val="640"/>
    <w:link w:val="684"/>
    <w:qFormat/>
    <w:uiPriority w:val="29"/>
    <w:rPr>
      <w:i/>
    </w:rPr>
    <w:pPr>
      <w:ind w:left="720" w:right="720"/>
    </w:pPr>
  </w:style>
  <w:style w:type="character" w:styleId="684" w:customStyle="1">
    <w:name w:val="Zitat Zchn"/>
    <w:link w:val="683"/>
    <w:uiPriority w:val="29"/>
    <w:rPr>
      <w:i/>
    </w:rPr>
  </w:style>
  <w:style w:type="paragraph" w:styleId="685">
    <w:name w:val="Intense Quote"/>
    <w:basedOn w:val="640"/>
    <w:next w:val="640"/>
    <w:link w:val="686"/>
    <w:qFormat/>
    <w:uiPriority w:val="30"/>
    <w:rPr>
      <w:i/>
    </w:rPr>
    <w:pPr>
      <w:ind w:left="720" w:right="720"/>
      <w:shd w:val="clear" w:fill="F2F2F2" w:color="auto"/>
      <w:pBdr>
        <w:left w:val="single" w:color="FFFFFF" w:sz="4" w:space="10"/>
        <w:top w:val="single" w:color="FFFFFF" w:sz="4" w:space="5"/>
        <w:right w:val="single" w:color="FFFFFF" w:sz="4" w:space="10"/>
        <w:bottom w:val="single" w:color="FFFFFF" w:sz="4" w:space="5"/>
      </w:pBdr>
    </w:pPr>
  </w:style>
  <w:style w:type="character" w:styleId="686" w:customStyle="1">
    <w:name w:val="Intensives Zitat Zchn"/>
    <w:link w:val="685"/>
    <w:uiPriority w:val="30"/>
    <w:rPr>
      <w:i/>
    </w:rPr>
  </w:style>
  <w:style w:type="paragraph" w:styleId="687">
    <w:name w:val="Header"/>
    <w:basedOn w:val="640"/>
    <w:link w:val="688"/>
    <w:uiPriority w:val="99"/>
    <w:unhideWhenUsed/>
    <w:pPr>
      <w:spacing w:lineRule="auto" w:line="240"/>
      <w:tabs>
        <w:tab w:val="center" w:pos="7143" w:leader="none"/>
        <w:tab w:val="right" w:pos="14287" w:leader="none"/>
      </w:tabs>
    </w:pPr>
  </w:style>
  <w:style w:type="character" w:styleId="688" w:customStyle="1">
    <w:name w:val="Kopfzeile Zchn"/>
    <w:basedOn w:val="650"/>
    <w:link w:val="687"/>
    <w:uiPriority w:val="99"/>
  </w:style>
  <w:style w:type="paragraph" w:styleId="689">
    <w:name w:val="Footer"/>
    <w:basedOn w:val="640"/>
    <w:link w:val="692"/>
    <w:uiPriority w:val="99"/>
    <w:unhideWhenUsed/>
    <w:pPr>
      <w:spacing w:lineRule="auto" w:line="240"/>
      <w:tabs>
        <w:tab w:val="center" w:pos="7143" w:leader="none"/>
        <w:tab w:val="right" w:pos="14287" w:leader="none"/>
      </w:tabs>
    </w:pPr>
  </w:style>
  <w:style w:type="character" w:styleId="690" w:customStyle="1">
    <w:name w:val="Footer Char"/>
    <w:basedOn w:val="650"/>
    <w:uiPriority w:val="99"/>
  </w:style>
  <w:style w:type="paragraph" w:styleId="691">
    <w:name w:val="Caption"/>
    <w:basedOn w:val="640"/>
    <w:next w:val="640"/>
    <w:qFormat/>
    <w:uiPriority w:val="35"/>
    <w:semiHidden/>
    <w:unhideWhenUsed/>
    <w:rPr>
      <w:b/>
      <w:bCs/>
      <w:color w:val="4F81BD" w:themeColor="accent1"/>
      <w:sz w:val="18"/>
      <w:szCs w:val="18"/>
    </w:rPr>
  </w:style>
  <w:style w:type="character" w:styleId="692" w:customStyle="1">
    <w:name w:val="Fußzeile Zchn"/>
    <w:link w:val="689"/>
    <w:uiPriority w:val="99"/>
  </w:style>
  <w:style w:type="table" w:styleId="693">
    <w:name w:val="Table Grid"/>
    <w:basedOn w:val="651"/>
    <w:uiPriority w:val="59"/>
    <w:pPr>
      <w:spacing w:lineRule="auto" w:line="240"/>
    </w:pPr>
    <w:tblPr>
      <w:tblBorders>
        <w:left w:val="single" w:color="000000" w:sz="4" w:space="0"/>
        <w:top w:val="single" w:color="000000" w:sz="4" w:space="0"/>
        <w:right w:val="single" w:color="000000" w:sz="4" w:space="0"/>
        <w:bottom w:val="single" w:color="000000" w:sz="4" w:space="0"/>
        <w:insideV w:val="single" w:color="000000" w:sz="4" w:space="0"/>
        <w:insideH w:val="single" w:color="000000" w:sz="4" w:space="0"/>
      </w:tblBorders>
    </w:tblPr>
  </w:style>
  <w:style w:type="table" w:styleId="694" w:customStyle="1">
    <w:name w:val="Table Grid Light"/>
    <w:basedOn w:val="651"/>
    <w:uiPriority w:val="59"/>
    <w:pPr>
      <w:spacing w:lineRule="auto" w:line="240"/>
    </w:pPr>
    <w:tblPr>
      <w:tblBorders>
        <w:left w:val="single" w:color="AFAFAF" w:sz="4" w:space="0" w:themeColor="text1" w:themeTint="50"/>
        <w:top w:val="single" w:color="AFAFAF" w:sz="4" w:space="0" w:themeColor="text1" w:themeTint="50"/>
        <w:right w:val="single" w:color="AFAFAF" w:sz="4" w:space="0" w:themeColor="text1" w:themeTint="50"/>
        <w:bottom w:val="single" w:color="AFAFAF" w:sz="4" w:space="0" w:themeColor="text1" w:themeTint="50"/>
        <w:insideV w:val="single" w:color="AFAFAF" w:sz="4" w:space="0" w:themeColor="text1" w:themeTint="50"/>
        <w:insideH w:val="single" w:color="AFAFAF" w:sz="4" w:space="0" w:themeColor="text1" w:themeTint="50"/>
      </w:tblBorders>
    </w:tblPr>
  </w:style>
  <w:style w:type="table" w:styleId="695">
    <w:name w:val="Plain Table 1"/>
    <w:basedOn w:val="651"/>
    <w:uiPriority w:val="59"/>
    <w:pPr>
      <w:spacing w:lineRule="auto" w:line="240"/>
    </w:pPr>
    <w:tblPr>
      <w:tblBorders>
        <w:left w:val="single" w:color="AFAFAF" w:sz="4" w:space="0" w:themeColor="text1" w:themeTint="50"/>
        <w:top w:val="single" w:color="AFAFAF" w:sz="4" w:space="0" w:themeColor="text1" w:themeTint="50"/>
        <w:right w:val="single" w:color="AFAFAF" w:sz="4" w:space="0" w:themeColor="text1" w:themeTint="50"/>
        <w:bottom w:val="single" w:color="AFAFAF" w:sz="4" w:space="0" w:themeColor="text1" w:themeTint="50"/>
        <w:insideV w:val="single" w:color="AFAFAF" w:sz="4" w:space="0" w:themeColor="text1" w:themeTint="50"/>
        <w:insideH w:val="single" w:color="AFAFAF" w:sz="4" w:space="0" w:themeColor="text1" w:themeTint="50"/>
      </w:tblBorders>
    </w:tblPr>
    <w:tblStylePr w:type="band1Horz">
      <w:tcPr>
        <w:shd w:val="clear" w:color="F2F2F2" w:fill="F2F2F2" w:themeFill="text1" w:themeFillTint="0D" w:themeColor="text1" w:themeTint="0D"/>
      </w:tcPr>
    </w:tblStylePr>
    <w:tblStylePr w:type="band1Vert">
      <w:tcPr>
        <w:shd w:val="clear" w:color="F2F2F2" w:fill="F2F2F2" w:themeFill="text1" w:themeFillTint="0D" w:themeColor="text1" w:themeTint="0D"/>
      </w:tcPr>
    </w:tblStylePr>
    <w:tblStylePr w:type="firstCol">
      <w:rPr>
        <w:rFonts w:ascii="Arial" w:hAnsi="Arial"/>
        <w:b/>
        <w:color w:val="404040"/>
        <w:sz w:val="22"/>
      </w:rPr>
    </w:tblStylePr>
    <w:tblStylePr w:type="firstRow">
      <w:rPr>
        <w:rFonts w:ascii="Arial" w:hAnsi="Arial"/>
        <w:b/>
        <w:color w:val="404040"/>
        <w:sz w:val="22"/>
      </w:rPr>
    </w:tblStylePr>
    <w:tblStylePr w:type="lastCol">
      <w:rPr>
        <w:rFonts w:ascii="Arial" w:hAnsi="Arial"/>
        <w:b/>
        <w:color w:val="404040"/>
        <w:sz w:val="22"/>
      </w:rPr>
    </w:tblStylePr>
    <w:tblStylePr w:type="lastRow">
      <w:rPr>
        <w:rFonts w:ascii="Arial" w:hAnsi="Arial"/>
        <w:b/>
        <w:color w:val="404040"/>
        <w:sz w:val="22"/>
      </w:rPr>
    </w:tblStylePr>
  </w:style>
  <w:style w:type="table" w:styleId="696">
    <w:name w:val="Plain Table 2"/>
    <w:basedOn w:val="651"/>
    <w:uiPriority w:val="59"/>
    <w:pPr>
      <w:spacing w:lineRule="auto" w:line="240"/>
    </w:pPr>
    <w:tblPr>
      <w:tblBorders>
        <w:left w:val="none" w:color="000000" w:sz="4" w:space="0" w:themeColor="text1"/>
        <w:top w:val="single" w:color="000000" w:sz="4" w:space="0" w:themeColor="text1"/>
        <w:right w:val="none" w:color="000000" w:sz="4" w:space="0" w:themeColor="text1"/>
        <w:bottom w:val="single" w:color="000000" w:sz="4" w:space="0" w:themeColor="text1"/>
      </w:tblBorders>
    </w:tblPr>
    <w:tblStylePr w:type="band1Horz">
      <w:tcPr>
        <w:tcBorders>
          <w:top w:val="single" w:color="000000" w:sz="4" w:space="0" w:themeColor="text1"/>
          <w:bottom w:val="single" w:color="000000" w:sz="4" w:space="0" w:themeColor="text1"/>
        </w:tcBorders>
      </w:tcPr>
    </w:tblStylePr>
    <w:tblStylePr w:type="band1Vert">
      <w:tcPr>
        <w:tcBorders>
          <w:left w:val="single" w:color="000000" w:sz="4" w:space="0" w:themeColor="text1"/>
          <w:right w:val="single" w:color="000000" w:sz="4" w:space="0" w:themeColor="text1"/>
        </w:tcBorders>
      </w:tcPr>
    </w:tblStylePr>
    <w:tblStylePr w:type="band2Vert">
      <w:tcPr>
        <w:tcBorders>
          <w:left w:val="single" w:color="000000" w:sz="4" w:space="0" w:themeColor="text1"/>
          <w:right w:val="single" w:color="000000" w:sz="4" w:space="0" w:themeColor="text1"/>
        </w:tcBorders>
      </w:tcPr>
    </w:tblStylePr>
    <w:tblStylePr w:type="firstCol">
      <w:rPr>
        <w:rFonts w:ascii="Arial" w:hAnsi="Arial"/>
        <w:b/>
        <w:color w:val="404040"/>
        <w:sz w:val="22"/>
      </w:rPr>
    </w:tblStylePr>
    <w:tblStylePr w:type="firstRow">
      <w:rPr>
        <w:rFonts w:ascii="Arial" w:hAnsi="Arial"/>
        <w:b/>
        <w:color w:val="404040"/>
        <w:sz w:val="22"/>
      </w:rPr>
      <w:tcPr>
        <w:tcBorders>
          <w:top w:val="single" w:color="000000" w:sz="4" w:space="0" w:themeColor="text1"/>
          <w:bottom w:val="single" w:color="000000" w:sz="4" w:space="0" w:themeColor="text1"/>
        </w:tcBorders>
      </w:tcPr>
    </w:tblStylePr>
    <w:tblStylePr w:type="lastCol">
      <w:rPr>
        <w:rFonts w:ascii="Arial" w:hAnsi="Arial"/>
        <w:b/>
        <w:color w:val="404040"/>
        <w:sz w:val="22"/>
      </w:rPr>
    </w:tblStylePr>
    <w:tblStylePr w:type="lastRow">
      <w:rPr>
        <w:rFonts w:ascii="Arial" w:hAnsi="Arial"/>
        <w:b/>
        <w:color w:val="404040"/>
        <w:sz w:val="22"/>
      </w:rPr>
    </w:tblStylePr>
  </w:style>
  <w:style w:type="table" w:styleId="697">
    <w:name w:val="Plain Table 3"/>
    <w:basedOn w:val="651"/>
    <w:uiPriority w:val="99"/>
    <w:pPr>
      <w:spacing w:lineRule="auto" w:line="240"/>
    </w:pPr>
    <w:tblPr>
      <w:tblStyleRowBandSize w:val="1"/>
      <w:tblStyleColBandSize w:val="1"/>
    </w:tblPr>
    <w:tblStylePr w:type="band1Horz">
      <w:rPr>
        <w:rFonts w:ascii="Arial" w:hAnsi="Arial"/>
        <w:color w:val="404040"/>
        <w:sz w:val="22"/>
      </w:rPr>
      <w:tcPr>
        <w:shd w:val="clear" w:color="F2F2F2" w:fill="F2F2F2" w:themeFill="text1" w:themeFillTint="0D" w:themeColor="text1" w:themeTint="0D"/>
      </w:tcPr>
    </w:tblStylePr>
    <w:tblStylePr w:type="band1Vert">
      <w:rPr>
        <w:rFonts w:ascii="Arial" w:hAnsi="Arial"/>
        <w:color w:val="404040"/>
        <w:sz w:val="22"/>
      </w:rPr>
      <w:tcPr>
        <w:shd w:val="clear" w:color="F2F2F2" w:fill="F2F2F2" w:themeFill="text1" w:themeFillTint="0D" w:themeColor="text1" w:themeTint="0D"/>
      </w:tcPr>
    </w:tblStylePr>
    <w:tblStylePr w:type="firstCol">
      <w:rPr>
        <w:b/>
        <w:caps/>
        <w:color w:val="404040"/>
      </w:rPr>
      <w:tcPr>
        <w:tcBorders>
          <w:left w:val="none" w:color="000000" w:sz="4" w:space="0"/>
          <w:top w:val="none" w:color="000000" w:sz="4" w:space="0"/>
          <w:right w:val="single" w:color="404040" w:sz="4" w:space="0"/>
          <w:bottom w:val="none" w:color="000000" w:sz="4" w:space="0"/>
        </w:tcBorders>
      </w:tcPr>
    </w:tblStylePr>
    <w:tblStylePr w:type="firstRow">
      <w:rPr>
        <w:b/>
        <w:caps/>
        <w:color w:val="404040"/>
      </w:rPr>
      <w:tcPr>
        <w:tcBorders>
          <w:left w:val="none" w:color="000000" w:sz="4" w:space="0"/>
          <w:top w:val="none" w:color="000000" w:sz="4" w:space="0"/>
          <w:right w:val="none" w:color="000000" w:sz="4" w:space="0"/>
          <w:bottom w:val="single" w:color="404040" w:sz="4" w:space="0"/>
        </w:tcBorders>
      </w:tcPr>
    </w:tblStylePr>
    <w:tblStylePr w:type="lastCol">
      <w:rPr>
        <w:b/>
        <w:caps/>
        <w:color w:val="404040"/>
      </w:rPr>
    </w:tblStylePr>
    <w:tblStylePr w:type="lastRow">
      <w:rPr>
        <w:b/>
        <w:caps/>
        <w:color w:val="404040"/>
      </w:rPr>
    </w:tblStylePr>
  </w:style>
  <w:style w:type="table" w:styleId="698">
    <w:name w:val="Plain Table 4"/>
    <w:basedOn w:val="651"/>
    <w:uiPriority w:val="99"/>
    <w:pPr>
      <w:spacing w:lineRule="auto" w:line="240"/>
    </w:pPr>
    <w:tblPr>
      <w:tblStyleRowBandSize w:val="1"/>
      <w:tblStyleColBandSize w:val="1"/>
    </w:tblPr>
    <w:tblStylePr w:type="band1Horz">
      <w:rPr>
        <w:rFonts w:ascii="Arial" w:hAnsi="Arial"/>
        <w:color w:val="404040"/>
        <w:sz w:val="22"/>
      </w:rPr>
      <w:tcPr>
        <w:shd w:val="clear" w:color="F2F2F2" w:fill="F2F2F2" w:themeFill="text1" w:themeFillTint="0D" w:themeColor="text1" w:themeTint="0D"/>
      </w:tcPr>
    </w:tblStylePr>
    <w:tblStylePr w:type="band1Vert">
      <w:rPr>
        <w:rFonts w:ascii="Arial" w:hAnsi="Arial"/>
        <w:color w:val="404040"/>
        <w:sz w:val="22"/>
      </w:rPr>
      <w:tcPr>
        <w:shd w:val="clear" w:color="F2F2F2" w:fill="F2F2F2" w:themeFill="text1" w:themeFillTint="0D" w:themeColor="text1" w:themeTint="0D"/>
      </w:tcPr>
    </w:tblStylePr>
    <w:tblStylePr w:type="firstCol">
      <w:rPr>
        <w:b/>
        <w:color w:val="404040"/>
      </w:rPr>
    </w:tblStylePr>
    <w:tblStylePr w:type="firstRow">
      <w:rPr>
        <w:b/>
        <w:color w:val="404040"/>
      </w:rPr>
    </w:tblStylePr>
    <w:tblStylePr w:type="lastCol">
      <w:rPr>
        <w:b/>
        <w:color w:val="404040"/>
      </w:rPr>
    </w:tblStylePr>
    <w:tblStylePr w:type="lastRow">
      <w:rPr>
        <w:b/>
        <w:color w:val="404040"/>
      </w:rPr>
    </w:tblStylePr>
  </w:style>
  <w:style w:type="table" w:styleId="699">
    <w:name w:val="Plain Table 5"/>
    <w:basedOn w:val="651"/>
    <w:uiPriority w:val="99"/>
    <w:pPr>
      <w:spacing w:lineRule="auto" w:line="240"/>
    </w:pPr>
    <w:tblPr>
      <w:tblStyleRowBandSize w:val="1"/>
      <w:tblStyleColBandSize w:val="1"/>
    </w:tblPr>
    <w:tblStylePr w:type="band1Horz">
      <w:rPr>
        <w:rFonts w:ascii="Arial" w:hAnsi="Arial"/>
        <w:color w:val="404040"/>
        <w:sz w:val="22"/>
      </w:rPr>
      <w:tcPr>
        <w:shd w:val="clear" w:color="F2F2F2" w:fill="F2F2F2" w:themeFill="text1" w:themeFillTint="0D" w:themeColor="text1" w:themeTint="0D"/>
      </w:tcPr>
    </w:tblStylePr>
    <w:tblStylePr w:type="band1Vert">
      <w:rPr>
        <w:rFonts w:ascii="Arial" w:hAnsi="Arial"/>
        <w:color w:val="404040"/>
        <w:sz w:val="22"/>
      </w:rPr>
      <w:tcPr>
        <w:shd w:val="clear" w:color="F2F2F2" w:fill="F2F2F2" w:themeFill="text1" w:themeFillTint="0D" w:themeColor="text1" w:themeTint="0D"/>
      </w:tcPr>
    </w:tblStylePr>
    <w:tblStylePr w:type="firstCol">
      <w:rPr>
        <w:i/>
        <w:color w:val="404040"/>
      </w:rPr>
      <w:pPr>
        <w:jc w:val="right"/>
      </w:pPr>
      <w:tcPr>
        <w:shd w:val="clear" w:color="FFFFFF" w:fill="auto"/>
        <w:tcBorders>
          <w:right w:val="single" w:color="404040" w:sz="4" w:space="0"/>
        </w:tcBorders>
      </w:tcPr>
    </w:tblStylePr>
    <w:tblStylePr w:type="firstRow">
      <w:rPr>
        <w:i/>
        <w:color w:val="404040"/>
      </w:rPr>
      <w:tcPr>
        <w:shd w:val="clear" w:color="FFFFFF" w:fill="auto"/>
        <w:tcBorders>
          <w:left w:val="none" w:color="000000" w:sz="4" w:space="0"/>
          <w:right w:val="none" w:color="000000" w:sz="4" w:space="0"/>
          <w:bottom w:val="single" w:color="404040" w:sz="4" w:space="0"/>
        </w:tcBorders>
      </w:tcPr>
    </w:tblStylePr>
    <w:tblStylePr w:type="lastCol">
      <w:rPr>
        <w:i/>
        <w:color w:val="404040"/>
      </w:rPr>
      <w:tcPr>
        <w:shd w:val="clear" w:color="FFFFFF" w:fill="auto"/>
        <w:tcBorders>
          <w:left w:val="single" w:color="404040" w:sz="4" w:space="0"/>
        </w:tcBorders>
      </w:tcPr>
    </w:tblStylePr>
    <w:tblStylePr w:type="lastRow">
      <w:rPr>
        <w:i/>
        <w:color w:val="404040"/>
      </w:rPr>
      <w:tcPr>
        <w:shd w:val="clear" w:color="FFFFFF" w:fill="auto"/>
        <w:tcBorders>
          <w:left w:val="none" w:color="000000" w:sz="4" w:space="0"/>
          <w:top w:val="single" w:color="404040" w:sz="4" w:space="0"/>
          <w:right w:val="none" w:color="000000" w:sz="4" w:space="0"/>
        </w:tcBorders>
      </w:tcPr>
    </w:tblStylePr>
  </w:style>
  <w:style w:type="table" w:styleId="700">
    <w:name w:val="Grid Table 1 Light"/>
    <w:basedOn w:val="651"/>
    <w:uiPriority w:val="99"/>
    <w:pPr>
      <w:spacing w:lineRule="auto" w:line="240"/>
    </w:pPr>
    <w:tblPr>
      <w:tblStyleRowBandSize w:val="1"/>
      <w:tblStyleColBandSize w:val="1"/>
      <w:tblBorders>
        <w:left w:val="single" w:color="989898" w:sz="4" w:space="0" w:themeColor="text1" w:themeTint="67"/>
        <w:top w:val="single" w:color="989898" w:sz="4" w:space="0" w:themeColor="text1" w:themeTint="67"/>
        <w:right w:val="single" w:color="989898" w:sz="4" w:space="0" w:themeColor="text1" w:themeTint="67"/>
        <w:bottom w:val="single" w:color="989898" w:sz="4" w:space="0" w:themeColor="text1" w:themeTint="67"/>
        <w:insideV w:val="single" w:color="989898" w:sz="4" w:space="0" w:themeColor="text1" w:themeTint="67"/>
        <w:insideH w:val="single" w:color="989898" w:sz="4" w:space="0" w:themeColor="text1" w:themeTint="67"/>
      </w:tblBorders>
    </w:tblPr>
    <w:tblStylePr w:type="band1Horz">
      <w:rPr>
        <w:rFonts w:ascii="Arial" w:hAnsi="Arial"/>
        <w:color w:val="404040"/>
        <w:sz w:val="22"/>
      </w:rPr>
      <w:tcPr>
        <w:tcBorders>
          <w:left w:val="single" w:color="989898" w:sz="4" w:space="0" w:themeColor="text1" w:themeTint="67"/>
          <w:top w:val="single" w:color="989898" w:sz="4" w:space="0" w:themeColor="text1" w:themeTint="67"/>
          <w:right w:val="single" w:color="989898" w:sz="4" w:space="0" w:themeColor="text1" w:themeTint="67"/>
          <w:bottom w:val="single" w:color="989898" w:sz="4" w:space="0" w:themeColor="text1" w:themeTint="67"/>
        </w:tcBorders>
      </w:tcPr>
    </w:tblStylePr>
    <w:tblStylePr w:type="firstCol">
      <w:rPr>
        <w:b/>
        <w:color w:val="404040"/>
      </w:rPr>
    </w:tblStylePr>
    <w:tblStylePr w:type="firstRow">
      <w:rPr>
        <w:b/>
        <w:color w:val="404040"/>
      </w:rPr>
      <w:tcPr>
        <w:tcBorders>
          <w:bottom w:val="single" w:color="6A6A6A" w:sz="12" w:space="0" w:themeColor="text1" w:themeTint="95"/>
        </w:tcBorders>
      </w:tcPr>
    </w:tblStylePr>
    <w:tblStylePr w:type="lastCol">
      <w:rPr>
        <w:b/>
        <w:color w:val="404040"/>
      </w:rPr>
    </w:tblStylePr>
    <w:tblStylePr w:type="lastRow">
      <w:rPr>
        <w:b/>
        <w:color w:val="404040"/>
      </w:rPr>
    </w:tblStylePr>
  </w:style>
  <w:style w:type="table" w:styleId="701" w:customStyle="1">
    <w:name w:val="Grid Table 1 Light - Accent 1"/>
    <w:basedOn w:val="651"/>
    <w:uiPriority w:val="99"/>
    <w:pPr>
      <w:spacing w:lineRule="auto" w:line="240"/>
    </w:pPr>
    <w:tblPr>
      <w:tblStyleRowBandSize w:val="1"/>
      <w:tblStyleColBandSize w:val="1"/>
      <w:tblBorders>
        <w:left w:val="single" w:color="B7CBE4" w:sz="4" w:space="0" w:themeColor="accent1" w:themeTint="67"/>
        <w:top w:val="single" w:color="B7CBE4" w:sz="4" w:space="0" w:themeColor="accent1" w:themeTint="67"/>
        <w:right w:val="single" w:color="B7CBE4" w:sz="4" w:space="0" w:themeColor="accent1" w:themeTint="67"/>
        <w:bottom w:val="single" w:color="B7CBE4" w:sz="4" w:space="0" w:themeColor="accent1" w:themeTint="67"/>
        <w:insideV w:val="single" w:color="B7CBE4" w:sz="4" w:space="0" w:themeColor="accent1" w:themeTint="67"/>
        <w:insideH w:val="single" w:color="B7CBE4" w:sz="4" w:space="0" w:themeColor="accent1" w:themeTint="67"/>
      </w:tblBorders>
    </w:tblPr>
    <w:tblStylePr w:type="band1Horz">
      <w:rPr>
        <w:rFonts w:ascii="Arial" w:hAnsi="Arial"/>
        <w:color w:val="404040"/>
        <w:sz w:val="22"/>
      </w:rPr>
      <w:tcPr>
        <w:tcBorders>
          <w:left w:val="single" w:color="B7CBE4" w:sz="4" w:space="0" w:themeColor="accent1" w:themeTint="67"/>
          <w:top w:val="single" w:color="B7CBE4" w:sz="4" w:space="0" w:themeColor="accent1" w:themeTint="67"/>
          <w:right w:val="single" w:color="B7CBE4" w:sz="4" w:space="0" w:themeColor="accent1" w:themeTint="67"/>
          <w:bottom w:val="single" w:color="B7CBE4" w:sz="4" w:space="0" w:themeColor="accent1" w:themeTint="67"/>
        </w:tcBorders>
      </w:tcPr>
    </w:tblStylePr>
    <w:tblStylePr w:type="firstCol">
      <w:rPr>
        <w:b/>
        <w:color w:val="404040"/>
      </w:rPr>
    </w:tblStylePr>
    <w:tblStylePr w:type="firstRow">
      <w:rPr>
        <w:b/>
        <w:color w:val="404040"/>
      </w:rPr>
      <w:tcPr>
        <w:tcBorders>
          <w:bottom w:val="single" w:color="97B4D8" w:sz="12" w:space="0" w:themeColor="accent1" w:themeTint="95"/>
        </w:tcBorders>
      </w:tcPr>
    </w:tblStylePr>
    <w:tblStylePr w:type="lastCol">
      <w:rPr>
        <w:b/>
        <w:color w:val="404040"/>
      </w:rPr>
    </w:tblStylePr>
    <w:tblStylePr w:type="lastRow">
      <w:rPr>
        <w:b/>
        <w:color w:val="404040"/>
      </w:rPr>
    </w:tblStylePr>
  </w:style>
  <w:style w:type="table" w:styleId="702" w:customStyle="1">
    <w:name w:val="Grid Table 1 Light - Accent 2"/>
    <w:basedOn w:val="651"/>
    <w:uiPriority w:val="99"/>
    <w:pPr>
      <w:spacing w:lineRule="auto" w:line="240"/>
    </w:pPr>
    <w:tblPr>
      <w:tblStyleRowBandSize w:val="1"/>
      <w:tblStyleColBandSize w:val="1"/>
      <w:tblBorders>
        <w:left w:val="single" w:color="E5B7B6" w:sz="4" w:space="0" w:themeColor="accent2" w:themeTint="67"/>
        <w:top w:val="single" w:color="E5B7B6" w:sz="4" w:space="0" w:themeColor="accent2" w:themeTint="67"/>
        <w:right w:val="single" w:color="E5B7B6" w:sz="4" w:space="0" w:themeColor="accent2" w:themeTint="67"/>
        <w:bottom w:val="single" w:color="E5B7B6" w:sz="4" w:space="0" w:themeColor="accent2" w:themeTint="67"/>
        <w:insideV w:val="single" w:color="E5B7B6" w:sz="4" w:space="0" w:themeColor="accent2" w:themeTint="67"/>
        <w:insideH w:val="single" w:color="E5B7B6" w:sz="4" w:space="0" w:themeColor="accent2" w:themeTint="67"/>
      </w:tblBorders>
    </w:tblPr>
    <w:tblStylePr w:type="band1Horz">
      <w:rPr>
        <w:rFonts w:ascii="Arial" w:hAnsi="Arial"/>
        <w:color w:val="404040"/>
        <w:sz w:val="22"/>
      </w:rPr>
      <w:tcPr>
        <w:tcBorders>
          <w:left w:val="single" w:color="E5B7B6" w:sz="4" w:space="0" w:themeColor="accent2" w:themeTint="67"/>
          <w:top w:val="single" w:color="E5B7B6" w:sz="4" w:space="0" w:themeColor="accent2" w:themeTint="67"/>
          <w:right w:val="single" w:color="E5B7B6" w:sz="4" w:space="0" w:themeColor="accent2" w:themeTint="67"/>
          <w:bottom w:val="single" w:color="E5B7B6" w:sz="4" w:space="0" w:themeColor="accent2" w:themeTint="67"/>
        </w:tcBorders>
      </w:tcPr>
    </w:tblStylePr>
    <w:tblStylePr w:type="firstCol">
      <w:rPr>
        <w:b/>
        <w:color w:val="404040"/>
      </w:rPr>
    </w:tblStylePr>
    <w:tblStylePr w:type="firstRow">
      <w:rPr>
        <w:b/>
        <w:color w:val="404040"/>
      </w:rPr>
      <w:tcPr>
        <w:tcBorders>
          <w:bottom w:val="single" w:color="DA9896" w:sz="12" w:space="0" w:themeColor="accent2" w:themeTint="95"/>
        </w:tcBorders>
      </w:tcPr>
    </w:tblStylePr>
    <w:tblStylePr w:type="lastCol">
      <w:rPr>
        <w:b/>
        <w:color w:val="404040"/>
      </w:rPr>
    </w:tblStylePr>
    <w:tblStylePr w:type="lastRow">
      <w:rPr>
        <w:b/>
        <w:color w:val="404040"/>
      </w:rPr>
    </w:tblStylePr>
  </w:style>
  <w:style w:type="table" w:styleId="703" w:customStyle="1">
    <w:name w:val="Grid Table 1 Light - Accent 3"/>
    <w:basedOn w:val="651"/>
    <w:uiPriority w:val="99"/>
    <w:pPr>
      <w:spacing w:lineRule="auto" w:line="240"/>
    </w:pPr>
    <w:tblPr>
      <w:tblStyleRowBandSize w:val="1"/>
      <w:tblStyleColBandSize w:val="1"/>
      <w:tblBorders>
        <w:left w:val="single" w:color="D6E3BB" w:sz="4" w:space="0" w:themeColor="accent3" w:themeTint="67"/>
        <w:top w:val="single" w:color="D6E3BB" w:sz="4" w:space="0" w:themeColor="accent3" w:themeTint="67"/>
        <w:right w:val="single" w:color="D6E3BB" w:sz="4" w:space="0" w:themeColor="accent3" w:themeTint="67"/>
        <w:bottom w:val="single" w:color="D6E3BB" w:sz="4" w:space="0" w:themeColor="accent3" w:themeTint="67"/>
        <w:insideV w:val="single" w:color="D6E3BB" w:sz="4" w:space="0" w:themeColor="accent3" w:themeTint="67"/>
        <w:insideH w:val="single" w:color="D6E3BB" w:sz="4" w:space="0" w:themeColor="accent3" w:themeTint="67"/>
      </w:tblBorders>
    </w:tblPr>
    <w:tblStylePr w:type="band1Horz">
      <w:rPr>
        <w:rFonts w:ascii="Arial" w:hAnsi="Arial"/>
        <w:color w:val="404040"/>
        <w:sz w:val="22"/>
      </w:rPr>
      <w:tcPr>
        <w:tcBorders>
          <w:left w:val="single" w:color="D6E3BB" w:sz="4" w:space="0" w:themeColor="accent3" w:themeTint="67"/>
          <w:top w:val="single" w:color="D6E3BB" w:sz="4" w:space="0" w:themeColor="accent3" w:themeTint="67"/>
          <w:right w:val="single" w:color="D6E3BB" w:sz="4" w:space="0" w:themeColor="accent3" w:themeTint="67"/>
          <w:bottom w:val="single" w:color="D6E3BB" w:sz="4" w:space="0" w:themeColor="accent3" w:themeTint="67"/>
        </w:tcBorders>
      </w:tcPr>
    </w:tblStylePr>
    <w:tblStylePr w:type="firstCol">
      <w:rPr>
        <w:b/>
        <w:color w:val="404040"/>
      </w:rPr>
    </w:tblStylePr>
    <w:tblStylePr w:type="firstRow">
      <w:rPr>
        <w:b/>
        <w:color w:val="404040"/>
      </w:rPr>
      <w:tcPr>
        <w:tcBorders>
          <w:bottom w:val="single" w:color="C4D79D" w:sz="12" w:space="0" w:themeColor="accent3" w:themeTint="95"/>
        </w:tcBorders>
      </w:tcPr>
    </w:tblStylePr>
    <w:tblStylePr w:type="lastCol">
      <w:rPr>
        <w:b/>
        <w:color w:val="404040"/>
      </w:rPr>
    </w:tblStylePr>
    <w:tblStylePr w:type="lastRow">
      <w:rPr>
        <w:b/>
        <w:color w:val="404040"/>
      </w:rPr>
    </w:tblStylePr>
  </w:style>
  <w:style w:type="table" w:styleId="704" w:customStyle="1">
    <w:name w:val="Grid Table 1 Light - Accent 4"/>
    <w:basedOn w:val="651"/>
    <w:uiPriority w:val="99"/>
    <w:pPr>
      <w:spacing w:lineRule="auto" w:line="240"/>
    </w:pPr>
    <w:tblPr>
      <w:tblStyleRowBandSize w:val="1"/>
      <w:tblStyleColBandSize w:val="1"/>
      <w:tblBorders>
        <w:left w:val="single" w:color="CBC0D9" w:sz="4" w:space="0" w:themeColor="accent4" w:themeTint="67"/>
        <w:top w:val="single" w:color="CBC0D9" w:sz="4" w:space="0" w:themeColor="accent4" w:themeTint="67"/>
        <w:right w:val="single" w:color="CBC0D9" w:sz="4" w:space="0" w:themeColor="accent4" w:themeTint="67"/>
        <w:bottom w:val="single" w:color="CBC0D9" w:sz="4" w:space="0" w:themeColor="accent4" w:themeTint="67"/>
        <w:insideV w:val="single" w:color="CBC0D9" w:sz="4" w:space="0" w:themeColor="accent4" w:themeTint="67"/>
        <w:insideH w:val="single" w:color="CBC0D9" w:sz="4" w:space="0" w:themeColor="accent4" w:themeTint="67"/>
      </w:tblBorders>
    </w:tblPr>
    <w:tblStylePr w:type="band1Horz">
      <w:rPr>
        <w:rFonts w:ascii="Arial" w:hAnsi="Arial"/>
        <w:color w:val="404040"/>
        <w:sz w:val="22"/>
      </w:rPr>
      <w:tcPr>
        <w:tcBorders>
          <w:left w:val="single" w:color="CBC0D9" w:sz="4" w:space="0" w:themeColor="accent4" w:themeTint="67"/>
          <w:top w:val="single" w:color="CBC0D9" w:sz="4" w:space="0" w:themeColor="accent4" w:themeTint="67"/>
          <w:right w:val="single" w:color="CBC0D9" w:sz="4" w:space="0" w:themeColor="accent4" w:themeTint="67"/>
          <w:bottom w:val="single" w:color="CBC0D9" w:sz="4" w:space="0" w:themeColor="accent4" w:themeTint="67"/>
        </w:tcBorders>
      </w:tcPr>
    </w:tblStylePr>
    <w:tblStylePr w:type="firstCol">
      <w:rPr>
        <w:b/>
        <w:color w:val="404040"/>
      </w:rPr>
    </w:tblStylePr>
    <w:tblStylePr w:type="firstRow">
      <w:rPr>
        <w:b/>
        <w:color w:val="404040"/>
      </w:rPr>
      <w:tcPr>
        <w:tcBorders>
          <w:bottom w:val="single" w:color="B4A4C8" w:sz="12" w:space="0" w:themeColor="accent4" w:themeTint="95"/>
        </w:tcBorders>
      </w:tcPr>
    </w:tblStylePr>
    <w:tblStylePr w:type="lastCol">
      <w:rPr>
        <w:b/>
        <w:color w:val="404040"/>
      </w:rPr>
    </w:tblStylePr>
    <w:tblStylePr w:type="lastRow">
      <w:rPr>
        <w:b/>
        <w:color w:val="404040"/>
      </w:rPr>
    </w:tblStylePr>
  </w:style>
  <w:style w:type="table" w:styleId="705" w:customStyle="1">
    <w:name w:val="Grid Table 1 Light - Accent 5"/>
    <w:basedOn w:val="651"/>
    <w:uiPriority w:val="99"/>
    <w:pPr>
      <w:spacing w:lineRule="auto" w:line="240"/>
    </w:pPr>
    <w:tblPr>
      <w:tblStyleRowBandSize w:val="1"/>
      <w:tblStyleColBandSize w:val="1"/>
      <w:tblBorders>
        <w:left w:val="single" w:color="B6DDE8" w:sz="4" w:space="0" w:themeColor="accent5" w:themeTint="67"/>
        <w:top w:val="single" w:color="B6DDE8" w:sz="4" w:space="0" w:themeColor="accent5" w:themeTint="67"/>
        <w:right w:val="single" w:color="B6DDE8" w:sz="4" w:space="0" w:themeColor="accent5" w:themeTint="67"/>
        <w:bottom w:val="single" w:color="B6DDE8" w:sz="4" w:space="0" w:themeColor="accent5" w:themeTint="67"/>
        <w:insideV w:val="single" w:color="B6DDE8" w:sz="4" w:space="0" w:themeColor="accent5" w:themeTint="67"/>
        <w:insideH w:val="single" w:color="B6DDE8" w:sz="4" w:space="0" w:themeColor="accent5" w:themeTint="67"/>
      </w:tblBorders>
    </w:tblPr>
    <w:tblStylePr w:type="band1Horz">
      <w:rPr>
        <w:rFonts w:ascii="Arial" w:hAnsi="Arial"/>
        <w:color w:val="404040"/>
        <w:sz w:val="22"/>
      </w:rPr>
      <w:tcPr>
        <w:tcBorders>
          <w:left w:val="single" w:color="B6DDE8" w:sz="4" w:space="0" w:themeColor="accent5" w:themeTint="67"/>
          <w:top w:val="single" w:color="B6DDE8" w:sz="4" w:space="0" w:themeColor="accent5" w:themeTint="67"/>
          <w:right w:val="single" w:color="B6DDE8" w:sz="4" w:space="0" w:themeColor="accent5" w:themeTint="67"/>
          <w:bottom w:val="single" w:color="B6DDE8" w:sz="4" w:space="0" w:themeColor="accent5" w:themeTint="67"/>
        </w:tcBorders>
      </w:tcPr>
    </w:tblStylePr>
    <w:tblStylePr w:type="firstCol">
      <w:rPr>
        <w:b/>
        <w:color w:val="404040"/>
      </w:rPr>
    </w:tblStylePr>
    <w:tblStylePr w:type="firstRow">
      <w:rPr>
        <w:b/>
        <w:color w:val="404040"/>
      </w:rPr>
      <w:tcPr>
        <w:tcBorders>
          <w:bottom w:val="single" w:color="95CEDD" w:sz="12" w:space="0" w:themeColor="accent5" w:themeTint="95"/>
        </w:tcBorders>
      </w:tcPr>
    </w:tblStylePr>
    <w:tblStylePr w:type="lastCol">
      <w:rPr>
        <w:b/>
        <w:color w:val="404040"/>
      </w:rPr>
    </w:tblStylePr>
    <w:tblStylePr w:type="lastRow">
      <w:rPr>
        <w:b/>
        <w:color w:val="404040"/>
      </w:rPr>
    </w:tblStylePr>
  </w:style>
  <w:style w:type="table" w:styleId="706" w:customStyle="1">
    <w:name w:val="Grid Table 1 Light - Accent 6"/>
    <w:basedOn w:val="651"/>
    <w:uiPriority w:val="99"/>
    <w:pPr>
      <w:spacing w:lineRule="auto" w:line="240"/>
    </w:pPr>
    <w:tblPr>
      <w:tblStyleRowBandSize w:val="1"/>
      <w:tblStyleColBandSize w:val="1"/>
      <w:tblBorders>
        <w:left w:val="single" w:color="FBD4B4" w:sz="4" w:space="0" w:themeColor="accent6" w:themeTint="67"/>
        <w:top w:val="single" w:color="FBD4B4" w:sz="4" w:space="0" w:themeColor="accent6" w:themeTint="67"/>
        <w:right w:val="single" w:color="FBD4B4" w:sz="4" w:space="0" w:themeColor="accent6" w:themeTint="67"/>
        <w:bottom w:val="single" w:color="FBD4B4" w:sz="4" w:space="0" w:themeColor="accent6" w:themeTint="67"/>
        <w:insideV w:val="single" w:color="FBD4B4" w:sz="4" w:space="0" w:themeColor="accent6" w:themeTint="67"/>
        <w:insideH w:val="single" w:color="FBD4B4" w:sz="4" w:space="0" w:themeColor="accent6" w:themeTint="67"/>
      </w:tblBorders>
    </w:tblPr>
    <w:tblStylePr w:type="band1Horz">
      <w:rPr>
        <w:rFonts w:ascii="Arial" w:hAnsi="Arial"/>
        <w:color w:val="404040"/>
        <w:sz w:val="22"/>
      </w:rPr>
      <w:tcPr>
        <w:tcBorders>
          <w:left w:val="single" w:color="FBD4B4" w:sz="4" w:space="0" w:themeColor="accent6" w:themeTint="67"/>
          <w:top w:val="single" w:color="FBD4B4" w:sz="4" w:space="0" w:themeColor="accent6" w:themeTint="67"/>
          <w:right w:val="single" w:color="FBD4B4" w:sz="4" w:space="0" w:themeColor="accent6" w:themeTint="67"/>
          <w:bottom w:val="single" w:color="FBD4B4" w:sz="4" w:space="0" w:themeColor="accent6" w:themeTint="67"/>
        </w:tcBorders>
      </w:tcPr>
    </w:tblStylePr>
    <w:tblStylePr w:type="firstCol">
      <w:rPr>
        <w:b/>
        <w:color w:val="404040"/>
      </w:rPr>
    </w:tblStylePr>
    <w:tblStylePr w:type="firstRow">
      <w:rPr>
        <w:b/>
        <w:color w:val="404040"/>
      </w:rPr>
      <w:tcPr>
        <w:tcBorders>
          <w:bottom w:val="single" w:color="FAC192" w:sz="12" w:space="0" w:themeColor="accent6" w:themeTint="95"/>
        </w:tcBorders>
      </w:tcPr>
    </w:tblStylePr>
    <w:tblStylePr w:type="lastCol">
      <w:rPr>
        <w:b/>
        <w:color w:val="404040"/>
      </w:rPr>
    </w:tblStylePr>
    <w:tblStylePr w:type="lastRow">
      <w:rPr>
        <w:b/>
        <w:color w:val="404040"/>
      </w:rPr>
    </w:tblStylePr>
  </w:style>
  <w:style w:type="table" w:styleId="707">
    <w:name w:val="Grid Table 2"/>
    <w:basedOn w:val="651"/>
    <w:uiPriority w:val="99"/>
    <w:pPr>
      <w:spacing w:lineRule="auto" w:line="240"/>
    </w:pPr>
    <w:tblPr>
      <w:tblStyleRowBandSize w:val="1"/>
      <w:tblStyleColBandSize w:val="1"/>
      <w:tblBorders>
        <w:bottom w:val="single" w:color="6A6A6A" w:sz="4" w:space="0" w:themeColor="text1" w:themeTint="95"/>
        <w:insideV w:val="single" w:color="6A6A6A" w:sz="4" w:space="0" w:themeColor="text1" w:themeTint="95"/>
        <w:insideH w:val="single" w:color="6A6A6A" w:sz="4" w:space="0" w:themeColor="text1" w:themeTint="95"/>
      </w:tblBorders>
    </w:tblPr>
    <w:tblStylePr w:type="band1Horz">
      <w:rPr>
        <w:rFonts w:ascii="Arial" w:hAnsi="Arial"/>
        <w:color w:val="404040"/>
        <w:sz w:val="22"/>
      </w:rPr>
      <w:tcPr>
        <w:shd w:val="clear" w:color="CBCBCB" w:fill="CBCBCB" w:themeFill="text1" w:themeFillTint="34" w:themeColor="text1" w:themeTint="34"/>
      </w:tcPr>
    </w:tblStylePr>
    <w:tblStylePr w:type="band1Vert">
      <w:rPr>
        <w:rFonts w:ascii="Arial" w:hAnsi="Arial"/>
        <w:color w:val="404040"/>
        <w:sz w:val="22"/>
      </w:rPr>
      <w:tcPr>
        <w:shd w:val="clear" w:color="CBCBCB" w:fill="CBCBCB" w:themeFill="text1" w:themeFillTint="34" w:themeColor="text1" w:themeTint="34"/>
      </w:tcPr>
    </w:tblStylePr>
    <w:tblStylePr w:type="firstCol">
      <w:rPr>
        <w:b/>
        <w:color w:val="404040"/>
      </w:rPr>
    </w:tblStylePr>
    <w:tblStylePr w:type="firstRow">
      <w:rPr>
        <w:b/>
        <w:color w:val="404040"/>
      </w:rPr>
      <w:tcPr>
        <w:shd w:val="clear" w:color="FFFFFF" w:fill="auto"/>
        <w:tcBorders>
          <w:left w:val="none" w:color="000000" w:sz="4" w:space="0"/>
          <w:top w:val="none" w:color="000000" w:sz="4" w:space="0"/>
          <w:right w:val="none" w:color="000000" w:sz="4" w:space="0"/>
          <w:bottom w:val="single" w:color="6A6A6A" w:sz="12" w:space="0" w:themeColor="text1" w:themeTint="95"/>
        </w:tcBorders>
      </w:tcPr>
    </w:tblStylePr>
    <w:tblStylePr w:type="lastCol">
      <w:rPr>
        <w:b/>
        <w:color w:val="404040"/>
      </w:rPr>
    </w:tblStylePr>
    <w:tblStylePr w:type="lastRow">
      <w:rPr>
        <w:b/>
        <w:color w:val="404040"/>
      </w:rPr>
      <w:tcPr>
        <w:shd w:val="clear" w:color="FFFFFF" w:fill="auto"/>
        <w:tcBorders>
          <w:left w:val="none" w:color="000000" w:sz="4" w:space="0"/>
          <w:top w:val="single" w:color="6A6A6A" w:sz="4" w:space="0" w:themeColor="text1" w:themeTint="95"/>
          <w:right w:val="none" w:color="000000" w:sz="4" w:space="0"/>
          <w:bottom w:val="none" w:color="000000" w:sz="4" w:space="0"/>
        </w:tcBorders>
      </w:tcPr>
    </w:tblStylePr>
  </w:style>
  <w:style w:type="table" w:styleId="708" w:customStyle="1">
    <w:name w:val="Grid Table 2 - Accent 1"/>
    <w:basedOn w:val="651"/>
    <w:uiPriority w:val="99"/>
    <w:pPr>
      <w:spacing w:lineRule="auto" w:line="240"/>
    </w:pPr>
    <w:tblPr>
      <w:tblStyleRowBandSize w:val="1"/>
      <w:tblStyleColBandSize w:val="1"/>
      <w:tblBorders>
        <w:bottom w:val="single" w:color="5D8AC2" w:sz="4" w:space="0" w:themeColor="accent1" w:themeTint="EA"/>
        <w:insideV w:val="single" w:color="5D8AC2" w:sz="4" w:space="0" w:themeColor="accent1" w:themeTint="EA"/>
        <w:insideH w:val="single" w:color="5D8AC2" w:sz="4" w:space="0" w:themeColor="accent1" w:themeTint="EA"/>
      </w:tblBorders>
    </w:tblPr>
    <w:tblStylePr w:type="band1Horz">
      <w:rPr>
        <w:rFonts w:ascii="Arial" w:hAnsi="Arial"/>
        <w:color w:val="404040"/>
        <w:sz w:val="22"/>
      </w:rPr>
      <w:tcPr>
        <w:shd w:val="clear" w:color="DAE5F1" w:fill="DAE5F1" w:themeFill="accent1" w:themeFillTint="34" w:themeColor="accent1" w:themeTint="34"/>
      </w:tcPr>
    </w:tblStylePr>
    <w:tblStylePr w:type="band1Vert">
      <w:rPr>
        <w:rFonts w:ascii="Arial" w:hAnsi="Arial"/>
        <w:color w:val="404040"/>
        <w:sz w:val="22"/>
      </w:rPr>
      <w:tcPr>
        <w:shd w:val="clear" w:color="DAE5F1" w:fill="DAE5F1" w:themeFill="accent1" w:themeFillTint="34" w:themeColor="accent1" w:themeTint="34"/>
      </w:tcPr>
    </w:tblStylePr>
    <w:tblStylePr w:type="firstCol">
      <w:rPr>
        <w:b/>
        <w:color w:val="404040"/>
      </w:rPr>
    </w:tblStylePr>
    <w:tblStylePr w:type="firstRow">
      <w:rPr>
        <w:b/>
        <w:color w:val="404040"/>
      </w:rPr>
      <w:tcPr>
        <w:shd w:val="clear" w:color="FFFFFF" w:fill="auto"/>
        <w:tcBorders>
          <w:left w:val="none" w:color="000000" w:sz="4" w:space="0"/>
          <w:top w:val="none" w:color="000000" w:sz="4" w:space="0"/>
          <w:right w:val="none" w:color="000000" w:sz="4" w:space="0"/>
          <w:bottom w:val="single" w:color="5D8AC2" w:sz="12" w:space="0" w:themeColor="accent1" w:themeTint="EA"/>
        </w:tcBorders>
      </w:tcPr>
    </w:tblStylePr>
    <w:tblStylePr w:type="lastCol">
      <w:rPr>
        <w:b/>
        <w:color w:val="404040"/>
      </w:rPr>
    </w:tblStylePr>
    <w:tblStylePr w:type="lastRow">
      <w:rPr>
        <w:b/>
        <w:color w:val="404040"/>
      </w:rPr>
      <w:tcPr>
        <w:shd w:val="clear" w:color="FFFFFF" w:fill="auto"/>
        <w:tcBorders>
          <w:left w:val="none" w:color="000000" w:sz="4" w:space="0"/>
          <w:top w:val="single" w:color="5D8AC2" w:sz="4" w:space="0" w:themeColor="accent1" w:themeTint="EA"/>
          <w:right w:val="none" w:color="000000" w:sz="4" w:space="0"/>
          <w:bottom w:val="none" w:color="000000" w:sz="4" w:space="0"/>
        </w:tcBorders>
      </w:tcPr>
    </w:tblStylePr>
  </w:style>
  <w:style w:type="table" w:styleId="709" w:customStyle="1">
    <w:name w:val="Grid Table 2 - Accent 2"/>
    <w:basedOn w:val="651"/>
    <w:uiPriority w:val="99"/>
    <w:pPr>
      <w:spacing w:lineRule="auto" w:line="240"/>
    </w:pPr>
    <w:tblPr>
      <w:tblStyleRowBandSize w:val="1"/>
      <w:tblStyleColBandSize w:val="1"/>
      <w:tblBorders>
        <w:bottom w:val="single" w:color="D99695" w:sz="4" w:space="0" w:themeColor="accent2" w:themeTint="97"/>
        <w:insideV w:val="single" w:color="D99695" w:sz="4" w:space="0" w:themeColor="accent2" w:themeTint="97"/>
        <w:insideH w:val="single" w:color="D99695" w:sz="4" w:space="0" w:themeColor="accent2" w:themeTint="97"/>
      </w:tblBorders>
    </w:tblPr>
    <w:tblStylePr w:type="band1Horz">
      <w:rPr>
        <w:rFonts w:ascii="Arial" w:hAnsi="Arial"/>
        <w:color w:val="404040"/>
        <w:sz w:val="22"/>
      </w:rPr>
      <w:tcPr>
        <w:shd w:val="clear" w:color="F2DCDC" w:fill="F2DCDC" w:themeFill="accent2" w:themeFillTint="32" w:themeColor="accent2" w:themeTint="32"/>
      </w:tcPr>
    </w:tblStylePr>
    <w:tblStylePr w:type="band1Vert">
      <w:rPr>
        <w:rFonts w:ascii="Arial" w:hAnsi="Arial"/>
        <w:color w:val="404040"/>
        <w:sz w:val="22"/>
      </w:rPr>
      <w:tcPr>
        <w:shd w:val="clear" w:color="F2DCDC" w:fill="F2DCDC" w:themeFill="accent2" w:themeFillTint="32" w:themeColor="accent2" w:themeTint="32"/>
      </w:tcPr>
    </w:tblStylePr>
    <w:tblStylePr w:type="firstCol">
      <w:rPr>
        <w:b/>
        <w:color w:val="404040"/>
      </w:rPr>
    </w:tblStylePr>
    <w:tblStylePr w:type="firstRow">
      <w:rPr>
        <w:b/>
        <w:color w:val="404040"/>
      </w:rPr>
      <w:tcPr>
        <w:shd w:val="clear" w:color="FFFFFF" w:fill="auto"/>
        <w:tcBorders>
          <w:left w:val="none" w:color="000000" w:sz="4" w:space="0"/>
          <w:top w:val="none" w:color="000000" w:sz="4" w:space="0"/>
          <w:right w:val="none" w:color="000000" w:sz="4" w:space="0"/>
          <w:bottom w:val="single" w:color="D99695" w:sz="12" w:space="0" w:themeColor="accent2" w:themeTint="97"/>
        </w:tcBorders>
      </w:tcPr>
    </w:tblStylePr>
    <w:tblStylePr w:type="lastCol">
      <w:rPr>
        <w:b/>
        <w:color w:val="404040"/>
      </w:rPr>
    </w:tblStylePr>
    <w:tblStylePr w:type="lastRow">
      <w:rPr>
        <w:b/>
        <w:color w:val="404040"/>
      </w:rPr>
      <w:tcPr>
        <w:shd w:val="clear" w:color="FFFFFF" w:fill="auto"/>
        <w:tcBorders>
          <w:left w:val="none" w:color="000000" w:sz="4" w:space="0"/>
          <w:top w:val="single" w:color="D99695" w:sz="4" w:space="0" w:themeColor="accent2" w:themeTint="97"/>
          <w:right w:val="none" w:color="000000" w:sz="4" w:space="0"/>
          <w:bottom w:val="none" w:color="000000" w:sz="4" w:space="0"/>
        </w:tcBorders>
      </w:tcPr>
    </w:tblStylePr>
  </w:style>
  <w:style w:type="table" w:styleId="710" w:customStyle="1">
    <w:name w:val="Grid Table 2 - Accent 3"/>
    <w:basedOn w:val="651"/>
    <w:uiPriority w:val="99"/>
    <w:pPr>
      <w:spacing w:lineRule="auto" w:line="240"/>
    </w:pPr>
    <w:tblPr>
      <w:tblStyleRowBandSize w:val="1"/>
      <w:tblStyleColBandSize w:val="1"/>
      <w:tblBorders>
        <w:bottom w:val="single" w:color="9ABB59" w:sz="4" w:space="0" w:themeColor="accent3" w:themeTint="FE"/>
        <w:insideV w:val="single" w:color="9ABB59" w:sz="4" w:space="0" w:themeColor="accent3" w:themeTint="FE"/>
        <w:insideH w:val="single" w:color="9ABB59" w:sz="4" w:space="0" w:themeColor="accent3" w:themeTint="FE"/>
      </w:tblBorders>
    </w:tblPr>
    <w:tblStylePr w:type="band1Horz">
      <w:rPr>
        <w:rFonts w:ascii="Arial" w:hAnsi="Arial"/>
        <w:color w:val="404040"/>
        <w:sz w:val="22"/>
      </w:rPr>
      <w:tcPr>
        <w:shd w:val="clear" w:color="EAF1DC" w:fill="EAF1DC" w:themeFill="accent3" w:themeFillTint="34" w:themeColor="accent3" w:themeTint="34"/>
      </w:tcPr>
    </w:tblStylePr>
    <w:tblStylePr w:type="band1Vert">
      <w:rPr>
        <w:rFonts w:ascii="Arial" w:hAnsi="Arial"/>
        <w:color w:val="404040"/>
        <w:sz w:val="22"/>
      </w:rPr>
      <w:tcPr>
        <w:shd w:val="clear" w:color="EAF1DC" w:fill="EAF1DC" w:themeFill="accent3" w:themeFillTint="34" w:themeColor="accent3" w:themeTint="34"/>
      </w:tcPr>
    </w:tblStylePr>
    <w:tblStylePr w:type="firstCol">
      <w:rPr>
        <w:b/>
        <w:color w:val="404040"/>
      </w:rPr>
    </w:tblStylePr>
    <w:tblStylePr w:type="firstRow">
      <w:rPr>
        <w:b/>
        <w:color w:val="404040"/>
      </w:rPr>
      <w:tcPr>
        <w:shd w:val="clear" w:color="FFFFFF" w:fill="auto"/>
        <w:tcBorders>
          <w:left w:val="none" w:color="000000" w:sz="4" w:space="0"/>
          <w:top w:val="none" w:color="000000" w:sz="4" w:space="0"/>
          <w:right w:val="none" w:color="000000" w:sz="4" w:space="0"/>
          <w:bottom w:val="single" w:color="9ABB59" w:sz="12" w:space="0" w:themeColor="accent3" w:themeTint="FE"/>
        </w:tcBorders>
      </w:tcPr>
    </w:tblStylePr>
    <w:tblStylePr w:type="lastCol">
      <w:rPr>
        <w:b/>
        <w:color w:val="404040"/>
      </w:rPr>
    </w:tblStylePr>
    <w:tblStylePr w:type="lastRow">
      <w:rPr>
        <w:b/>
        <w:color w:val="404040"/>
      </w:rPr>
      <w:tcPr>
        <w:shd w:val="clear" w:color="FFFFFF" w:fill="auto"/>
        <w:tcBorders>
          <w:left w:val="none" w:color="000000" w:sz="4" w:space="0"/>
          <w:top w:val="single" w:color="9ABB59" w:sz="4" w:space="0" w:themeColor="accent3" w:themeTint="FE"/>
          <w:right w:val="none" w:color="000000" w:sz="4" w:space="0"/>
          <w:bottom w:val="none" w:color="000000" w:sz="4" w:space="0"/>
        </w:tcBorders>
      </w:tcPr>
    </w:tblStylePr>
  </w:style>
  <w:style w:type="table" w:styleId="711" w:customStyle="1">
    <w:name w:val="Grid Table 2 - Accent 4"/>
    <w:basedOn w:val="651"/>
    <w:uiPriority w:val="99"/>
    <w:pPr>
      <w:spacing w:lineRule="auto" w:line="240"/>
    </w:pPr>
    <w:tblPr>
      <w:tblStyleRowBandSize w:val="1"/>
      <w:tblStyleColBandSize w:val="1"/>
      <w:tblBorders>
        <w:bottom w:val="single" w:color="B2A1C6" w:sz="4" w:space="0" w:themeColor="accent4" w:themeTint="9A"/>
        <w:insideV w:val="single" w:color="B2A1C6" w:sz="4" w:space="0" w:themeColor="accent4" w:themeTint="9A"/>
        <w:insideH w:val="single" w:color="B2A1C6" w:sz="4" w:space="0" w:themeColor="accent4" w:themeTint="9A"/>
      </w:tblBorders>
    </w:tblPr>
    <w:tblStylePr w:type="band1Horz">
      <w:rPr>
        <w:rFonts w:ascii="Arial" w:hAnsi="Arial"/>
        <w:color w:val="404040"/>
        <w:sz w:val="22"/>
      </w:rPr>
      <w:tcPr>
        <w:shd w:val="clear" w:color="E5DFEC" w:fill="E5DFEC" w:themeFill="accent4" w:themeFillTint="34" w:themeColor="accent4" w:themeTint="34"/>
      </w:tcPr>
    </w:tblStylePr>
    <w:tblStylePr w:type="band1Vert">
      <w:rPr>
        <w:rFonts w:ascii="Arial" w:hAnsi="Arial"/>
        <w:color w:val="404040"/>
        <w:sz w:val="22"/>
      </w:rPr>
      <w:tcPr>
        <w:shd w:val="clear" w:color="E5DFEC" w:fill="E5DFEC" w:themeFill="accent4" w:themeFillTint="34" w:themeColor="accent4" w:themeTint="34"/>
      </w:tcPr>
    </w:tblStylePr>
    <w:tblStylePr w:type="firstCol">
      <w:rPr>
        <w:b/>
        <w:color w:val="404040"/>
      </w:rPr>
    </w:tblStylePr>
    <w:tblStylePr w:type="firstRow">
      <w:rPr>
        <w:b/>
        <w:color w:val="404040"/>
      </w:rPr>
      <w:tcPr>
        <w:shd w:val="clear" w:color="FFFFFF" w:fill="auto"/>
        <w:tcBorders>
          <w:left w:val="none" w:color="000000" w:sz="4" w:space="0"/>
          <w:top w:val="none" w:color="000000" w:sz="4" w:space="0"/>
          <w:right w:val="none" w:color="000000" w:sz="4" w:space="0"/>
          <w:bottom w:val="single" w:color="B2A1C6" w:sz="12" w:space="0" w:themeColor="accent4" w:themeTint="9A"/>
        </w:tcBorders>
      </w:tcPr>
    </w:tblStylePr>
    <w:tblStylePr w:type="lastCol">
      <w:rPr>
        <w:b/>
        <w:color w:val="404040"/>
      </w:rPr>
    </w:tblStylePr>
    <w:tblStylePr w:type="lastRow">
      <w:rPr>
        <w:b/>
        <w:color w:val="404040"/>
      </w:rPr>
      <w:tcPr>
        <w:shd w:val="clear" w:color="FFFFFF" w:fill="auto"/>
        <w:tcBorders>
          <w:left w:val="none" w:color="000000" w:sz="4" w:space="0"/>
          <w:top w:val="single" w:color="B2A1C6" w:sz="4" w:space="0" w:themeColor="accent4" w:themeTint="9A"/>
          <w:right w:val="none" w:color="000000" w:sz="4" w:space="0"/>
          <w:bottom w:val="none" w:color="000000" w:sz="4" w:space="0"/>
        </w:tcBorders>
      </w:tcPr>
    </w:tblStylePr>
  </w:style>
  <w:style w:type="table" w:styleId="712" w:customStyle="1">
    <w:name w:val="Grid Table 2 - Accent 5"/>
    <w:basedOn w:val="651"/>
    <w:uiPriority w:val="99"/>
    <w:pPr>
      <w:spacing w:lineRule="auto" w:line="240"/>
    </w:pPr>
    <w:tblPr>
      <w:tblStyleRowBandSize w:val="1"/>
      <w:tblStyleColBandSize w:val="1"/>
      <w:tblBorders>
        <w:bottom w:val="single" w:color="4BACC6" w:sz="4" w:space="0" w:themeColor="accent5"/>
        <w:insideV w:val="single" w:color="4BACC6" w:sz="4" w:space="0" w:themeColor="accent5"/>
        <w:insideH w:val="single" w:color="4BACC6" w:sz="4" w:space="0" w:themeColor="accent5"/>
      </w:tblBorders>
    </w:tblPr>
    <w:tblStylePr w:type="band1Horz">
      <w:rPr>
        <w:rFonts w:ascii="Arial" w:hAnsi="Arial"/>
        <w:color w:val="404040"/>
        <w:sz w:val="22"/>
      </w:rPr>
      <w:tcPr>
        <w:shd w:val="clear" w:color="DAEEF3" w:fill="DAEEF3" w:themeFill="accent5" w:themeFillTint="34" w:themeColor="accent5" w:themeTint="34"/>
      </w:tcPr>
    </w:tblStylePr>
    <w:tblStylePr w:type="band1Vert">
      <w:rPr>
        <w:rFonts w:ascii="Arial" w:hAnsi="Arial"/>
        <w:color w:val="404040"/>
        <w:sz w:val="22"/>
      </w:rPr>
      <w:tcPr>
        <w:shd w:val="clear" w:color="DAEEF3" w:fill="DAEEF3" w:themeFill="accent5" w:themeFillTint="34" w:themeColor="accent5" w:themeTint="34"/>
      </w:tcPr>
    </w:tblStylePr>
    <w:tblStylePr w:type="firstCol">
      <w:rPr>
        <w:b/>
        <w:color w:val="404040"/>
      </w:rPr>
    </w:tblStylePr>
    <w:tblStylePr w:type="firstRow">
      <w:rPr>
        <w:b/>
        <w:color w:val="404040"/>
      </w:rPr>
      <w:tcPr>
        <w:shd w:val="clear" w:color="FFFFFF" w:fill="auto"/>
        <w:tcBorders>
          <w:left w:val="none" w:color="000000" w:sz="4" w:space="0"/>
          <w:top w:val="none" w:color="000000" w:sz="4" w:space="0"/>
          <w:right w:val="none" w:color="000000" w:sz="4" w:space="0"/>
          <w:bottom w:val="single" w:color="4BACC6" w:sz="12" w:space="0" w:themeColor="accent5"/>
        </w:tcBorders>
      </w:tcPr>
    </w:tblStylePr>
    <w:tblStylePr w:type="lastCol">
      <w:rPr>
        <w:b/>
        <w:color w:val="404040"/>
      </w:rPr>
    </w:tblStylePr>
    <w:tblStylePr w:type="lastRow">
      <w:rPr>
        <w:b/>
        <w:color w:val="404040"/>
      </w:rPr>
      <w:tcPr>
        <w:shd w:val="clear" w:color="FFFFFF" w:fill="auto"/>
        <w:tcBorders>
          <w:left w:val="none" w:color="000000" w:sz="4" w:space="0"/>
          <w:top w:val="single" w:color="4BACC6" w:sz="4" w:space="0" w:themeColor="accent5"/>
          <w:right w:val="none" w:color="000000" w:sz="4" w:space="0"/>
          <w:bottom w:val="none" w:color="000000" w:sz="4" w:space="0"/>
        </w:tcBorders>
      </w:tcPr>
    </w:tblStylePr>
  </w:style>
  <w:style w:type="table" w:styleId="713" w:customStyle="1">
    <w:name w:val="Grid Table 2 - Accent 6"/>
    <w:basedOn w:val="651"/>
    <w:uiPriority w:val="99"/>
    <w:pPr>
      <w:spacing w:lineRule="auto" w:line="240"/>
    </w:pPr>
    <w:tblPr>
      <w:tblStyleRowBandSize w:val="1"/>
      <w:tblStyleColBandSize w:val="1"/>
      <w:tblBorders>
        <w:bottom w:val="single" w:color="F79646" w:sz="4" w:space="0" w:themeColor="accent6"/>
        <w:insideV w:val="single" w:color="F79646" w:sz="4" w:space="0" w:themeColor="accent6"/>
        <w:insideH w:val="single" w:color="F79646" w:sz="4" w:space="0" w:themeColor="accent6"/>
      </w:tblBorders>
    </w:tblPr>
    <w:tblStylePr w:type="band1Horz">
      <w:rPr>
        <w:rFonts w:ascii="Arial" w:hAnsi="Arial"/>
        <w:color w:val="404040"/>
        <w:sz w:val="22"/>
      </w:rPr>
      <w:tcPr>
        <w:shd w:val="clear" w:color="FDE9D8" w:fill="FDE9D8" w:themeFill="accent6" w:themeFillTint="34" w:themeColor="accent6" w:themeTint="34"/>
      </w:tcPr>
    </w:tblStylePr>
    <w:tblStylePr w:type="band1Vert">
      <w:rPr>
        <w:rFonts w:ascii="Arial" w:hAnsi="Arial"/>
        <w:color w:val="404040"/>
        <w:sz w:val="22"/>
      </w:rPr>
      <w:tcPr>
        <w:shd w:val="clear" w:color="FDE9D8" w:fill="FDE9D8" w:themeFill="accent6" w:themeFillTint="34" w:themeColor="accent6" w:themeTint="34"/>
      </w:tcPr>
    </w:tblStylePr>
    <w:tblStylePr w:type="firstCol">
      <w:rPr>
        <w:b/>
        <w:color w:val="404040"/>
      </w:rPr>
    </w:tblStylePr>
    <w:tblStylePr w:type="firstRow">
      <w:rPr>
        <w:b/>
        <w:color w:val="404040"/>
      </w:rPr>
      <w:tcPr>
        <w:shd w:val="clear" w:color="FFFFFF" w:fill="auto"/>
        <w:tcBorders>
          <w:left w:val="none" w:color="000000" w:sz="4" w:space="0"/>
          <w:top w:val="none" w:color="000000" w:sz="4" w:space="0"/>
          <w:right w:val="none" w:color="000000" w:sz="4" w:space="0"/>
          <w:bottom w:val="single" w:color="F79646" w:sz="12" w:space="0" w:themeColor="accent6"/>
        </w:tcBorders>
      </w:tcPr>
    </w:tblStylePr>
    <w:tblStylePr w:type="lastCol">
      <w:rPr>
        <w:b/>
        <w:color w:val="404040"/>
      </w:rPr>
    </w:tblStylePr>
    <w:tblStylePr w:type="lastRow">
      <w:rPr>
        <w:b/>
        <w:color w:val="404040"/>
      </w:rPr>
      <w:tcPr>
        <w:shd w:val="clear" w:color="FFFFFF" w:fill="auto"/>
        <w:tcBorders>
          <w:left w:val="none" w:color="000000" w:sz="4" w:space="0"/>
          <w:top w:val="single" w:color="F79646" w:sz="4" w:space="0" w:themeColor="accent6"/>
          <w:right w:val="none" w:color="000000" w:sz="4" w:space="0"/>
          <w:bottom w:val="none" w:color="000000" w:sz="4" w:space="0"/>
        </w:tcBorders>
      </w:tcPr>
    </w:tblStylePr>
  </w:style>
  <w:style w:type="table" w:styleId="714">
    <w:name w:val="Grid Table 3"/>
    <w:basedOn w:val="651"/>
    <w:uiPriority w:val="99"/>
    <w:pPr>
      <w:spacing w:lineRule="auto" w:line="240"/>
    </w:pPr>
    <w:tblPr>
      <w:tblStyleRowBandSize w:val="1"/>
      <w:tblStyleColBandSize w:val="1"/>
      <w:tblBorders>
        <w:bottom w:val="single" w:color="6A6A6A" w:sz="4" w:space="0" w:themeColor="text1" w:themeTint="95"/>
        <w:insideV w:val="single" w:color="6A6A6A" w:sz="4" w:space="0" w:themeColor="text1" w:themeTint="95"/>
        <w:insideH w:val="single" w:color="6A6A6A" w:sz="4" w:space="0" w:themeColor="text1" w:themeTint="95"/>
      </w:tblBorders>
    </w:tblPr>
    <w:tblStylePr w:type="band1Horz">
      <w:rPr>
        <w:rFonts w:ascii="Arial" w:hAnsi="Arial"/>
        <w:color w:val="404040"/>
        <w:sz w:val="22"/>
      </w:rPr>
      <w:tcPr>
        <w:shd w:val="clear" w:color="CBCBCB" w:fill="CBCBCB" w:themeFill="text1" w:themeFillTint="34" w:themeColor="text1" w:themeTint="34"/>
      </w:tcPr>
    </w:tblStylePr>
    <w:tblStylePr w:type="band1Vert">
      <w:rPr>
        <w:rFonts w:ascii="Arial" w:hAnsi="Arial"/>
        <w:color w:val="404040"/>
        <w:sz w:val="22"/>
      </w:rPr>
      <w:tcPr>
        <w:shd w:val="clear" w:color="CBCBCB" w:fill="CBCBCB" w:themeFill="text1" w:themeFillTint="34" w:themeColor="text1" w:themeTint="34"/>
      </w:tcPr>
    </w:tblStylePr>
    <w:tblStylePr w:type="firstCol">
      <w:rPr>
        <w:i/>
        <w:color w:val="404040"/>
      </w:rPr>
      <w:pPr>
        <w:jc w:val="right"/>
      </w:pPr>
      <w:tcPr>
        <w:shd w:val="clear" w:color="FFFFFF" w:fill="auto"/>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FFFFFF" w:fill="auto"/>
        <w:tcBorders>
          <w:left w:val="none" w:color="000000" w:sz="4" w:space="0"/>
          <w:top w:val="none" w:color="000000" w:sz="4" w:space="0"/>
          <w:right w:val="none" w:color="000000" w:sz="4" w:space="0"/>
          <w:bottom w:val="none" w:color="000000" w:sz="4" w:space="0"/>
        </w:tcBorders>
      </w:tcPr>
    </w:tblStylePr>
    <w:tblStylePr w:type="lastCol">
      <w:rPr>
        <w:i/>
        <w:color w:val="404040"/>
      </w:rPr>
      <w:tcPr>
        <w:shd w:val="clear" w:color="FFFFFF" w:fill="auto"/>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FFFFFF" w:fill="auto"/>
        <w:tcBorders>
          <w:left w:val="none" w:color="000000" w:sz="4" w:space="0"/>
          <w:top w:val="none" w:color="000000" w:sz="4" w:space="0"/>
          <w:right w:val="none" w:color="000000" w:sz="4" w:space="0"/>
          <w:bottom w:val="none" w:color="000000" w:sz="4" w:space="0"/>
        </w:tcBorders>
      </w:tcPr>
    </w:tblStylePr>
  </w:style>
  <w:style w:type="table" w:styleId="715" w:customStyle="1">
    <w:name w:val="Grid Table 3 - Accent 1"/>
    <w:basedOn w:val="651"/>
    <w:uiPriority w:val="99"/>
    <w:pPr>
      <w:spacing w:lineRule="auto" w:line="240"/>
    </w:pPr>
    <w:tblPr>
      <w:tblStyleRowBandSize w:val="1"/>
      <w:tblStyleColBandSize w:val="1"/>
      <w:tblBorders>
        <w:bottom w:val="single" w:color="5D8AC2" w:sz="4" w:space="0" w:themeColor="accent1" w:themeTint="EA"/>
        <w:insideV w:val="single" w:color="5D8AC2" w:sz="4" w:space="0" w:themeColor="accent1" w:themeTint="EA"/>
        <w:insideH w:val="single" w:color="5D8AC2" w:sz="4" w:space="0" w:themeColor="accent1" w:themeTint="EA"/>
      </w:tblBorders>
    </w:tblPr>
    <w:tblStylePr w:type="band1Horz">
      <w:rPr>
        <w:rFonts w:ascii="Arial" w:hAnsi="Arial"/>
        <w:color w:val="404040"/>
        <w:sz w:val="22"/>
      </w:rPr>
      <w:tcPr>
        <w:shd w:val="clear" w:color="DAE5F1" w:fill="DAE5F1" w:themeFill="accent1" w:themeFillTint="34" w:themeColor="accent1" w:themeTint="34"/>
      </w:tcPr>
    </w:tblStylePr>
    <w:tblStylePr w:type="band1Vert">
      <w:rPr>
        <w:rFonts w:ascii="Arial" w:hAnsi="Arial"/>
        <w:color w:val="404040"/>
        <w:sz w:val="22"/>
      </w:rPr>
      <w:tcPr>
        <w:shd w:val="clear" w:color="DAE5F1" w:fill="DAE5F1" w:themeFill="accent1" w:themeFillTint="34" w:themeColor="accent1" w:themeTint="34"/>
      </w:tcPr>
    </w:tblStylePr>
    <w:tblStylePr w:type="firstCol">
      <w:rPr>
        <w:i/>
        <w:color w:val="404040"/>
      </w:rPr>
      <w:pPr>
        <w:jc w:val="right"/>
      </w:pPr>
      <w:tcPr>
        <w:shd w:val="clear" w:color="FFFFFF" w:fill="auto"/>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FFFFFF" w:fill="auto"/>
        <w:tcBorders>
          <w:left w:val="none" w:color="000000" w:sz="4" w:space="0"/>
          <w:top w:val="none" w:color="000000" w:sz="4" w:space="0"/>
          <w:right w:val="none" w:color="000000" w:sz="4" w:space="0"/>
          <w:bottom w:val="none" w:color="000000" w:sz="4" w:space="0"/>
        </w:tcBorders>
      </w:tcPr>
    </w:tblStylePr>
    <w:tblStylePr w:type="lastCol">
      <w:rPr>
        <w:i/>
        <w:color w:val="404040"/>
      </w:rPr>
      <w:tcPr>
        <w:shd w:val="clear" w:color="FFFFFF" w:fill="auto"/>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FFFFFF" w:fill="auto"/>
        <w:tcBorders>
          <w:left w:val="none" w:color="000000" w:sz="4" w:space="0"/>
          <w:top w:val="none" w:color="000000" w:sz="4" w:space="0"/>
          <w:right w:val="none" w:color="000000" w:sz="4" w:space="0"/>
          <w:bottom w:val="none" w:color="000000" w:sz="4" w:space="0"/>
        </w:tcBorders>
      </w:tcPr>
    </w:tblStylePr>
  </w:style>
  <w:style w:type="table" w:styleId="716" w:customStyle="1">
    <w:name w:val="Grid Table 3 - Accent 2"/>
    <w:basedOn w:val="651"/>
    <w:uiPriority w:val="99"/>
    <w:pPr>
      <w:spacing w:lineRule="auto" w:line="240"/>
    </w:pPr>
    <w:tblPr>
      <w:tblStyleRowBandSize w:val="1"/>
      <w:tblStyleColBandSize w:val="1"/>
      <w:tblBorders>
        <w:bottom w:val="single" w:color="D99695" w:sz="4" w:space="0" w:themeColor="accent2" w:themeTint="97"/>
        <w:insideV w:val="single" w:color="D99695" w:sz="4" w:space="0" w:themeColor="accent2" w:themeTint="97"/>
        <w:insideH w:val="single" w:color="D99695" w:sz="4" w:space="0" w:themeColor="accent2" w:themeTint="97"/>
      </w:tblBorders>
    </w:tblPr>
    <w:tblStylePr w:type="band1Horz">
      <w:rPr>
        <w:rFonts w:ascii="Arial" w:hAnsi="Arial"/>
        <w:color w:val="404040"/>
        <w:sz w:val="22"/>
      </w:rPr>
      <w:tcPr>
        <w:shd w:val="clear" w:color="F2DCDC" w:fill="F2DCDC" w:themeFill="accent2" w:themeFillTint="32" w:themeColor="accent2" w:themeTint="32"/>
      </w:tcPr>
    </w:tblStylePr>
    <w:tblStylePr w:type="band1Vert">
      <w:rPr>
        <w:rFonts w:ascii="Arial" w:hAnsi="Arial"/>
        <w:color w:val="404040"/>
        <w:sz w:val="22"/>
      </w:rPr>
      <w:tcPr>
        <w:shd w:val="clear" w:color="F2DCDC" w:fill="F2DCDC" w:themeFill="accent2" w:themeFillTint="32" w:themeColor="accent2" w:themeTint="32"/>
      </w:tcPr>
    </w:tblStylePr>
    <w:tblStylePr w:type="firstCol">
      <w:rPr>
        <w:i/>
        <w:color w:val="404040"/>
      </w:rPr>
      <w:pPr>
        <w:jc w:val="right"/>
      </w:pPr>
      <w:tcPr>
        <w:shd w:val="clear" w:color="FFFFFF" w:fill="auto"/>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FFFFFF" w:fill="auto"/>
        <w:tcBorders>
          <w:left w:val="none" w:color="000000" w:sz="4" w:space="0"/>
          <w:top w:val="none" w:color="000000" w:sz="4" w:space="0"/>
          <w:right w:val="none" w:color="000000" w:sz="4" w:space="0"/>
          <w:bottom w:val="none" w:color="000000" w:sz="4" w:space="0"/>
        </w:tcBorders>
      </w:tcPr>
    </w:tblStylePr>
    <w:tblStylePr w:type="lastCol">
      <w:rPr>
        <w:i/>
        <w:color w:val="404040"/>
      </w:rPr>
      <w:tcPr>
        <w:shd w:val="clear" w:color="FFFFFF" w:fill="auto"/>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FFFFFF" w:fill="auto"/>
        <w:tcBorders>
          <w:left w:val="none" w:color="000000" w:sz="4" w:space="0"/>
          <w:top w:val="none" w:color="000000" w:sz="4" w:space="0"/>
          <w:right w:val="none" w:color="000000" w:sz="4" w:space="0"/>
          <w:bottom w:val="none" w:color="000000" w:sz="4" w:space="0"/>
        </w:tcBorders>
      </w:tcPr>
    </w:tblStylePr>
  </w:style>
  <w:style w:type="table" w:styleId="717" w:customStyle="1">
    <w:name w:val="Grid Table 3 - Accent 3"/>
    <w:basedOn w:val="651"/>
    <w:uiPriority w:val="99"/>
    <w:pPr>
      <w:spacing w:lineRule="auto" w:line="240"/>
    </w:pPr>
    <w:tblPr>
      <w:tblStyleRowBandSize w:val="1"/>
      <w:tblStyleColBandSize w:val="1"/>
      <w:tblBorders>
        <w:bottom w:val="single" w:color="9ABB59" w:sz="4" w:space="0" w:themeColor="accent3" w:themeTint="FE"/>
        <w:insideV w:val="single" w:color="9ABB59" w:sz="4" w:space="0" w:themeColor="accent3" w:themeTint="FE"/>
        <w:insideH w:val="single" w:color="9ABB59" w:sz="4" w:space="0" w:themeColor="accent3" w:themeTint="FE"/>
      </w:tblBorders>
    </w:tblPr>
    <w:tblStylePr w:type="band1Horz">
      <w:rPr>
        <w:rFonts w:ascii="Arial" w:hAnsi="Arial"/>
        <w:color w:val="404040"/>
        <w:sz w:val="22"/>
      </w:rPr>
      <w:tcPr>
        <w:shd w:val="clear" w:color="EAF1DC" w:fill="EAF1DC" w:themeFill="accent3" w:themeFillTint="34" w:themeColor="accent3" w:themeTint="34"/>
      </w:tcPr>
    </w:tblStylePr>
    <w:tblStylePr w:type="band1Vert">
      <w:rPr>
        <w:rFonts w:ascii="Arial" w:hAnsi="Arial"/>
        <w:color w:val="404040"/>
        <w:sz w:val="22"/>
      </w:rPr>
      <w:tcPr>
        <w:shd w:val="clear" w:color="EAF1DC" w:fill="EAF1DC" w:themeFill="accent3" w:themeFillTint="34" w:themeColor="accent3" w:themeTint="34"/>
      </w:tcPr>
    </w:tblStylePr>
    <w:tblStylePr w:type="firstCol">
      <w:rPr>
        <w:i/>
        <w:color w:val="404040"/>
      </w:rPr>
      <w:pPr>
        <w:jc w:val="right"/>
      </w:pPr>
      <w:tcPr>
        <w:shd w:val="clear" w:color="FFFFFF" w:fill="auto"/>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FFFFFF" w:fill="auto"/>
        <w:tcBorders>
          <w:left w:val="none" w:color="000000" w:sz="4" w:space="0"/>
          <w:top w:val="none" w:color="000000" w:sz="4" w:space="0"/>
          <w:right w:val="none" w:color="000000" w:sz="4" w:space="0"/>
          <w:bottom w:val="none" w:color="000000" w:sz="4" w:space="0"/>
        </w:tcBorders>
      </w:tcPr>
    </w:tblStylePr>
    <w:tblStylePr w:type="lastCol">
      <w:rPr>
        <w:i/>
        <w:color w:val="404040"/>
      </w:rPr>
      <w:tcPr>
        <w:shd w:val="clear" w:color="FFFFFF" w:fill="auto"/>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FFFFFF" w:fill="auto"/>
        <w:tcBorders>
          <w:left w:val="none" w:color="000000" w:sz="4" w:space="0"/>
          <w:top w:val="none" w:color="000000" w:sz="4" w:space="0"/>
          <w:right w:val="none" w:color="000000" w:sz="4" w:space="0"/>
          <w:bottom w:val="none" w:color="000000" w:sz="4" w:space="0"/>
        </w:tcBorders>
      </w:tcPr>
    </w:tblStylePr>
  </w:style>
  <w:style w:type="table" w:styleId="718" w:customStyle="1">
    <w:name w:val="Grid Table 3 - Accent 4"/>
    <w:basedOn w:val="651"/>
    <w:uiPriority w:val="99"/>
    <w:pPr>
      <w:spacing w:lineRule="auto" w:line="240"/>
    </w:pPr>
    <w:tblPr>
      <w:tblStyleRowBandSize w:val="1"/>
      <w:tblStyleColBandSize w:val="1"/>
      <w:tblBorders>
        <w:bottom w:val="single" w:color="B2A1C6" w:sz="4" w:space="0" w:themeColor="accent4" w:themeTint="9A"/>
        <w:insideV w:val="single" w:color="B2A1C6" w:sz="4" w:space="0" w:themeColor="accent4" w:themeTint="9A"/>
        <w:insideH w:val="single" w:color="B2A1C6" w:sz="4" w:space="0" w:themeColor="accent4" w:themeTint="9A"/>
      </w:tblBorders>
    </w:tblPr>
    <w:tblStylePr w:type="band1Horz">
      <w:rPr>
        <w:rFonts w:ascii="Arial" w:hAnsi="Arial"/>
        <w:color w:val="404040"/>
        <w:sz w:val="22"/>
      </w:rPr>
      <w:tcPr>
        <w:shd w:val="clear" w:color="E5DFEC" w:fill="E5DFEC" w:themeFill="accent4" w:themeFillTint="34" w:themeColor="accent4" w:themeTint="34"/>
      </w:tcPr>
    </w:tblStylePr>
    <w:tblStylePr w:type="band1Vert">
      <w:rPr>
        <w:rFonts w:ascii="Arial" w:hAnsi="Arial"/>
        <w:color w:val="404040"/>
        <w:sz w:val="22"/>
      </w:rPr>
      <w:tcPr>
        <w:shd w:val="clear" w:color="E5DFEC" w:fill="E5DFEC" w:themeFill="accent4" w:themeFillTint="34" w:themeColor="accent4" w:themeTint="34"/>
      </w:tcPr>
    </w:tblStylePr>
    <w:tblStylePr w:type="firstCol">
      <w:rPr>
        <w:i/>
        <w:color w:val="404040"/>
      </w:rPr>
      <w:pPr>
        <w:jc w:val="right"/>
      </w:pPr>
      <w:tcPr>
        <w:shd w:val="clear" w:color="FFFFFF" w:fill="auto"/>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FFFFFF" w:fill="auto"/>
        <w:tcBorders>
          <w:left w:val="none" w:color="000000" w:sz="4" w:space="0"/>
          <w:top w:val="none" w:color="000000" w:sz="4" w:space="0"/>
          <w:right w:val="none" w:color="000000" w:sz="4" w:space="0"/>
          <w:bottom w:val="none" w:color="000000" w:sz="4" w:space="0"/>
        </w:tcBorders>
      </w:tcPr>
    </w:tblStylePr>
    <w:tblStylePr w:type="lastCol">
      <w:rPr>
        <w:i/>
        <w:color w:val="404040"/>
      </w:rPr>
      <w:tcPr>
        <w:shd w:val="clear" w:color="FFFFFF" w:fill="auto"/>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FFFFFF" w:fill="auto"/>
        <w:tcBorders>
          <w:left w:val="none" w:color="000000" w:sz="4" w:space="0"/>
          <w:top w:val="none" w:color="000000" w:sz="4" w:space="0"/>
          <w:right w:val="none" w:color="000000" w:sz="4" w:space="0"/>
          <w:bottom w:val="none" w:color="000000" w:sz="4" w:space="0"/>
        </w:tcBorders>
      </w:tcPr>
    </w:tblStylePr>
  </w:style>
  <w:style w:type="table" w:styleId="719" w:customStyle="1">
    <w:name w:val="Grid Table 3 - Accent 5"/>
    <w:basedOn w:val="651"/>
    <w:uiPriority w:val="99"/>
    <w:pPr>
      <w:spacing w:lineRule="auto" w:line="240"/>
    </w:pPr>
    <w:tblPr>
      <w:tblStyleRowBandSize w:val="1"/>
      <w:tblStyleColBandSize w:val="1"/>
      <w:tblBorders>
        <w:bottom w:val="single" w:color="4BACC6" w:sz="4" w:space="0" w:themeColor="accent5"/>
        <w:insideV w:val="single" w:color="4BACC6" w:sz="4" w:space="0" w:themeColor="accent5"/>
        <w:insideH w:val="single" w:color="4BACC6" w:sz="4" w:space="0" w:themeColor="accent5"/>
      </w:tblBorders>
    </w:tblPr>
    <w:tblStylePr w:type="band1Horz">
      <w:rPr>
        <w:rFonts w:ascii="Arial" w:hAnsi="Arial"/>
        <w:color w:val="404040"/>
        <w:sz w:val="22"/>
      </w:rPr>
      <w:tcPr>
        <w:shd w:val="clear" w:color="DAEEF3" w:fill="DAEEF3" w:themeFill="accent5" w:themeFillTint="34" w:themeColor="accent5" w:themeTint="34"/>
      </w:tcPr>
    </w:tblStylePr>
    <w:tblStylePr w:type="band1Vert">
      <w:rPr>
        <w:rFonts w:ascii="Arial" w:hAnsi="Arial"/>
        <w:color w:val="404040"/>
        <w:sz w:val="22"/>
      </w:rPr>
      <w:tcPr>
        <w:shd w:val="clear" w:color="DAEEF3" w:fill="DAEEF3" w:themeFill="accent5" w:themeFillTint="34" w:themeColor="accent5" w:themeTint="34"/>
      </w:tcPr>
    </w:tblStylePr>
    <w:tblStylePr w:type="firstCol">
      <w:rPr>
        <w:i/>
        <w:color w:val="404040"/>
      </w:rPr>
      <w:pPr>
        <w:jc w:val="right"/>
      </w:pPr>
      <w:tcPr>
        <w:shd w:val="clear" w:color="FFFFFF" w:fill="auto"/>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FFFFFF" w:fill="auto"/>
        <w:tcBorders>
          <w:left w:val="none" w:color="000000" w:sz="4" w:space="0"/>
          <w:top w:val="none" w:color="000000" w:sz="4" w:space="0"/>
          <w:right w:val="none" w:color="000000" w:sz="4" w:space="0"/>
          <w:bottom w:val="none" w:color="000000" w:sz="4" w:space="0"/>
        </w:tcBorders>
      </w:tcPr>
    </w:tblStylePr>
    <w:tblStylePr w:type="lastCol">
      <w:rPr>
        <w:i/>
        <w:color w:val="404040"/>
      </w:rPr>
      <w:tcPr>
        <w:shd w:val="clear" w:color="FFFFFF" w:fill="auto"/>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FFFFFF" w:fill="auto"/>
        <w:tcBorders>
          <w:left w:val="none" w:color="000000" w:sz="4" w:space="0"/>
          <w:top w:val="none" w:color="000000" w:sz="4" w:space="0"/>
          <w:right w:val="none" w:color="000000" w:sz="4" w:space="0"/>
          <w:bottom w:val="none" w:color="000000" w:sz="4" w:space="0"/>
        </w:tcBorders>
      </w:tcPr>
    </w:tblStylePr>
  </w:style>
  <w:style w:type="table" w:styleId="720" w:customStyle="1">
    <w:name w:val="Grid Table 3 - Accent 6"/>
    <w:basedOn w:val="651"/>
    <w:uiPriority w:val="99"/>
    <w:pPr>
      <w:spacing w:lineRule="auto" w:line="240"/>
    </w:pPr>
    <w:tblPr>
      <w:tblStyleRowBandSize w:val="1"/>
      <w:tblStyleColBandSize w:val="1"/>
      <w:tblBorders>
        <w:bottom w:val="single" w:color="F79646" w:sz="4" w:space="0" w:themeColor="accent6"/>
        <w:insideV w:val="single" w:color="F79646" w:sz="4" w:space="0" w:themeColor="accent6"/>
        <w:insideH w:val="single" w:color="F79646" w:sz="4" w:space="0" w:themeColor="accent6"/>
      </w:tblBorders>
    </w:tblPr>
    <w:tblStylePr w:type="band1Horz">
      <w:rPr>
        <w:rFonts w:ascii="Arial" w:hAnsi="Arial"/>
        <w:color w:val="404040"/>
        <w:sz w:val="22"/>
      </w:rPr>
      <w:tcPr>
        <w:shd w:val="clear" w:color="FDE9D8" w:fill="FDE9D8" w:themeFill="accent6" w:themeFillTint="34" w:themeColor="accent6" w:themeTint="34"/>
      </w:tcPr>
    </w:tblStylePr>
    <w:tblStylePr w:type="band1Vert">
      <w:rPr>
        <w:rFonts w:ascii="Arial" w:hAnsi="Arial"/>
        <w:color w:val="404040"/>
        <w:sz w:val="22"/>
      </w:rPr>
      <w:tcPr>
        <w:shd w:val="clear" w:color="FDE9D8" w:fill="FDE9D8" w:themeFill="accent6" w:themeFillTint="34" w:themeColor="accent6" w:themeTint="34"/>
      </w:tcPr>
    </w:tblStylePr>
    <w:tblStylePr w:type="firstCol">
      <w:rPr>
        <w:i/>
        <w:color w:val="404040"/>
      </w:rPr>
      <w:pPr>
        <w:jc w:val="right"/>
      </w:pPr>
      <w:tcPr>
        <w:shd w:val="clear" w:color="FFFFFF" w:fill="auto"/>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FFFFFF" w:fill="auto"/>
        <w:tcBorders>
          <w:left w:val="none" w:color="000000" w:sz="4" w:space="0"/>
          <w:top w:val="none" w:color="000000" w:sz="4" w:space="0"/>
          <w:right w:val="none" w:color="000000" w:sz="4" w:space="0"/>
          <w:bottom w:val="none" w:color="000000" w:sz="4" w:space="0"/>
        </w:tcBorders>
      </w:tcPr>
    </w:tblStylePr>
    <w:tblStylePr w:type="lastCol">
      <w:rPr>
        <w:i/>
        <w:color w:val="404040"/>
      </w:rPr>
      <w:tcPr>
        <w:shd w:val="clear" w:color="FFFFFF" w:fill="auto"/>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FFFFFF" w:fill="auto"/>
        <w:tcBorders>
          <w:left w:val="none" w:color="000000" w:sz="4" w:space="0"/>
          <w:top w:val="none" w:color="000000" w:sz="4" w:space="0"/>
          <w:right w:val="none" w:color="000000" w:sz="4" w:space="0"/>
          <w:bottom w:val="none" w:color="000000" w:sz="4" w:space="0"/>
        </w:tcBorders>
      </w:tcPr>
    </w:tblStylePr>
  </w:style>
  <w:style w:type="table" w:styleId="721">
    <w:name w:val="Grid Table 4"/>
    <w:basedOn w:val="651"/>
    <w:uiPriority w:val="59"/>
    <w:pPr>
      <w:spacing w:lineRule="auto" w:line="240"/>
    </w:pPr>
    <w:tblPr>
      <w:tblStyleRowBandSize w:val="1"/>
      <w:tblStyleColBandSize w:val="1"/>
      <w:tblBorders>
        <w:left w:val="single" w:color="6F6F6F" w:sz="4" w:space="0" w:themeColor="text1" w:themeTint="90"/>
        <w:top w:val="single" w:color="6F6F6F" w:sz="4" w:space="0" w:themeColor="text1" w:themeTint="90"/>
        <w:right w:val="single" w:color="6F6F6F" w:sz="4" w:space="0" w:themeColor="text1" w:themeTint="90"/>
        <w:bottom w:val="single" w:color="6F6F6F" w:sz="4" w:space="0" w:themeColor="text1" w:themeTint="90"/>
        <w:insideV w:val="single" w:color="6F6F6F" w:sz="4" w:space="0" w:themeColor="text1" w:themeTint="90"/>
        <w:insideH w:val="single" w:color="6F6F6F" w:sz="4" w:space="0" w:themeColor="text1" w:themeTint="90"/>
      </w:tblBorders>
    </w:tblPr>
    <w:tblStylePr w:type="band1Horz">
      <w:rPr>
        <w:rFonts w:ascii="Arial" w:hAnsi="Arial"/>
        <w:color w:val="404040"/>
        <w:sz w:val="22"/>
      </w:rPr>
      <w:tcPr>
        <w:shd w:val="clear" w:color="CBCBCB" w:fill="CBCBCB" w:themeFill="text1" w:themeFillTint="34" w:themeColor="text1" w:themeTint="34"/>
      </w:tcPr>
    </w:tblStylePr>
    <w:tblStylePr w:type="band1Vert">
      <w:rPr>
        <w:rFonts w:ascii="Arial" w:hAnsi="Arial"/>
        <w:color w:val="404040"/>
        <w:sz w:val="22"/>
      </w:rPr>
      <w:tcPr>
        <w:shd w:val="clear" w:color="CBCBCB" w:fill="CBCBCB" w:themeFill="text1" w:themeFillTint="34" w:themeColor="text1" w:themeTint="34"/>
      </w:tcPr>
    </w:tblStylePr>
    <w:tblStylePr w:type="firstCol">
      <w:rPr>
        <w:b/>
        <w:color w:val="404040"/>
      </w:rPr>
    </w:tblStylePr>
    <w:tblStylePr w:type="firstRow">
      <w:rPr>
        <w:rFonts w:ascii="Arial" w:hAnsi="Arial"/>
        <w:b/>
        <w:color w:val="FFFFFF"/>
        <w:sz w:val="22"/>
      </w:rPr>
      <w:tcPr>
        <w:shd w:val="clear" w:color="000000" w:fill="000000" w:themeFill="text1" w:themeColor="text1"/>
        <w:tcBorders>
          <w:left w:val="single" w:color="000000" w:sz="4" w:space="0" w:themeColor="text1"/>
          <w:top w:val="single" w:color="000000" w:sz="4" w:space="0" w:themeColor="text1"/>
          <w:right w:val="single" w:color="000000" w:sz="4" w:space="0" w:themeColor="text1"/>
          <w:bottom w:val="single" w:color="000000" w:sz="4" w:space="0" w:themeColor="text1"/>
        </w:tcBorders>
      </w:tcPr>
    </w:tblStylePr>
    <w:tblStylePr w:type="lastCol">
      <w:rPr>
        <w:b/>
        <w:color w:val="404040"/>
      </w:rPr>
    </w:tblStylePr>
    <w:tblStylePr w:type="lastRow">
      <w:rPr>
        <w:b/>
        <w:color w:val="404040"/>
      </w:rPr>
      <w:tcPr>
        <w:tcBorders>
          <w:top w:val="single" w:color="000000" w:sz="4" w:space="0" w:themeColor="text1"/>
        </w:tcBorders>
      </w:tcPr>
    </w:tblStylePr>
  </w:style>
  <w:style w:type="table" w:styleId="722" w:customStyle="1">
    <w:name w:val="Grid Table 4 - Accent 1"/>
    <w:basedOn w:val="651"/>
    <w:uiPriority w:val="59"/>
    <w:pPr>
      <w:spacing w:lineRule="auto" w:line="240"/>
    </w:pPr>
    <w:tblPr>
      <w:tblStyleRowBandSize w:val="1"/>
      <w:tblStyleColBandSize w:val="1"/>
      <w:tblBorders>
        <w:left w:val="single" w:color="9BB7D9" w:sz="4" w:space="0" w:themeColor="accent1" w:themeTint="90"/>
        <w:top w:val="single" w:color="9BB7D9" w:sz="4" w:space="0" w:themeColor="accent1" w:themeTint="90"/>
        <w:right w:val="single" w:color="9BB7D9" w:sz="4" w:space="0" w:themeColor="accent1" w:themeTint="90"/>
        <w:bottom w:val="single" w:color="9BB7D9" w:sz="4" w:space="0" w:themeColor="accent1" w:themeTint="90"/>
        <w:insideV w:val="single" w:color="9BB7D9" w:sz="4" w:space="0" w:themeColor="accent1" w:themeTint="90"/>
        <w:insideH w:val="single" w:color="9BB7D9" w:sz="4" w:space="0" w:themeColor="accent1" w:themeTint="90"/>
      </w:tblBorders>
    </w:tblPr>
    <w:tblStylePr w:type="band1Horz">
      <w:rPr>
        <w:rFonts w:ascii="Arial" w:hAnsi="Arial"/>
        <w:color w:val="404040"/>
        <w:sz w:val="22"/>
      </w:rPr>
      <w:tcPr>
        <w:shd w:val="clear" w:color="DCE6F2" w:fill="DCE6F2" w:themeFill="accent1" w:themeFillTint="32" w:themeColor="accent1" w:themeTint="32"/>
      </w:tcPr>
    </w:tblStylePr>
    <w:tblStylePr w:type="band1Vert">
      <w:rPr>
        <w:rFonts w:ascii="Arial" w:hAnsi="Arial"/>
        <w:color w:val="404040"/>
        <w:sz w:val="22"/>
      </w:rPr>
      <w:tcPr>
        <w:shd w:val="clear" w:color="DCE6F2" w:fill="DCE6F2" w:themeFill="accent1" w:themeFillTint="32" w:themeColor="accent1" w:themeTint="32"/>
      </w:tcPr>
    </w:tblStylePr>
    <w:tblStylePr w:type="firstCol">
      <w:rPr>
        <w:b/>
        <w:color w:val="404040"/>
      </w:rPr>
    </w:tblStylePr>
    <w:tblStylePr w:type="firstRow">
      <w:rPr>
        <w:rFonts w:ascii="Arial" w:hAnsi="Arial"/>
        <w:b/>
        <w:color w:val="FFFFFF"/>
        <w:sz w:val="22"/>
      </w:rPr>
      <w:tcPr>
        <w:shd w:val="clear" w:color="5D8AC2" w:fill="5D8AC2" w:themeFill="accent1" w:themeFillTint="EA" w:themeColor="accent1" w:themeTint="EA"/>
        <w:tcBorders>
          <w:left w:val="single" w:color="5D8AC2" w:sz="4" w:space="0" w:themeColor="accent1" w:themeTint="EA"/>
          <w:top w:val="single" w:color="5D8AC2" w:sz="4" w:space="0" w:themeColor="accent1" w:themeTint="EA"/>
          <w:right w:val="single" w:color="5D8AC2" w:sz="4" w:space="0" w:themeColor="accent1" w:themeTint="EA"/>
          <w:bottom w:val="single" w:color="5D8AC2" w:sz="4" w:space="0" w:themeColor="accent1" w:themeTint="EA"/>
        </w:tcBorders>
      </w:tcPr>
    </w:tblStylePr>
    <w:tblStylePr w:type="lastCol">
      <w:rPr>
        <w:b/>
        <w:color w:val="404040"/>
      </w:rPr>
    </w:tblStylePr>
    <w:tblStylePr w:type="lastRow">
      <w:rPr>
        <w:b/>
        <w:color w:val="404040"/>
      </w:rPr>
      <w:tcPr>
        <w:tcBorders>
          <w:top w:val="single" w:color="5D8AC2" w:sz="4" w:space="0" w:themeColor="accent1" w:themeTint="EA"/>
        </w:tcBorders>
      </w:tcPr>
    </w:tblStylePr>
  </w:style>
  <w:style w:type="table" w:styleId="723" w:customStyle="1">
    <w:name w:val="Grid Table 4 - Accent 2"/>
    <w:basedOn w:val="651"/>
    <w:uiPriority w:val="59"/>
    <w:pPr>
      <w:spacing w:lineRule="auto" w:line="240"/>
    </w:pPr>
    <w:tblPr>
      <w:tblStyleRowBandSize w:val="1"/>
      <w:tblStyleColBandSize w:val="1"/>
      <w:tblBorders>
        <w:left w:val="single" w:color="DB9B9A" w:sz="4" w:space="0" w:themeColor="accent2" w:themeTint="90"/>
        <w:top w:val="single" w:color="DB9B9A" w:sz="4" w:space="0" w:themeColor="accent2" w:themeTint="90"/>
        <w:right w:val="single" w:color="DB9B9A" w:sz="4" w:space="0" w:themeColor="accent2" w:themeTint="90"/>
        <w:bottom w:val="single" w:color="DB9B9A" w:sz="4" w:space="0" w:themeColor="accent2" w:themeTint="90"/>
        <w:insideV w:val="single" w:color="DB9B9A" w:sz="4" w:space="0" w:themeColor="accent2" w:themeTint="90"/>
        <w:insideH w:val="single" w:color="DB9B9A" w:sz="4" w:space="0" w:themeColor="accent2" w:themeTint="90"/>
      </w:tblBorders>
    </w:tblPr>
    <w:tblStylePr w:type="band1Horz">
      <w:rPr>
        <w:rFonts w:ascii="Arial" w:hAnsi="Arial"/>
        <w:color w:val="404040"/>
        <w:sz w:val="22"/>
      </w:rPr>
      <w:tcPr>
        <w:shd w:val="clear" w:color="F2DCDC" w:fill="F2DCDC" w:themeFill="accent2" w:themeFillTint="32" w:themeColor="accent2" w:themeTint="32"/>
      </w:tcPr>
    </w:tblStylePr>
    <w:tblStylePr w:type="band1Vert">
      <w:rPr>
        <w:rFonts w:ascii="Arial" w:hAnsi="Arial"/>
        <w:color w:val="404040"/>
        <w:sz w:val="22"/>
      </w:rPr>
      <w:tcPr>
        <w:shd w:val="clear" w:color="F2DCDC" w:fill="F2DCDC" w:themeFill="accent2" w:themeFillTint="32" w:themeColor="accent2" w:themeTint="32"/>
      </w:tcPr>
    </w:tblStylePr>
    <w:tblStylePr w:type="firstCol">
      <w:rPr>
        <w:b/>
        <w:color w:val="404040"/>
      </w:rPr>
    </w:tblStylePr>
    <w:tblStylePr w:type="firstRow">
      <w:rPr>
        <w:rFonts w:ascii="Arial" w:hAnsi="Arial"/>
        <w:b/>
        <w:color w:val="FFFFFF"/>
        <w:sz w:val="22"/>
      </w:rPr>
      <w:tcPr>
        <w:shd w:val="clear" w:color="D99695" w:fill="D99695" w:themeFill="accent2" w:themeFillTint="97" w:themeColor="accent2" w:themeTint="97"/>
        <w:tcBorders>
          <w:left w:val="single" w:color="D99695" w:sz="4" w:space="0" w:themeColor="accent2" w:themeTint="97"/>
          <w:top w:val="single" w:color="D99695" w:sz="4" w:space="0" w:themeColor="accent2" w:themeTint="97"/>
          <w:right w:val="single" w:color="D99695" w:sz="4" w:space="0" w:themeColor="accent2" w:themeTint="97"/>
          <w:bottom w:val="single" w:color="D99695" w:sz="4" w:space="0" w:themeColor="accent2" w:themeTint="97"/>
        </w:tcBorders>
      </w:tcPr>
    </w:tblStylePr>
    <w:tblStylePr w:type="lastCol">
      <w:rPr>
        <w:b/>
        <w:color w:val="404040"/>
      </w:rPr>
    </w:tblStylePr>
    <w:tblStylePr w:type="lastRow">
      <w:rPr>
        <w:b/>
        <w:color w:val="404040"/>
      </w:rPr>
      <w:tcPr>
        <w:tcBorders>
          <w:top w:val="single" w:color="D99695" w:sz="4" w:space="0" w:themeColor="accent2" w:themeTint="97"/>
        </w:tcBorders>
      </w:tcPr>
    </w:tblStylePr>
  </w:style>
  <w:style w:type="table" w:styleId="724" w:customStyle="1">
    <w:name w:val="Grid Table 4 - Accent 3"/>
    <w:basedOn w:val="651"/>
    <w:uiPriority w:val="59"/>
    <w:pPr>
      <w:spacing w:lineRule="auto" w:line="240"/>
    </w:pPr>
    <w:tblPr>
      <w:tblStyleRowBandSize w:val="1"/>
      <w:tblStyleColBandSize w:val="1"/>
      <w:tblBorders>
        <w:left w:val="single" w:color="C6D8A1" w:sz="4" w:space="0" w:themeColor="accent3" w:themeTint="90"/>
        <w:top w:val="single" w:color="C6D8A1" w:sz="4" w:space="0" w:themeColor="accent3" w:themeTint="90"/>
        <w:right w:val="single" w:color="C6D8A1" w:sz="4" w:space="0" w:themeColor="accent3" w:themeTint="90"/>
        <w:bottom w:val="single" w:color="C6D8A1" w:sz="4" w:space="0" w:themeColor="accent3" w:themeTint="90"/>
        <w:insideV w:val="single" w:color="C6D8A1" w:sz="4" w:space="0" w:themeColor="accent3" w:themeTint="90"/>
        <w:insideH w:val="single" w:color="C6D8A1" w:sz="4" w:space="0" w:themeColor="accent3" w:themeTint="90"/>
      </w:tblBorders>
    </w:tblPr>
    <w:tblStylePr w:type="band1Horz">
      <w:rPr>
        <w:rFonts w:ascii="Arial" w:hAnsi="Arial"/>
        <w:color w:val="404040"/>
        <w:sz w:val="22"/>
      </w:rPr>
      <w:tcPr>
        <w:shd w:val="clear" w:color="EAF1DC" w:fill="EAF1DC" w:themeFill="accent3" w:themeFillTint="34" w:themeColor="accent3" w:themeTint="34"/>
      </w:tcPr>
    </w:tblStylePr>
    <w:tblStylePr w:type="band1Vert">
      <w:rPr>
        <w:rFonts w:ascii="Arial" w:hAnsi="Arial"/>
        <w:color w:val="404040"/>
        <w:sz w:val="22"/>
      </w:rPr>
      <w:tcPr>
        <w:shd w:val="clear" w:color="EAF1DC" w:fill="EAF1DC" w:themeFill="accent3" w:themeFillTint="34" w:themeColor="accent3" w:themeTint="34"/>
      </w:tcPr>
    </w:tblStylePr>
    <w:tblStylePr w:type="firstCol">
      <w:rPr>
        <w:b/>
        <w:color w:val="404040"/>
      </w:rPr>
    </w:tblStylePr>
    <w:tblStylePr w:type="firstRow">
      <w:rPr>
        <w:rFonts w:ascii="Arial" w:hAnsi="Arial"/>
        <w:b/>
        <w:color w:val="FFFFFF"/>
        <w:sz w:val="22"/>
      </w:rPr>
      <w:tcPr>
        <w:shd w:val="clear" w:color="9ABB59" w:fill="9ABB59" w:themeFill="accent3" w:themeFillTint="FE" w:themeColor="accent3" w:themeTint="FE"/>
        <w:tcBorders>
          <w:left w:val="single" w:color="9ABB59" w:sz="4" w:space="0" w:themeColor="accent3" w:themeTint="FE"/>
          <w:top w:val="single" w:color="9ABB59" w:sz="4" w:space="0" w:themeColor="accent3" w:themeTint="FE"/>
          <w:right w:val="single" w:color="9ABB59" w:sz="4" w:space="0" w:themeColor="accent3" w:themeTint="FE"/>
          <w:bottom w:val="single" w:color="9ABB59" w:sz="4" w:space="0" w:themeColor="accent3" w:themeTint="FE"/>
        </w:tcBorders>
      </w:tcPr>
    </w:tblStylePr>
    <w:tblStylePr w:type="lastCol">
      <w:rPr>
        <w:b/>
        <w:color w:val="404040"/>
      </w:rPr>
    </w:tblStylePr>
    <w:tblStylePr w:type="lastRow">
      <w:rPr>
        <w:b/>
        <w:color w:val="404040"/>
      </w:rPr>
      <w:tcPr>
        <w:tcBorders>
          <w:top w:val="single" w:color="9ABB59" w:sz="4" w:space="0" w:themeColor="accent3" w:themeTint="FE"/>
        </w:tcBorders>
      </w:tcPr>
    </w:tblStylePr>
  </w:style>
  <w:style w:type="table" w:styleId="725" w:customStyle="1">
    <w:name w:val="Grid Table 4 - Accent 4"/>
    <w:basedOn w:val="651"/>
    <w:uiPriority w:val="59"/>
    <w:pPr>
      <w:spacing w:lineRule="auto" w:line="240"/>
    </w:pPr>
    <w:tblPr>
      <w:tblStyleRowBandSize w:val="1"/>
      <w:tblStyleColBandSize w:val="1"/>
      <w:tblBorders>
        <w:left w:val="single" w:color="B7A7CA" w:sz="4" w:space="0" w:themeColor="accent4" w:themeTint="90"/>
        <w:top w:val="single" w:color="B7A7CA" w:sz="4" w:space="0" w:themeColor="accent4" w:themeTint="90"/>
        <w:right w:val="single" w:color="B7A7CA" w:sz="4" w:space="0" w:themeColor="accent4" w:themeTint="90"/>
        <w:bottom w:val="single" w:color="B7A7CA" w:sz="4" w:space="0" w:themeColor="accent4" w:themeTint="90"/>
        <w:insideV w:val="single" w:color="B7A7CA" w:sz="4" w:space="0" w:themeColor="accent4" w:themeTint="90"/>
        <w:insideH w:val="single" w:color="B7A7CA" w:sz="4" w:space="0" w:themeColor="accent4" w:themeTint="90"/>
      </w:tblBorders>
    </w:tblPr>
    <w:tblStylePr w:type="band1Horz">
      <w:rPr>
        <w:rFonts w:ascii="Arial" w:hAnsi="Arial"/>
        <w:color w:val="404040"/>
        <w:sz w:val="22"/>
      </w:rPr>
      <w:tcPr>
        <w:shd w:val="clear" w:color="E5DFEC" w:fill="E5DFEC" w:themeFill="accent4" w:themeFillTint="34" w:themeColor="accent4" w:themeTint="34"/>
      </w:tcPr>
    </w:tblStylePr>
    <w:tblStylePr w:type="band1Vert">
      <w:rPr>
        <w:rFonts w:ascii="Arial" w:hAnsi="Arial"/>
        <w:color w:val="404040"/>
        <w:sz w:val="22"/>
      </w:rPr>
      <w:tcPr>
        <w:shd w:val="clear" w:color="E5DFEC" w:fill="E5DFEC" w:themeFill="accent4" w:themeFillTint="34" w:themeColor="accent4" w:themeTint="34"/>
      </w:tcPr>
    </w:tblStylePr>
    <w:tblStylePr w:type="firstCol">
      <w:rPr>
        <w:b/>
        <w:color w:val="404040"/>
      </w:rPr>
    </w:tblStylePr>
    <w:tblStylePr w:type="firstRow">
      <w:rPr>
        <w:rFonts w:ascii="Arial" w:hAnsi="Arial"/>
        <w:b/>
        <w:color w:val="FFFFFF"/>
        <w:sz w:val="22"/>
      </w:rPr>
      <w:tcPr>
        <w:shd w:val="clear" w:color="B2A1C6" w:fill="B2A1C6" w:themeFill="accent4" w:themeFillTint="9A" w:themeColor="accent4" w:themeTint="9A"/>
        <w:tcBorders>
          <w:left w:val="single" w:color="B2A1C6" w:sz="4" w:space="0" w:themeColor="accent4" w:themeTint="9A"/>
          <w:top w:val="single" w:color="B2A1C6" w:sz="4" w:space="0" w:themeColor="accent4" w:themeTint="9A"/>
          <w:right w:val="single" w:color="B2A1C6" w:sz="4" w:space="0" w:themeColor="accent4" w:themeTint="9A"/>
          <w:bottom w:val="single" w:color="B2A1C6" w:sz="4" w:space="0" w:themeColor="accent4" w:themeTint="9A"/>
        </w:tcBorders>
      </w:tcPr>
    </w:tblStylePr>
    <w:tblStylePr w:type="lastCol">
      <w:rPr>
        <w:b/>
        <w:color w:val="404040"/>
      </w:rPr>
    </w:tblStylePr>
    <w:tblStylePr w:type="lastRow">
      <w:rPr>
        <w:b/>
        <w:color w:val="404040"/>
      </w:rPr>
      <w:tcPr>
        <w:tcBorders>
          <w:top w:val="single" w:color="B2A1C6" w:sz="4" w:space="0" w:themeColor="accent4" w:themeTint="9A"/>
        </w:tcBorders>
      </w:tcPr>
    </w:tblStylePr>
  </w:style>
  <w:style w:type="table" w:styleId="726" w:customStyle="1">
    <w:name w:val="Grid Table 4 - Accent 5"/>
    <w:basedOn w:val="651"/>
    <w:uiPriority w:val="59"/>
    <w:pPr>
      <w:spacing w:lineRule="auto" w:line="240"/>
    </w:pPr>
    <w:tblPr>
      <w:tblStyleRowBandSize w:val="1"/>
      <w:tblStyleColBandSize w:val="1"/>
      <w:tblBorders>
        <w:left w:val="single" w:color="99D0DE" w:sz="4" w:space="0" w:themeColor="accent5" w:themeTint="90"/>
        <w:top w:val="single" w:color="99D0DE" w:sz="4" w:space="0" w:themeColor="accent5" w:themeTint="90"/>
        <w:right w:val="single" w:color="99D0DE" w:sz="4" w:space="0" w:themeColor="accent5" w:themeTint="90"/>
        <w:bottom w:val="single" w:color="99D0DE" w:sz="4" w:space="0" w:themeColor="accent5" w:themeTint="90"/>
        <w:insideV w:val="single" w:color="99D0DE" w:sz="4" w:space="0" w:themeColor="accent5" w:themeTint="90"/>
        <w:insideH w:val="single" w:color="99D0DE" w:sz="4" w:space="0" w:themeColor="accent5" w:themeTint="90"/>
      </w:tblBorders>
    </w:tblPr>
    <w:tblStylePr w:type="band1Horz">
      <w:rPr>
        <w:rFonts w:ascii="Arial" w:hAnsi="Arial"/>
        <w:color w:val="404040"/>
        <w:sz w:val="22"/>
      </w:rPr>
      <w:tcPr>
        <w:shd w:val="clear" w:color="DAEEF3" w:fill="DAEEF3" w:themeFill="accent5" w:themeFillTint="34" w:themeColor="accent5" w:themeTint="34"/>
      </w:tcPr>
    </w:tblStylePr>
    <w:tblStylePr w:type="band1Vert">
      <w:rPr>
        <w:rFonts w:ascii="Arial" w:hAnsi="Arial"/>
        <w:color w:val="404040"/>
        <w:sz w:val="22"/>
      </w:rPr>
      <w:tcPr>
        <w:shd w:val="clear" w:color="DAEEF3" w:fill="DAEEF3" w:themeFill="accent5" w:themeFillTint="34" w:themeColor="accent5" w:themeTint="34"/>
      </w:tcPr>
    </w:tblStylePr>
    <w:tblStylePr w:type="firstCol">
      <w:rPr>
        <w:b/>
        <w:color w:val="404040"/>
      </w:rPr>
    </w:tblStylePr>
    <w:tblStylePr w:type="firstRow">
      <w:rPr>
        <w:rFonts w:ascii="Arial" w:hAnsi="Arial"/>
        <w:b/>
        <w:color w:val="FFFFFF"/>
        <w:sz w:val="22"/>
      </w:rPr>
      <w:tcPr>
        <w:shd w:val="clear" w:color="4BACC6" w:fill="4BACC6" w:themeFill="accent5" w:themeColor="accent5"/>
        <w:tcBorders>
          <w:left w:val="single" w:color="4BACC6" w:sz="4" w:space="0" w:themeColor="accent5"/>
          <w:top w:val="single" w:color="4BACC6" w:sz="4" w:space="0" w:themeColor="accent5"/>
          <w:right w:val="single" w:color="4BACC6" w:sz="4" w:space="0" w:themeColor="accent5"/>
          <w:bottom w:val="single" w:color="4BACC6" w:sz="4" w:space="0" w:themeColor="accent5"/>
        </w:tcBorders>
      </w:tcPr>
    </w:tblStylePr>
    <w:tblStylePr w:type="lastCol">
      <w:rPr>
        <w:b/>
        <w:color w:val="404040"/>
      </w:rPr>
    </w:tblStylePr>
    <w:tblStylePr w:type="lastRow">
      <w:rPr>
        <w:b/>
        <w:color w:val="404040"/>
      </w:rPr>
      <w:tcPr>
        <w:tcBorders>
          <w:top w:val="single" w:color="4BACC6" w:sz="4" w:space="0" w:themeColor="accent5"/>
        </w:tcBorders>
      </w:tcPr>
    </w:tblStylePr>
  </w:style>
  <w:style w:type="table" w:styleId="727" w:customStyle="1">
    <w:name w:val="Grid Table 4 - Accent 6"/>
    <w:basedOn w:val="651"/>
    <w:uiPriority w:val="59"/>
    <w:pPr>
      <w:spacing w:lineRule="auto" w:line="240"/>
    </w:pPr>
    <w:tblPr>
      <w:tblStyleRowBandSize w:val="1"/>
      <w:tblStyleColBandSize w:val="1"/>
      <w:tblBorders>
        <w:left w:val="single" w:color="FAC396" w:sz="4" w:space="0" w:themeColor="accent6" w:themeTint="90"/>
        <w:top w:val="single" w:color="FAC396" w:sz="4" w:space="0" w:themeColor="accent6" w:themeTint="90"/>
        <w:right w:val="single" w:color="FAC396" w:sz="4" w:space="0" w:themeColor="accent6" w:themeTint="90"/>
        <w:bottom w:val="single" w:color="FAC396" w:sz="4" w:space="0" w:themeColor="accent6" w:themeTint="90"/>
        <w:insideV w:val="single" w:color="FAC396" w:sz="4" w:space="0" w:themeColor="accent6" w:themeTint="90"/>
        <w:insideH w:val="single" w:color="FAC396" w:sz="4" w:space="0" w:themeColor="accent6" w:themeTint="90"/>
      </w:tblBorders>
    </w:tblPr>
    <w:tblStylePr w:type="band1Horz">
      <w:rPr>
        <w:rFonts w:ascii="Arial" w:hAnsi="Arial"/>
        <w:color w:val="404040"/>
        <w:sz w:val="22"/>
      </w:rPr>
      <w:tcPr>
        <w:shd w:val="clear" w:color="FDE9D8" w:fill="FDE9D8" w:themeFill="accent6" w:themeFillTint="34" w:themeColor="accent6" w:themeTint="34"/>
      </w:tcPr>
    </w:tblStylePr>
    <w:tblStylePr w:type="band1Vert">
      <w:rPr>
        <w:rFonts w:ascii="Arial" w:hAnsi="Arial"/>
        <w:color w:val="404040"/>
        <w:sz w:val="22"/>
      </w:rPr>
      <w:tcPr>
        <w:shd w:val="clear" w:color="FDE9D8" w:fill="FDE9D8" w:themeFill="accent6" w:themeFillTint="34" w:themeColor="accent6" w:themeTint="34"/>
      </w:tcPr>
    </w:tblStylePr>
    <w:tblStylePr w:type="firstCol">
      <w:rPr>
        <w:b/>
        <w:color w:val="404040"/>
      </w:rPr>
    </w:tblStylePr>
    <w:tblStylePr w:type="firstRow">
      <w:rPr>
        <w:rFonts w:ascii="Arial" w:hAnsi="Arial"/>
        <w:b/>
        <w:color w:val="FFFFFF"/>
        <w:sz w:val="22"/>
      </w:rPr>
      <w:tcPr>
        <w:shd w:val="clear" w:color="F79646" w:fill="F79646" w:themeFill="accent6" w:themeColor="accent6"/>
        <w:tcBorders>
          <w:left w:val="single" w:color="F79646" w:sz="4" w:space="0" w:themeColor="accent6"/>
          <w:top w:val="single" w:color="F79646" w:sz="4" w:space="0" w:themeColor="accent6"/>
          <w:right w:val="single" w:color="F79646" w:sz="4" w:space="0" w:themeColor="accent6"/>
          <w:bottom w:val="single" w:color="F79646" w:sz="4" w:space="0" w:themeColor="accent6"/>
        </w:tcBorders>
      </w:tcPr>
    </w:tblStylePr>
    <w:tblStylePr w:type="lastCol">
      <w:rPr>
        <w:b/>
        <w:color w:val="404040"/>
      </w:rPr>
    </w:tblStylePr>
    <w:tblStylePr w:type="lastRow">
      <w:rPr>
        <w:b/>
        <w:color w:val="404040"/>
      </w:rPr>
      <w:tcPr>
        <w:tcBorders>
          <w:top w:val="single" w:color="F79646" w:sz="4" w:space="0" w:themeColor="accent6"/>
        </w:tcBorders>
      </w:tcPr>
    </w:tblStylePr>
  </w:style>
  <w:style w:type="table" w:styleId="728">
    <w:name w:val="Grid Table 5 Dark"/>
    <w:basedOn w:val="651"/>
    <w:uiPriority w:val="99"/>
    <w:pPr>
      <w:spacing w:lineRule="auto" w:line="240"/>
    </w:pPr>
    <w:tblPr>
      <w:tblStyleRowBandSize w:val="1"/>
      <w:tblStyleColBandSize w:val="1"/>
      <w:tblBorders>
        <w:left w:val="single" w:color="FFFFFF" w:sz="4" w:space="0" w:themeColor="light1"/>
        <w:top w:val="single" w:color="FFFFFF" w:sz="4" w:space="0" w:themeColor="light1"/>
        <w:right w:val="single" w:color="FFFFFF" w:sz="4" w:space="0" w:themeColor="light1"/>
        <w:bottom w:val="single" w:color="FFFFFF" w:sz="4" w:space="0" w:themeColor="light1"/>
        <w:insideV w:val="single" w:color="FFFFFF" w:sz="4" w:space="0" w:themeColor="light1"/>
        <w:insideH w:val="single" w:color="FFFFFF" w:sz="4" w:space="0" w:themeColor="light1"/>
      </w:tblBorders>
      <w:shd w:val="clear" w:color="BFBFBF" w:fill="BFBFBF" w:themeFill="text1" w:themeFillTint="40" w:themeColor="text1" w:themeTint="40"/>
    </w:tblPr>
    <w:tblStylePr w:type="band1Horz">
      <w:tcPr>
        <w:shd w:val="clear" w:color="8A8A8A" w:fill="8A8A8A" w:themeFill="text1" w:themeFillTint="75" w:themeColor="text1" w:themeTint="75"/>
      </w:tcPr>
    </w:tblStylePr>
    <w:tblStylePr w:type="band1Vert">
      <w:tcPr>
        <w:shd w:val="clear" w:color="8A8A8A" w:fill="8A8A8A" w:themeFill="text1" w:themeFillTint="75" w:themeColor="text1" w:themeTint="75"/>
      </w:tcPr>
    </w:tblStylePr>
    <w:tblStylePr w:type="firstCol">
      <w:rPr>
        <w:rFonts w:ascii="Arial" w:hAnsi="Arial"/>
        <w:b/>
        <w:color w:val="FFFFFF"/>
        <w:sz w:val="22"/>
      </w:rPr>
      <w:tcPr>
        <w:shd w:val="clear" w:color="000000" w:fill="000000" w:themeFill="text1" w:themeColor="text1"/>
      </w:tcPr>
    </w:tblStylePr>
    <w:tblStylePr w:type="firstRow">
      <w:rPr>
        <w:rFonts w:ascii="Arial" w:hAnsi="Arial"/>
        <w:b/>
        <w:color w:val="FFFFFF"/>
        <w:sz w:val="22"/>
      </w:rPr>
      <w:tcPr>
        <w:shd w:val="clear" w:color="000000" w:fill="000000" w:themeFill="text1" w:themeColor="text1"/>
      </w:tcPr>
    </w:tblStylePr>
    <w:tblStylePr w:type="lastCol">
      <w:rPr>
        <w:rFonts w:ascii="Arial" w:hAnsi="Arial"/>
        <w:b/>
        <w:color w:val="FFFFFF"/>
        <w:sz w:val="22"/>
      </w:rPr>
      <w:tcPr>
        <w:shd w:val="clear" w:color="000000" w:fill="000000" w:themeFill="text1" w:themeColor="text1"/>
      </w:tcPr>
    </w:tblStylePr>
    <w:tblStylePr w:type="lastRow">
      <w:rPr>
        <w:rFonts w:ascii="Arial" w:hAnsi="Arial"/>
        <w:b/>
        <w:color w:val="FFFFFF"/>
        <w:sz w:val="22"/>
      </w:rPr>
      <w:tcPr>
        <w:shd w:val="clear" w:color="000000" w:fill="000000" w:themeFill="text1" w:themeColor="text1"/>
        <w:tcBorders>
          <w:top w:val="single" w:color="FFFFFF" w:sz="4" w:space="0" w:themeColor="light1"/>
        </w:tcBorders>
      </w:tcPr>
    </w:tblStylePr>
  </w:style>
  <w:style w:type="table" w:styleId="729" w:customStyle="1">
    <w:name w:val="Grid Table 5 Dark- Accent 1"/>
    <w:basedOn w:val="651"/>
    <w:uiPriority w:val="99"/>
    <w:pPr>
      <w:spacing w:lineRule="auto" w:line="240"/>
    </w:pPr>
    <w:tblPr>
      <w:tblStyleRowBandSize w:val="1"/>
      <w:tblStyleColBandSize w:val="1"/>
      <w:tblBorders>
        <w:left w:val="single" w:color="FFFFFF" w:sz="4" w:space="0" w:themeColor="light1"/>
        <w:top w:val="single" w:color="FFFFFF" w:sz="4" w:space="0" w:themeColor="light1"/>
        <w:right w:val="single" w:color="FFFFFF" w:sz="4" w:space="0" w:themeColor="light1"/>
        <w:bottom w:val="single" w:color="FFFFFF" w:sz="4" w:space="0" w:themeColor="light1"/>
        <w:insideV w:val="single" w:color="FFFFFF" w:sz="4" w:space="0" w:themeColor="light1"/>
        <w:insideH w:val="single" w:color="FFFFFF" w:sz="4" w:space="0" w:themeColor="light1"/>
      </w:tblBorders>
      <w:shd w:val="clear" w:color="DAE5F1" w:fill="DAE5F1" w:themeFill="accent1" w:themeFillTint="34" w:themeColor="accent1" w:themeTint="34"/>
    </w:tblPr>
    <w:tblStylePr w:type="band1Horz">
      <w:tcPr>
        <w:shd w:val="clear" w:color="AEC4E0" w:fill="AEC4E0" w:themeFill="accent1" w:themeFillTint="75" w:themeColor="accent1" w:themeTint="75"/>
      </w:tcPr>
    </w:tblStylePr>
    <w:tblStylePr w:type="band1Vert">
      <w:tcPr>
        <w:shd w:val="clear" w:color="AEC4E0" w:fill="AEC4E0" w:themeFill="accent1" w:themeFillTint="75" w:themeColor="accent1" w:themeTint="75"/>
      </w:tcPr>
    </w:tblStylePr>
    <w:tblStylePr w:type="firstCol">
      <w:rPr>
        <w:rFonts w:ascii="Arial" w:hAnsi="Arial"/>
        <w:b/>
        <w:color w:val="FFFFFF"/>
        <w:sz w:val="22"/>
      </w:rPr>
      <w:tcPr>
        <w:shd w:val="clear" w:color="4F81BD" w:fill="4F81BD" w:themeFill="accent1" w:themeColor="accent1"/>
      </w:tcPr>
    </w:tblStylePr>
    <w:tblStylePr w:type="firstRow">
      <w:rPr>
        <w:rFonts w:ascii="Arial" w:hAnsi="Arial"/>
        <w:b/>
        <w:color w:val="FFFFFF"/>
        <w:sz w:val="22"/>
      </w:rPr>
      <w:tcPr>
        <w:shd w:val="clear" w:color="4F81BD" w:fill="4F81BD" w:themeFill="accent1" w:themeColor="accent1"/>
      </w:tcPr>
    </w:tblStylePr>
    <w:tblStylePr w:type="lastCol">
      <w:rPr>
        <w:rFonts w:ascii="Arial" w:hAnsi="Arial"/>
        <w:b/>
        <w:color w:val="FFFFFF"/>
        <w:sz w:val="22"/>
      </w:rPr>
      <w:tcPr>
        <w:shd w:val="clear" w:color="4F81BD" w:fill="4F81BD" w:themeFill="accent1" w:themeColor="accent1"/>
      </w:tcPr>
    </w:tblStylePr>
    <w:tblStylePr w:type="lastRow">
      <w:rPr>
        <w:rFonts w:ascii="Arial" w:hAnsi="Arial"/>
        <w:b/>
        <w:color w:val="FFFFFF"/>
        <w:sz w:val="22"/>
      </w:rPr>
      <w:tcPr>
        <w:shd w:val="clear" w:color="4F81BD" w:fill="4F81BD" w:themeFill="accent1" w:themeColor="accent1"/>
        <w:tcBorders>
          <w:top w:val="single" w:color="FFFFFF" w:sz="4" w:space="0" w:themeColor="light1"/>
        </w:tcBorders>
      </w:tcPr>
    </w:tblStylePr>
  </w:style>
  <w:style w:type="table" w:styleId="730" w:customStyle="1">
    <w:name w:val="Grid Table 5 Dark - Accent 2"/>
    <w:basedOn w:val="651"/>
    <w:uiPriority w:val="99"/>
    <w:pPr>
      <w:spacing w:lineRule="auto" w:line="240"/>
    </w:pPr>
    <w:tblPr>
      <w:tblStyleRowBandSize w:val="1"/>
      <w:tblStyleColBandSize w:val="1"/>
      <w:tblBorders>
        <w:left w:val="single" w:color="FFFFFF" w:sz="4" w:space="0" w:themeColor="light1"/>
        <w:top w:val="single" w:color="FFFFFF" w:sz="4" w:space="0" w:themeColor="light1"/>
        <w:right w:val="single" w:color="FFFFFF" w:sz="4" w:space="0" w:themeColor="light1"/>
        <w:bottom w:val="single" w:color="FFFFFF" w:sz="4" w:space="0" w:themeColor="light1"/>
        <w:insideV w:val="single" w:color="FFFFFF" w:sz="4" w:space="0" w:themeColor="light1"/>
        <w:insideH w:val="single" w:color="FFFFFF" w:sz="4" w:space="0" w:themeColor="light1"/>
      </w:tblBorders>
      <w:shd w:val="clear" w:color="F2DCDC" w:fill="F2DCDC" w:themeFill="accent2" w:themeFillTint="32" w:themeColor="accent2" w:themeTint="32"/>
    </w:tblPr>
    <w:tblStylePr w:type="band1Horz">
      <w:tcPr>
        <w:shd w:val="clear" w:color="E2AEAD" w:fill="E2AEAD" w:themeFill="accent2" w:themeFillTint="75" w:themeColor="accent2" w:themeTint="75"/>
      </w:tcPr>
    </w:tblStylePr>
    <w:tblStylePr w:type="band1Vert">
      <w:tcPr>
        <w:shd w:val="clear" w:color="E2AEAD" w:fill="E2AEAD" w:themeFill="accent2" w:themeFillTint="75" w:themeColor="accent2" w:themeTint="75"/>
      </w:tcPr>
    </w:tblStylePr>
    <w:tblStylePr w:type="firstCol">
      <w:rPr>
        <w:rFonts w:ascii="Arial" w:hAnsi="Arial"/>
        <w:b/>
        <w:color w:val="FFFFFF"/>
        <w:sz w:val="22"/>
      </w:rPr>
      <w:tcPr>
        <w:shd w:val="clear" w:color="C0504D" w:fill="C0504D" w:themeFill="accent2" w:themeColor="accent2"/>
      </w:tcPr>
    </w:tblStylePr>
    <w:tblStylePr w:type="firstRow">
      <w:rPr>
        <w:rFonts w:ascii="Arial" w:hAnsi="Arial"/>
        <w:b/>
        <w:color w:val="FFFFFF"/>
        <w:sz w:val="22"/>
      </w:rPr>
      <w:tcPr>
        <w:shd w:val="clear" w:color="C0504D" w:fill="C0504D" w:themeFill="accent2" w:themeColor="accent2"/>
      </w:tcPr>
    </w:tblStylePr>
    <w:tblStylePr w:type="lastCol">
      <w:rPr>
        <w:rFonts w:ascii="Arial" w:hAnsi="Arial"/>
        <w:b/>
        <w:color w:val="FFFFFF"/>
        <w:sz w:val="22"/>
      </w:rPr>
      <w:tcPr>
        <w:shd w:val="clear" w:color="C0504D" w:fill="C0504D" w:themeFill="accent2" w:themeColor="accent2"/>
      </w:tcPr>
    </w:tblStylePr>
    <w:tblStylePr w:type="lastRow">
      <w:rPr>
        <w:rFonts w:ascii="Arial" w:hAnsi="Arial"/>
        <w:b/>
        <w:color w:val="FFFFFF"/>
        <w:sz w:val="22"/>
      </w:rPr>
      <w:tcPr>
        <w:shd w:val="clear" w:color="C0504D" w:fill="C0504D" w:themeFill="accent2" w:themeColor="accent2"/>
        <w:tcBorders>
          <w:top w:val="single" w:color="FFFFFF" w:sz="4" w:space="0" w:themeColor="light1"/>
        </w:tcBorders>
      </w:tcPr>
    </w:tblStylePr>
  </w:style>
  <w:style w:type="table" w:styleId="731" w:customStyle="1">
    <w:name w:val="Grid Table 5 Dark - Accent 3"/>
    <w:basedOn w:val="651"/>
    <w:uiPriority w:val="99"/>
    <w:pPr>
      <w:spacing w:lineRule="auto" w:line="240"/>
    </w:pPr>
    <w:tblPr>
      <w:tblStyleRowBandSize w:val="1"/>
      <w:tblStyleColBandSize w:val="1"/>
      <w:tblBorders>
        <w:left w:val="single" w:color="FFFFFF" w:sz="4" w:space="0" w:themeColor="light1"/>
        <w:top w:val="single" w:color="FFFFFF" w:sz="4" w:space="0" w:themeColor="light1"/>
        <w:right w:val="single" w:color="FFFFFF" w:sz="4" w:space="0" w:themeColor="light1"/>
        <w:bottom w:val="single" w:color="FFFFFF" w:sz="4" w:space="0" w:themeColor="light1"/>
        <w:insideV w:val="single" w:color="FFFFFF" w:sz="4" w:space="0" w:themeColor="light1"/>
        <w:insideH w:val="single" w:color="FFFFFF" w:sz="4" w:space="0" w:themeColor="light1"/>
      </w:tblBorders>
      <w:shd w:val="clear" w:color="EAF1DC" w:fill="EAF1DC" w:themeFill="accent3" w:themeFillTint="34" w:themeColor="accent3" w:themeTint="34"/>
    </w:tblPr>
    <w:tblStylePr w:type="band1Horz">
      <w:tcPr>
        <w:shd w:val="clear" w:color="D0DFB2" w:fill="D0DFB2" w:themeFill="accent3" w:themeFillTint="75" w:themeColor="accent3" w:themeTint="75"/>
      </w:tcPr>
    </w:tblStylePr>
    <w:tblStylePr w:type="band1Vert">
      <w:tcPr>
        <w:shd w:val="clear" w:color="D0DFB2" w:fill="D0DFB2" w:themeFill="accent3" w:themeFillTint="75" w:themeColor="accent3" w:themeTint="75"/>
      </w:tcPr>
    </w:tblStylePr>
    <w:tblStylePr w:type="firstCol">
      <w:rPr>
        <w:rFonts w:ascii="Arial" w:hAnsi="Arial"/>
        <w:b/>
        <w:color w:val="FFFFFF"/>
        <w:sz w:val="22"/>
      </w:rPr>
      <w:tcPr>
        <w:shd w:val="clear" w:color="9BBB59" w:fill="9BBB59" w:themeFill="accent3" w:themeColor="accent3"/>
      </w:tcPr>
    </w:tblStylePr>
    <w:tblStylePr w:type="firstRow">
      <w:rPr>
        <w:rFonts w:ascii="Arial" w:hAnsi="Arial"/>
        <w:b/>
        <w:color w:val="FFFFFF"/>
        <w:sz w:val="22"/>
      </w:rPr>
      <w:tcPr>
        <w:shd w:val="clear" w:color="9BBB59" w:fill="9BBB59" w:themeFill="accent3" w:themeColor="accent3"/>
      </w:tcPr>
    </w:tblStylePr>
    <w:tblStylePr w:type="lastCol">
      <w:rPr>
        <w:rFonts w:ascii="Arial" w:hAnsi="Arial"/>
        <w:b/>
        <w:color w:val="FFFFFF"/>
        <w:sz w:val="22"/>
      </w:rPr>
      <w:tcPr>
        <w:shd w:val="clear" w:color="9BBB59" w:fill="9BBB59" w:themeFill="accent3" w:themeColor="accent3"/>
      </w:tcPr>
    </w:tblStylePr>
    <w:tblStylePr w:type="lastRow">
      <w:rPr>
        <w:rFonts w:ascii="Arial" w:hAnsi="Arial"/>
        <w:b/>
        <w:color w:val="FFFFFF"/>
        <w:sz w:val="22"/>
      </w:rPr>
      <w:tcPr>
        <w:shd w:val="clear" w:color="9BBB59" w:fill="9BBB59" w:themeFill="accent3" w:themeColor="accent3"/>
        <w:tcBorders>
          <w:top w:val="single" w:color="FFFFFF" w:sz="4" w:space="0" w:themeColor="light1"/>
        </w:tcBorders>
      </w:tcPr>
    </w:tblStylePr>
  </w:style>
  <w:style w:type="table" w:styleId="732" w:customStyle="1">
    <w:name w:val="Grid Table 5 Dark- Accent 4"/>
    <w:basedOn w:val="651"/>
    <w:uiPriority w:val="99"/>
    <w:pPr>
      <w:spacing w:lineRule="auto" w:line="240"/>
    </w:pPr>
    <w:tblPr>
      <w:tblStyleRowBandSize w:val="1"/>
      <w:tblStyleColBandSize w:val="1"/>
      <w:tblBorders>
        <w:left w:val="single" w:color="FFFFFF" w:sz="4" w:space="0" w:themeColor="light1"/>
        <w:top w:val="single" w:color="FFFFFF" w:sz="4" w:space="0" w:themeColor="light1"/>
        <w:right w:val="single" w:color="FFFFFF" w:sz="4" w:space="0" w:themeColor="light1"/>
        <w:bottom w:val="single" w:color="FFFFFF" w:sz="4" w:space="0" w:themeColor="light1"/>
        <w:insideV w:val="single" w:color="FFFFFF" w:sz="4" w:space="0" w:themeColor="light1"/>
        <w:insideH w:val="single" w:color="FFFFFF" w:sz="4" w:space="0" w:themeColor="light1"/>
      </w:tblBorders>
      <w:shd w:val="clear" w:color="E5DFEC" w:fill="E5DFEC" w:themeFill="accent4" w:themeFillTint="34" w:themeColor="accent4" w:themeTint="34"/>
    </w:tblPr>
    <w:tblStylePr w:type="band1Horz">
      <w:tcPr>
        <w:shd w:val="clear" w:color="C4B7D4" w:fill="C4B7D4" w:themeFill="accent4" w:themeFillTint="75" w:themeColor="accent4" w:themeTint="75"/>
      </w:tcPr>
    </w:tblStylePr>
    <w:tblStylePr w:type="band1Vert">
      <w:tcPr>
        <w:shd w:val="clear" w:color="C4B7D4" w:fill="C4B7D4" w:themeFill="accent4" w:themeFillTint="75" w:themeColor="accent4" w:themeTint="75"/>
      </w:tcPr>
    </w:tblStylePr>
    <w:tblStylePr w:type="firstCol">
      <w:rPr>
        <w:rFonts w:ascii="Arial" w:hAnsi="Arial"/>
        <w:b/>
        <w:color w:val="FFFFFF"/>
        <w:sz w:val="22"/>
      </w:rPr>
      <w:tcPr>
        <w:shd w:val="clear" w:color="8064A2" w:fill="8064A2" w:themeFill="accent4" w:themeColor="accent4"/>
      </w:tcPr>
    </w:tblStylePr>
    <w:tblStylePr w:type="firstRow">
      <w:rPr>
        <w:rFonts w:ascii="Arial" w:hAnsi="Arial"/>
        <w:b/>
        <w:color w:val="FFFFFF"/>
        <w:sz w:val="22"/>
      </w:rPr>
      <w:tcPr>
        <w:shd w:val="clear" w:color="8064A2" w:fill="8064A2" w:themeFill="accent4" w:themeColor="accent4"/>
      </w:tcPr>
    </w:tblStylePr>
    <w:tblStylePr w:type="lastCol">
      <w:rPr>
        <w:rFonts w:ascii="Arial" w:hAnsi="Arial"/>
        <w:b/>
        <w:color w:val="FFFFFF"/>
        <w:sz w:val="22"/>
      </w:rPr>
      <w:tcPr>
        <w:shd w:val="clear" w:color="8064A2" w:fill="8064A2" w:themeFill="accent4" w:themeColor="accent4"/>
      </w:tcPr>
    </w:tblStylePr>
    <w:tblStylePr w:type="lastRow">
      <w:rPr>
        <w:rFonts w:ascii="Arial" w:hAnsi="Arial"/>
        <w:b/>
        <w:color w:val="FFFFFF"/>
        <w:sz w:val="22"/>
      </w:rPr>
      <w:tcPr>
        <w:shd w:val="clear" w:color="8064A2" w:fill="8064A2" w:themeFill="accent4" w:themeColor="accent4"/>
        <w:tcBorders>
          <w:top w:val="single" w:color="FFFFFF" w:sz="4" w:space="0" w:themeColor="light1"/>
        </w:tcBorders>
      </w:tcPr>
    </w:tblStylePr>
  </w:style>
  <w:style w:type="table" w:styleId="733" w:customStyle="1">
    <w:name w:val="Grid Table 5 Dark - Accent 5"/>
    <w:basedOn w:val="651"/>
    <w:uiPriority w:val="99"/>
    <w:pPr>
      <w:spacing w:lineRule="auto" w:line="240"/>
    </w:pPr>
    <w:tblPr>
      <w:tblStyleRowBandSize w:val="1"/>
      <w:tblStyleColBandSize w:val="1"/>
      <w:tblBorders>
        <w:left w:val="single" w:color="FFFFFF" w:sz="4" w:space="0" w:themeColor="light1"/>
        <w:top w:val="single" w:color="FFFFFF" w:sz="4" w:space="0" w:themeColor="light1"/>
        <w:right w:val="single" w:color="FFFFFF" w:sz="4" w:space="0" w:themeColor="light1"/>
        <w:bottom w:val="single" w:color="FFFFFF" w:sz="4" w:space="0" w:themeColor="light1"/>
        <w:insideV w:val="single" w:color="FFFFFF" w:sz="4" w:space="0" w:themeColor="light1"/>
        <w:insideH w:val="single" w:color="FFFFFF" w:sz="4" w:space="0" w:themeColor="light1"/>
      </w:tblBorders>
      <w:shd w:val="clear" w:color="DAEEF3" w:fill="DAEEF3" w:themeFill="accent5" w:themeFillTint="34" w:themeColor="accent5" w:themeTint="34"/>
    </w:tblPr>
    <w:tblStylePr w:type="band1Horz">
      <w:tcPr>
        <w:shd w:val="clear" w:color="ACD8E4" w:fill="ACD8E4" w:themeFill="accent5" w:themeFillTint="75" w:themeColor="accent5" w:themeTint="75"/>
      </w:tcPr>
    </w:tblStylePr>
    <w:tblStylePr w:type="band1Vert">
      <w:tcPr>
        <w:shd w:val="clear" w:color="ACD8E4" w:fill="ACD8E4" w:themeFill="accent5" w:themeFillTint="75" w:themeColor="accent5" w:themeTint="75"/>
      </w:tcPr>
    </w:tblStylePr>
    <w:tblStylePr w:type="firstCol">
      <w:rPr>
        <w:rFonts w:ascii="Arial" w:hAnsi="Arial"/>
        <w:b/>
        <w:color w:val="FFFFFF"/>
        <w:sz w:val="22"/>
      </w:rPr>
      <w:tcPr>
        <w:shd w:val="clear" w:color="4BACC6" w:fill="4BACC6" w:themeFill="accent5" w:themeColor="accent5"/>
      </w:tcPr>
    </w:tblStylePr>
    <w:tblStylePr w:type="firstRow">
      <w:rPr>
        <w:rFonts w:ascii="Arial" w:hAnsi="Arial"/>
        <w:b/>
        <w:color w:val="FFFFFF"/>
        <w:sz w:val="22"/>
      </w:rPr>
      <w:tcPr>
        <w:shd w:val="clear" w:color="4BACC6" w:fill="4BACC6" w:themeFill="accent5" w:themeColor="accent5"/>
      </w:tcPr>
    </w:tblStylePr>
    <w:tblStylePr w:type="lastCol">
      <w:rPr>
        <w:rFonts w:ascii="Arial" w:hAnsi="Arial"/>
        <w:b/>
        <w:color w:val="FFFFFF"/>
        <w:sz w:val="22"/>
      </w:rPr>
      <w:tcPr>
        <w:shd w:val="clear" w:color="4BACC6" w:fill="4BACC6" w:themeFill="accent5" w:themeColor="accent5"/>
      </w:tcPr>
    </w:tblStylePr>
    <w:tblStylePr w:type="lastRow">
      <w:rPr>
        <w:rFonts w:ascii="Arial" w:hAnsi="Arial"/>
        <w:b/>
        <w:color w:val="FFFFFF"/>
        <w:sz w:val="22"/>
      </w:rPr>
      <w:tcPr>
        <w:shd w:val="clear" w:color="4BACC6" w:fill="4BACC6" w:themeFill="accent5" w:themeColor="accent5"/>
        <w:tcBorders>
          <w:top w:val="single" w:color="FFFFFF" w:sz="4" w:space="0" w:themeColor="light1"/>
        </w:tcBorders>
      </w:tcPr>
    </w:tblStylePr>
  </w:style>
  <w:style w:type="table" w:styleId="734" w:customStyle="1">
    <w:name w:val="Grid Table 5 Dark - Accent 6"/>
    <w:basedOn w:val="651"/>
    <w:uiPriority w:val="99"/>
    <w:pPr>
      <w:spacing w:lineRule="auto" w:line="240"/>
    </w:pPr>
    <w:tblPr>
      <w:tblStyleRowBandSize w:val="1"/>
      <w:tblStyleColBandSize w:val="1"/>
      <w:tblBorders>
        <w:left w:val="single" w:color="FFFFFF" w:sz="4" w:space="0" w:themeColor="light1"/>
        <w:top w:val="single" w:color="FFFFFF" w:sz="4" w:space="0" w:themeColor="light1"/>
        <w:right w:val="single" w:color="FFFFFF" w:sz="4" w:space="0" w:themeColor="light1"/>
        <w:bottom w:val="single" w:color="FFFFFF" w:sz="4" w:space="0" w:themeColor="light1"/>
        <w:insideV w:val="single" w:color="FFFFFF" w:sz="4" w:space="0" w:themeColor="light1"/>
        <w:insideH w:val="single" w:color="FFFFFF" w:sz="4" w:space="0" w:themeColor="light1"/>
      </w:tblBorders>
      <w:shd w:val="clear" w:color="FDE9D8" w:fill="FDE9D8" w:themeFill="accent6" w:themeFillTint="34" w:themeColor="accent6" w:themeTint="34"/>
    </w:tblPr>
    <w:tblStylePr w:type="band1Horz">
      <w:tcPr>
        <w:shd w:val="clear" w:color="FBCEAA" w:fill="FBCEAA" w:themeFill="accent6" w:themeFillTint="75" w:themeColor="accent6" w:themeTint="75"/>
      </w:tcPr>
    </w:tblStylePr>
    <w:tblStylePr w:type="band1Vert">
      <w:tcPr>
        <w:shd w:val="clear" w:color="FBCEAA" w:fill="FBCEAA" w:themeFill="accent6" w:themeFillTint="75" w:themeColor="accent6" w:themeTint="75"/>
      </w:tcPr>
    </w:tblStylePr>
    <w:tblStylePr w:type="firstCol">
      <w:rPr>
        <w:rFonts w:ascii="Arial" w:hAnsi="Arial"/>
        <w:b/>
        <w:color w:val="FFFFFF"/>
        <w:sz w:val="22"/>
      </w:rPr>
      <w:tcPr>
        <w:shd w:val="clear" w:color="F79646" w:fill="F79646" w:themeFill="accent6" w:themeColor="accent6"/>
      </w:tcPr>
    </w:tblStylePr>
    <w:tblStylePr w:type="firstRow">
      <w:rPr>
        <w:rFonts w:ascii="Arial" w:hAnsi="Arial"/>
        <w:b/>
        <w:color w:val="FFFFFF"/>
        <w:sz w:val="22"/>
      </w:rPr>
      <w:tcPr>
        <w:shd w:val="clear" w:color="F79646" w:fill="F79646" w:themeFill="accent6" w:themeColor="accent6"/>
      </w:tcPr>
    </w:tblStylePr>
    <w:tblStylePr w:type="lastCol">
      <w:rPr>
        <w:rFonts w:ascii="Arial" w:hAnsi="Arial"/>
        <w:b/>
        <w:color w:val="FFFFFF"/>
        <w:sz w:val="22"/>
      </w:rPr>
      <w:tcPr>
        <w:shd w:val="clear" w:color="F79646" w:fill="F79646" w:themeFill="accent6" w:themeColor="accent6"/>
      </w:tcPr>
    </w:tblStylePr>
    <w:tblStylePr w:type="lastRow">
      <w:rPr>
        <w:rFonts w:ascii="Arial" w:hAnsi="Arial"/>
        <w:b/>
        <w:color w:val="FFFFFF"/>
        <w:sz w:val="22"/>
      </w:rPr>
      <w:tcPr>
        <w:shd w:val="clear" w:color="F79646" w:fill="F79646" w:themeFill="accent6" w:themeColor="accent6"/>
        <w:tcBorders>
          <w:top w:val="single" w:color="FFFFFF" w:sz="4" w:space="0" w:themeColor="light1"/>
        </w:tcBorders>
      </w:tcPr>
    </w:tblStylePr>
  </w:style>
  <w:style w:type="table" w:styleId="735">
    <w:name w:val="Grid Table 6 Colorful"/>
    <w:basedOn w:val="651"/>
    <w:uiPriority w:val="99"/>
    <w:pPr>
      <w:spacing w:lineRule="auto" w:line="240"/>
    </w:pPr>
    <w:tblPr>
      <w:tblStyleRowBandSize w:val="1"/>
      <w:tblStyleColBandSize w:val="1"/>
      <w:tblBorders>
        <w:left w:val="single" w:color="7F7F7F" w:sz="4" w:space="0" w:themeColor="text1" w:themeTint="80"/>
        <w:top w:val="single" w:color="7F7F7F" w:sz="4" w:space="0" w:themeColor="text1" w:themeTint="80"/>
        <w:right w:val="single" w:color="7F7F7F" w:sz="4" w:space="0" w:themeColor="text1" w:themeTint="80"/>
        <w:bottom w:val="single" w:color="7F7F7F" w:sz="4" w:space="0" w:themeColor="text1" w:themeTint="80"/>
        <w:insideV w:val="single" w:color="7F7F7F" w:sz="4" w:space="0" w:themeColor="text1" w:themeTint="80"/>
        <w:insideH w:val="single" w:color="7F7F7F" w:sz="4" w:space="0" w:themeColor="text1" w:themeTint="80"/>
      </w:tblBorders>
    </w:tblPr>
    <w:tblStylePr w:type="band1Horz">
      <w:rPr>
        <w:rFonts w:ascii="Arial" w:hAnsi="Arial"/>
        <w:color w:val="7F7F7F" w:themeColor="text1" w:themeTint="80" w:themeShade="95"/>
        <w:sz w:val="22"/>
      </w:rPr>
      <w:tcPr>
        <w:shd w:val="clear" w:color="CBCBCB" w:fill="CBCBCB" w:themeFill="text1" w:themeFillTint="34" w:themeColor="text1" w:themeTint="34"/>
      </w:tcPr>
    </w:tblStylePr>
    <w:tblStylePr w:type="band1Vert">
      <w:tcPr>
        <w:shd w:val="clear" w:color="CBCBCB" w:fill="CBCBCB" w:themeFill="text1" w:themeFillTint="34" w:themeColor="text1" w:themeTint="34"/>
      </w:tcPr>
    </w:tblStylePr>
    <w:tblStylePr w:type="band2Horz">
      <w:rPr>
        <w:rFonts w:ascii="Arial" w:hAnsi="Arial"/>
        <w:color w:val="7F7F7F" w:themeColor="text1" w:themeTint="80" w:themeShade="95"/>
        <w:sz w:val="22"/>
      </w:rPr>
    </w:tblStylePr>
    <w:tblStylePr w:type="firstCol">
      <w:rPr>
        <w:b/>
        <w:color w:val="7F7F7F" w:themeColor="text1" w:themeTint="80" w:themeShade="95"/>
      </w:rPr>
    </w:tblStylePr>
    <w:tblStylePr w:type="firstRow">
      <w:rPr>
        <w:b/>
        <w:color w:val="7F7F7F" w:themeColor="text1" w:themeTint="80" w:themeShade="95"/>
      </w:rPr>
      <w:tcPr>
        <w:tcBorders>
          <w:bottom w:val="single" w:color="7F7F7F" w:sz="12" w:space="0" w:themeColor="text1" w:themeTint="80"/>
        </w:tcBorders>
      </w:tcPr>
    </w:tblStylePr>
    <w:tblStylePr w:type="lastCol">
      <w:rPr>
        <w:b/>
        <w:color w:val="7F7F7F" w:themeColor="text1" w:themeTint="80" w:themeShade="95"/>
      </w:rPr>
    </w:tblStylePr>
    <w:tblStylePr w:type="lastRow">
      <w:rPr>
        <w:b/>
        <w:color w:val="7F7F7F" w:themeColor="text1" w:themeTint="80" w:themeShade="95"/>
      </w:rPr>
    </w:tblStylePr>
  </w:style>
  <w:style w:type="table" w:styleId="736" w:customStyle="1">
    <w:name w:val="Grid Table 6 Colorful - Accent 1"/>
    <w:basedOn w:val="651"/>
    <w:uiPriority w:val="99"/>
    <w:pPr>
      <w:spacing w:lineRule="auto" w:line="240"/>
    </w:pPr>
    <w:tblPr>
      <w:tblStyleRowBandSize w:val="1"/>
      <w:tblStyleColBandSize w:val="1"/>
      <w:tblBorders>
        <w:left w:val="single" w:color="A6BFDD" w:sz="4" w:space="0" w:themeColor="accent1" w:themeTint="80"/>
        <w:top w:val="single" w:color="A6BFDD" w:sz="4" w:space="0" w:themeColor="accent1" w:themeTint="80"/>
        <w:right w:val="single" w:color="A6BFDD" w:sz="4" w:space="0" w:themeColor="accent1" w:themeTint="80"/>
        <w:bottom w:val="single" w:color="A6BFDD" w:sz="4" w:space="0" w:themeColor="accent1" w:themeTint="80"/>
        <w:insideV w:val="single" w:color="A6BFDD" w:sz="4" w:space="0" w:themeColor="accent1" w:themeTint="80"/>
        <w:insideH w:val="single" w:color="A6BFDD" w:sz="4" w:space="0" w:themeColor="accent1" w:themeTint="80"/>
      </w:tblBorders>
    </w:tblPr>
    <w:tblStylePr w:type="band1Horz">
      <w:rPr>
        <w:rFonts w:ascii="Arial" w:hAnsi="Arial"/>
        <w:color w:val="A6BFDD" w:themeColor="accent1" w:themeTint="80" w:themeShade="95"/>
        <w:sz w:val="22"/>
      </w:rPr>
      <w:tcPr>
        <w:shd w:val="clear" w:color="DAE5F1" w:fill="DAE5F1" w:themeFill="accent1" w:themeFillTint="34" w:themeColor="accent1" w:themeTint="34"/>
      </w:tcPr>
    </w:tblStylePr>
    <w:tblStylePr w:type="band1Vert">
      <w:tcPr>
        <w:shd w:val="clear" w:color="DAE5F1" w:fill="DAE5F1" w:themeFill="accent1" w:themeFillTint="34" w:themeColor="accent1" w:themeTint="34"/>
      </w:tcPr>
    </w:tblStylePr>
    <w:tblStylePr w:type="band2Horz">
      <w:rPr>
        <w:rFonts w:ascii="Arial" w:hAnsi="Arial"/>
        <w:color w:val="A6BFDD" w:themeColor="accent1" w:themeTint="80" w:themeShade="95"/>
        <w:sz w:val="22"/>
      </w:rPr>
    </w:tblStylePr>
    <w:tblStylePr w:type="firstCol">
      <w:rPr>
        <w:b/>
        <w:color w:val="A6BFDD" w:themeColor="accent1" w:themeTint="80" w:themeShade="95"/>
      </w:rPr>
    </w:tblStylePr>
    <w:tblStylePr w:type="firstRow">
      <w:rPr>
        <w:b/>
        <w:color w:val="A6BFDD" w:themeColor="accent1" w:themeTint="80" w:themeShade="95"/>
      </w:rPr>
      <w:tcPr>
        <w:tcBorders>
          <w:bottom w:val="single" w:color="A6BFDD" w:sz="12" w:space="0" w:themeColor="accent1" w:themeTint="80"/>
        </w:tcBorders>
      </w:tcPr>
    </w:tblStylePr>
    <w:tblStylePr w:type="lastCol">
      <w:rPr>
        <w:b/>
        <w:color w:val="A6BFDD" w:themeColor="accent1" w:themeTint="80" w:themeShade="95"/>
      </w:rPr>
    </w:tblStylePr>
    <w:tblStylePr w:type="lastRow">
      <w:rPr>
        <w:b/>
        <w:color w:val="A6BFDD" w:themeColor="accent1" w:themeTint="80" w:themeShade="95"/>
      </w:rPr>
    </w:tblStylePr>
  </w:style>
  <w:style w:type="table" w:styleId="737" w:customStyle="1">
    <w:name w:val="Grid Table 6 Colorful - Accent 2"/>
    <w:basedOn w:val="651"/>
    <w:uiPriority w:val="99"/>
    <w:pPr>
      <w:spacing w:lineRule="auto" w:line="240"/>
    </w:pPr>
    <w:tblPr>
      <w:tblStyleRowBandSize w:val="1"/>
      <w:tblStyleColBandSize w:val="1"/>
      <w:tblBorders>
        <w:left w:val="single" w:color="D99695" w:sz="4" w:space="0" w:themeColor="accent2" w:themeTint="97"/>
        <w:top w:val="single" w:color="D99695" w:sz="4" w:space="0" w:themeColor="accent2" w:themeTint="97"/>
        <w:right w:val="single" w:color="D99695" w:sz="4" w:space="0" w:themeColor="accent2" w:themeTint="97"/>
        <w:bottom w:val="single" w:color="D99695" w:sz="4" w:space="0" w:themeColor="accent2" w:themeTint="97"/>
        <w:insideV w:val="single" w:color="D99695" w:sz="4" w:space="0" w:themeColor="accent2" w:themeTint="97"/>
        <w:insideH w:val="single" w:color="D99695" w:sz="4" w:space="0" w:themeColor="accent2" w:themeTint="97"/>
      </w:tblBorders>
    </w:tblPr>
    <w:tblStylePr w:type="band1Horz">
      <w:rPr>
        <w:rFonts w:ascii="Arial" w:hAnsi="Arial"/>
        <w:color w:val="D99695" w:themeColor="accent2" w:themeTint="97" w:themeShade="95"/>
        <w:sz w:val="22"/>
      </w:rPr>
      <w:tcPr>
        <w:shd w:val="clear" w:color="F2DCDC" w:fill="F2DCDC" w:themeFill="accent2" w:themeFillTint="32" w:themeColor="accent2" w:themeTint="32"/>
      </w:tcPr>
    </w:tblStylePr>
    <w:tblStylePr w:type="band1Vert">
      <w:tcPr>
        <w:shd w:val="clear" w:color="F2DCDC" w:fill="F2DCDC" w:themeFill="accent2" w:themeFillTint="32" w:themeColor="accent2" w:themeTint="32"/>
      </w:tcPr>
    </w:tblStylePr>
    <w:tblStylePr w:type="band2Horz">
      <w:rPr>
        <w:rFonts w:ascii="Arial" w:hAnsi="Arial"/>
        <w:color w:val="D99695" w:themeColor="accent2" w:themeTint="97" w:themeShade="95"/>
        <w:sz w:val="22"/>
      </w:rPr>
    </w:tblStylePr>
    <w:tblStylePr w:type="firstCol">
      <w:rPr>
        <w:b/>
        <w:color w:val="D99695" w:themeColor="accent2" w:themeTint="97" w:themeShade="95"/>
      </w:rPr>
    </w:tblStylePr>
    <w:tblStylePr w:type="firstRow">
      <w:rPr>
        <w:b/>
        <w:color w:val="D99695" w:themeColor="accent2" w:themeTint="97" w:themeShade="95"/>
      </w:rPr>
      <w:tcPr>
        <w:tcBorders>
          <w:bottom w:val="single" w:color="D99695" w:sz="12" w:space="0" w:themeColor="accent2" w:themeTint="97"/>
        </w:tcBorders>
      </w:tcPr>
    </w:tblStylePr>
    <w:tblStylePr w:type="lastCol">
      <w:rPr>
        <w:b/>
        <w:color w:val="D99695" w:themeColor="accent2" w:themeTint="97" w:themeShade="95"/>
      </w:rPr>
    </w:tblStylePr>
    <w:tblStylePr w:type="lastRow">
      <w:rPr>
        <w:b/>
        <w:color w:val="D99695" w:themeColor="accent2" w:themeTint="97" w:themeShade="95"/>
      </w:rPr>
    </w:tblStylePr>
  </w:style>
  <w:style w:type="table" w:styleId="738" w:customStyle="1">
    <w:name w:val="Grid Table 6 Colorful - Accent 3"/>
    <w:basedOn w:val="651"/>
    <w:uiPriority w:val="99"/>
    <w:pPr>
      <w:spacing w:lineRule="auto" w:line="240"/>
    </w:pPr>
    <w:tblPr>
      <w:tblStyleRowBandSize w:val="1"/>
      <w:tblStyleColBandSize w:val="1"/>
      <w:tblBorders>
        <w:left w:val="single" w:color="9ABB59" w:sz="4" w:space="0" w:themeColor="accent3" w:themeTint="FE"/>
        <w:top w:val="single" w:color="9ABB59" w:sz="4" w:space="0" w:themeColor="accent3" w:themeTint="FE"/>
        <w:right w:val="single" w:color="9ABB59" w:sz="4" w:space="0" w:themeColor="accent3" w:themeTint="FE"/>
        <w:bottom w:val="single" w:color="9ABB59" w:sz="4" w:space="0" w:themeColor="accent3" w:themeTint="FE"/>
        <w:insideV w:val="single" w:color="9ABB59" w:sz="4" w:space="0" w:themeColor="accent3" w:themeTint="FE"/>
        <w:insideH w:val="single" w:color="9ABB59" w:sz="4" w:space="0" w:themeColor="accent3" w:themeTint="FE"/>
      </w:tblBorders>
    </w:tblPr>
    <w:tblStylePr w:type="band1Horz">
      <w:rPr>
        <w:rFonts w:ascii="Arial" w:hAnsi="Arial"/>
        <w:color w:val="9ABB59" w:themeColor="accent3" w:themeTint="FE" w:themeShade="95"/>
        <w:sz w:val="22"/>
      </w:rPr>
      <w:tcPr>
        <w:shd w:val="clear" w:color="EAF1DC" w:fill="EAF1DC" w:themeFill="accent3" w:themeFillTint="34" w:themeColor="accent3" w:themeTint="34"/>
      </w:tcPr>
    </w:tblStylePr>
    <w:tblStylePr w:type="band1Vert">
      <w:tcPr>
        <w:shd w:val="clear" w:color="EAF1DC" w:fill="EAF1DC" w:themeFill="accent3" w:themeFillTint="34" w:themeColor="accent3" w:themeTint="34"/>
      </w:tcPr>
    </w:tblStylePr>
    <w:tblStylePr w:type="band2Horz">
      <w:rPr>
        <w:rFonts w:ascii="Arial" w:hAnsi="Arial"/>
        <w:color w:val="9ABB59" w:themeColor="accent3" w:themeTint="FE" w:themeShade="95"/>
        <w:sz w:val="22"/>
      </w:rPr>
    </w:tblStylePr>
    <w:tblStylePr w:type="firstCol">
      <w:rPr>
        <w:b/>
        <w:color w:val="9ABB59" w:themeColor="accent3" w:themeTint="FE" w:themeShade="95"/>
      </w:rPr>
    </w:tblStylePr>
    <w:tblStylePr w:type="firstRow">
      <w:rPr>
        <w:b/>
        <w:color w:val="9ABB59" w:themeColor="accent3" w:themeTint="FE" w:themeShade="95"/>
      </w:rPr>
      <w:tcPr>
        <w:tcBorders>
          <w:bottom w:val="single" w:color="9ABB59" w:sz="12" w:space="0" w:themeColor="accent3" w:themeTint="FE"/>
        </w:tcBorders>
      </w:tcPr>
    </w:tblStylePr>
    <w:tblStylePr w:type="lastCol">
      <w:rPr>
        <w:b/>
        <w:color w:val="9ABB59" w:themeColor="accent3" w:themeTint="FE" w:themeShade="95"/>
      </w:rPr>
    </w:tblStylePr>
    <w:tblStylePr w:type="lastRow">
      <w:rPr>
        <w:b/>
        <w:color w:val="9ABB59" w:themeColor="accent3" w:themeTint="FE" w:themeShade="95"/>
      </w:rPr>
    </w:tblStylePr>
  </w:style>
  <w:style w:type="table" w:styleId="739" w:customStyle="1">
    <w:name w:val="Grid Table 6 Colorful - Accent 4"/>
    <w:basedOn w:val="651"/>
    <w:uiPriority w:val="99"/>
    <w:pPr>
      <w:spacing w:lineRule="auto" w:line="240"/>
    </w:pPr>
    <w:tblPr>
      <w:tblStyleRowBandSize w:val="1"/>
      <w:tblStyleColBandSize w:val="1"/>
      <w:tblBorders>
        <w:left w:val="single" w:color="B2A1C6" w:sz="4" w:space="0" w:themeColor="accent4" w:themeTint="9A"/>
        <w:top w:val="single" w:color="B2A1C6" w:sz="4" w:space="0" w:themeColor="accent4" w:themeTint="9A"/>
        <w:right w:val="single" w:color="B2A1C6" w:sz="4" w:space="0" w:themeColor="accent4" w:themeTint="9A"/>
        <w:bottom w:val="single" w:color="B2A1C6" w:sz="4" w:space="0" w:themeColor="accent4" w:themeTint="9A"/>
        <w:insideV w:val="single" w:color="B2A1C6" w:sz="4" w:space="0" w:themeColor="accent4" w:themeTint="9A"/>
        <w:insideH w:val="single" w:color="B2A1C6" w:sz="4" w:space="0" w:themeColor="accent4" w:themeTint="9A"/>
      </w:tblBorders>
    </w:tblPr>
    <w:tblStylePr w:type="band1Horz">
      <w:rPr>
        <w:rFonts w:ascii="Arial" w:hAnsi="Arial"/>
        <w:color w:val="B2A1C6" w:themeColor="accent4" w:themeTint="9A" w:themeShade="95"/>
        <w:sz w:val="22"/>
      </w:rPr>
      <w:tcPr>
        <w:shd w:val="clear" w:color="E5DFEC" w:fill="E5DFEC" w:themeFill="accent4" w:themeFillTint="34" w:themeColor="accent4" w:themeTint="34"/>
      </w:tcPr>
    </w:tblStylePr>
    <w:tblStylePr w:type="band1Vert">
      <w:tcPr>
        <w:shd w:val="clear" w:color="E5DFEC" w:fill="E5DFEC" w:themeFill="accent4" w:themeFillTint="34" w:themeColor="accent4" w:themeTint="34"/>
      </w:tcPr>
    </w:tblStylePr>
    <w:tblStylePr w:type="band2Horz">
      <w:rPr>
        <w:rFonts w:ascii="Arial" w:hAnsi="Arial"/>
        <w:color w:val="B2A1C6" w:themeColor="accent4" w:themeTint="9A" w:themeShade="95"/>
        <w:sz w:val="22"/>
      </w:rPr>
    </w:tblStylePr>
    <w:tblStylePr w:type="firstCol">
      <w:rPr>
        <w:b/>
        <w:color w:val="B2A1C6" w:themeColor="accent4" w:themeTint="9A" w:themeShade="95"/>
      </w:rPr>
    </w:tblStylePr>
    <w:tblStylePr w:type="firstRow">
      <w:rPr>
        <w:b/>
        <w:color w:val="B2A1C6" w:themeColor="accent4" w:themeTint="9A" w:themeShade="95"/>
      </w:rPr>
      <w:tcPr>
        <w:tcBorders>
          <w:bottom w:val="single" w:color="B2A1C6" w:sz="12" w:space="0" w:themeColor="accent4" w:themeTint="9A"/>
        </w:tcBorders>
      </w:tcPr>
    </w:tblStylePr>
    <w:tblStylePr w:type="lastCol">
      <w:rPr>
        <w:b/>
        <w:color w:val="B2A1C6" w:themeColor="accent4" w:themeTint="9A" w:themeShade="95"/>
      </w:rPr>
    </w:tblStylePr>
    <w:tblStylePr w:type="lastRow">
      <w:rPr>
        <w:b/>
        <w:color w:val="B2A1C6" w:themeColor="accent4" w:themeTint="9A" w:themeShade="95"/>
      </w:rPr>
    </w:tblStylePr>
  </w:style>
  <w:style w:type="table" w:styleId="740" w:customStyle="1">
    <w:name w:val="Grid Table 6 Colorful - Accent 5"/>
    <w:basedOn w:val="651"/>
    <w:uiPriority w:val="99"/>
    <w:pPr>
      <w:spacing w:lineRule="auto" w:line="240"/>
    </w:pPr>
    <w:tblPr>
      <w:tblStyleRowBandSize w:val="1"/>
      <w:tblStyleColBandSize w:val="1"/>
      <w:tblBorders>
        <w:left w:val="single" w:color="4BACC6" w:sz="4" w:space="0" w:themeColor="accent5"/>
        <w:top w:val="single" w:color="4BACC6" w:sz="4" w:space="0" w:themeColor="accent5"/>
        <w:right w:val="single" w:color="4BACC6" w:sz="4" w:space="0" w:themeColor="accent5"/>
        <w:bottom w:val="single" w:color="4BACC6" w:sz="4" w:space="0" w:themeColor="accent5"/>
        <w:insideV w:val="single" w:color="4BACC6" w:sz="4" w:space="0" w:themeColor="accent5"/>
        <w:insideH w:val="single" w:color="4BACC6" w:sz="4" w:space="0" w:themeColor="accent5"/>
      </w:tblBorders>
    </w:tblPr>
    <w:tblStylePr w:type="band1Horz">
      <w:rPr>
        <w:rFonts w:ascii="Arial" w:hAnsi="Arial"/>
        <w:color w:val="266779" w:themeColor="accent5" w:themeShade="95"/>
        <w:sz w:val="22"/>
      </w:rPr>
      <w:tcPr>
        <w:shd w:val="clear" w:color="DAEEF3" w:fill="DAEEF3" w:themeFill="accent5" w:themeFillTint="34" w:themeColor="accent5" w:themeTint="34"/>
      </w:tcPr>
    </w:tblStylePr>
    <w:tblStylePr w:type="band1Vert">
      <w:tcPr>
        <w:shd w:val="clear" w:color="DAEEF3" w:fill="DAEEF3" w:themeFill="accent5" w:themeFillTint="34" w:themeColor="accent5" w:themeTint="34"/>
      </w:tcPr>
    </w:tblStylePr>
    <w:tblStylePr w:type="band2Horz">
      <w:rPr>
        <w:rFonts w:ascii="Arial" w:hAnsi="Arial"/>
        <w:color w:val="266779" w:themeColor="accent5" w:themeShade="95"/>
        <w:sz w:val="22"/>
      </w:rPr>
    </w:tblStylePr>
    <w:tblStylePr w:type="firstCol">
      <w:rPr>
        <w:b/>
        <w:color w:val="266779" w:themeColor="accent5" w:themeShade="95"/>
      </w:rPr>
    </w:tblStylePr>
    <w:tblStylePr w:type="firstRow">
      <w:rPr>
        <w:b/>
        <w:color w:val="266779" w:themeColor="accent5" w:themeShade="95"/>
      </w:rPr>
      <w:tcPr>
        <w:tcBorders>
          <w:bottom w:val="single" w:color="4BACC6" w:sz="12" w:space="0" w:themeColor="accent5"/>
        </w:tcBorders>
      </w:tcPr>
    </w:tblStylePr>
    <w:tblStylePr w:type="lastCol">
      <w:rPr>
        <w:b/>
        <w:color w:val="266779" w:themeColor="accent5" w:themeShade="95"/>
      </w:rPr>
    </w:tblStylePr>
    <w:tblStylePr w:type="lastRow">
      <w:rPr>
        <w:b/>
        <w:color w:val="266779" w:themeColor="accent5" w:themeShade="95"/>
      </w:rPr>
    </w:tblStylePr>
  </w:style>
  <w:style w:type="table" w:styleId="741" w:customStyle="1">
    <w:name w:val="Grid Table 6 Colorful - Accent 6"/>
    <w:basedOn w:val="651"/>
    <w:uiPriority w:val="99"/>
    <w:pPr>
      <w:spacing w:lineRule="auto" w:line="240"/>
    </w:pPr>
    <w:tblPr>
      <w:tblStyleRowBandSize w:val="1"/>
      <w:tblStyleColBandSize w:val="1"/>
      <w:tblBorders>
        <w:left w:val="single" w:color="F79646" w:sz="4" w:space="0" w:themeColor="accent6"/>
        <w:top w:val="single" w:color="F79646" w:sz="4" w:space="0" w:themeColor="accent6"/>
        <w:right w:val="single" w:color="F79646" w:sz="4" w:space="0" w:themeColor="accent6"/>
        <w:bottom w:val="single" w:color="F79646" w:sz="4" w:space="0" w:themeColor="accent6"/>
        <w:insideV w:val="single" w:color="F79646" w:sz="4" w:space="0" w:themeColor="accent6"/>
        <w:insideH w:val="single" w:color="F79646" w:sz="4" w:space="0" w:themeColor="accent6"/>
      </w:tblBorders>
    </w:tblPr>
    <w:tblStylePr w:type="band1Horz">
      <w:rPr>
        <w:rFonts w:ascii="Arial" w:hAnsi="Arial"/>
        <w:color w:val="266779" w:themeColor="accent5" w:themeShade="95"/>
        <w:sz w:val="22"/>
      </w:rPr>
      <w:tcPr>
        <w:shd w:val="clear" w:color="FDE9D8" w:fill="FDE9D8" w:themeFill="accent6" w:themeFillTint="34" w:themeColor="accent6" w:themeTint="34"/>
      </w:tcPr>
    </w:tblStylePr>
    <w:tblStylePr w:type="band1Vert">
      <w:tcPr>
        <w:shd w:val="clear" w:color="FDE9D8" w:fill="FDE9D8" w:themeFill="accent6" w:themeFillTint="34" w:themeColor="accent6" w:themeTint="34"/>
      </w:tcPr>
    </w:tblStylePr>
    <w:tblStylePr w:type="band2Horz">
      <w:rPr>
        <w:rFonts w:ascii="Arial" w:hAnsi="Arial"/>
        <w:color w:val="266779" w:themeColor="accent5" w:themeShade="95"/>
        <w:sz w:val="22"/>
      </w:rPr>
    </w:tblStylePr>
    <w:tblStylePr w:type="firstCol">
      <w:rPr>
        <w:b/>
        <w:color w:val="266779" w:themeColor="accent5" w:themeShade="95"/>
      </w:rPr>
    </w:tblStylePr>
    <w:tblStylePr w:type="firstRow">
      <w:rPr>
        <w:b/>
        <w:color w:val="266779" w:themeColor="accent5" w:themeShade="95"/>
      </w:rPr>
      <w:tcPr>
        <w:tcBorders>
          <w:bottom w:val="single" w:color="F79646" w:sz="12" w:space="0" w:themeColor="accent6"/>
        </w:tcBorders>
      </w:tcPr>
    </w:tblStylePr>
    <w:tblStylePr w:type="lastCol">
      <w:rPr>
        <w:b/>
        <w:color w:val="266779" w:themeColor="accent5" w:themeShade="95"/>
      </w:rPr>
    </w:tblStylePr>
    <w:tblStylePr w:type="lastRow">
      <w:rPr>
        <w:b/>
        <w:color w:val="266779" w:themeColor="accent5" w:themeShade="95"/>
      </w:rPr>
    </w:tblStylePr>
  </w:style>
  <w:style w:type="table" w:styleId="742">
    <w:name w:val="Grid Table 7 Colorful"/>
    <w:basedOn w:val="651"/>
    <w:uiPriority w:val="99"/>
    <w:pPr>
      <w:spacing w:lineRule="auto" w:line="240"/>
    </w:pPr>
    <w:tblPr>
      <w:tblStyleRowBandSize w:val="1"/>
      <w:tblStyleColBandSize w:val="1"/>
      <w:tblBorders>
        <w:right w:val="single" w:color="7F7F7F" w:sz="4" w:space="0" w:themeColor="text1" w:themeTint="80"/>
        <w:bottom w:val="single" w:color="7F7F7F" w:sz="4" w:space="0" w:themeColor="text1" w:themeTint="80"/>
        <w:insideV w:val="single" w:color="7F7F7F" w:sz="4" w:space="0" w:themeColor="text1" w:themeTint="80"/>
        <w:insideH w:val="single" w:color="7F7F7F" w:sz="4" w:space="0" w:themeColor="text1" w:themeTint="80"/>
      </w:tblBorders>
    </w:tblPr>
    <w:tblStylePr w:type="band1Horz">
      <w:rPr>
        <w:rFonts w:ascii="Arial" w:hAnsi="Arial"/>
        <w:color w:val="7F7F7F" w:themeColor="text1" w:themeTint="80" w:themeShade="95"/>
        <w:sz w:val="22"/>
      </w:rPr>
      <w:tcPr>
        <w:shd w:val="clear" w:color="F2F2F2" w:fill="F2F2F2" w:themeFill="text1" w:themeFillTint="0D" w:themeColor="text1" w:themeTint="0D"/>
      </w:tcPr>
    </w:tblStylePr>
    <w:tblStylePr w:type="band1Vert">
      <w:tcPr>
        <w:shd w:val="clear" w:color="F2F2F2" w:fill="F2F2F2" w:themeFill="text1" w:themeFillTint="0D" w:themeColor="text1" w:themeTint="0D"/>
      </w:tcPr>
    </w:tblStylePr>
    <w:tblStylePr w:type="band2Horz">
      <w:rPr>
        <w:rFonts w:ascii="Arial" w:hAnsi="Arial"/>
        <w:color w:val="7F7F7F" w:themeColor="text1" w:themeTint="80" w:themeShade="95"/>
        <w:sz w:val="22"/>
      </w:rPr>
    </w:tblStylePr>
    <w:tblStylePr w:type="firstCol">
      <w:rPr>
        <w:rFonts w:ascii="Arial" w:hAnsi="Arial"/>
        <w:i/>
        <w:color w:val="7F7F7F" w:themeColor="text1" w:themeTint="80" w:themeShade="95"/>
        <w:sz w:val="22"/>
      </w:rPr>
      <w:pPr>
        <w:jc w:val="right"/>
      </w:pPr>
      <w:tcPr>
        <w:shd w:val="clear" w:color="FFFFFF" w:fill="auto"/>
        <w:tcBorders>
          <w:left w:val="none" w:color="000000" w:sz="4" w:space="0"/>
          <w:top w:val="none" w:color="000000" w:sz="4" w:space="0"/>
          <w:right w:val="single" w:color="7F7F7F" w:sz="4" w:space="0" w:themeColor="text1" w:themeTint="80"/>
          <w:bottom w:val="none" w:color="000000" w:sz="4" w:space="0"/>
        </w:tcBorders>
      </w:tcPr>
    </w:tblStylePr>
    <w:tblStylePr w:type="firstRow">
      <w:rPr>
        <w:rFonts w:ascii="Arial" w:hAnsi="Arial"/>
        <w:b/>
        <w:color w:val="7F7F7F" w:themeColor="text1" w:themeTint="80" w:themeShade="95"/>
        <w:sz w:val="22"/>
      </w:rPr>
      <w:tcPr>
        <w:shd w:val="clear" w:color="FFFFFF" w:fill="FFFFFF" w:themeFill="light1" w:themeColor="light1"/>
        <w:tcBorders>
          <w:left w:val="none" w:color="000000" w:sz="4" w:space="0"/>
          <w:top w:val="none" w:color="000000" w:sz="4" w:space="0"/>
          <w:right w:val="none" w:color="000000" w:sz="4" w:space="0"/>
          <w:bottom w:val="single" w:color="7F7F7F" w:sz="4" w:space="0" w:themeColor="text1" w:themeTint="80"/>
        </w:tcBorders>
      </w:tcPr>
    </w:tblStylePr>
    <w:tblStylePr w:type="lastCol">
      <w:rPr>
        <w:rFonts w:ascii="Arial" w:hAnsi="Arial"/>
        <w:i/>
        <w:color w:val="7F7F7F" w:themeColor="text1" w:themeTint="80" w:themeShade="95"/>
        <w:sz w:val="22"/>
      </w:rPr>
      <w:tcPr>
        <w:shd w:val="clear" w:color="FFFFFF" w:fill="auto"/>
        <w:tcBorders>
          <w:left w:val="single" w:color="7F7F7F" w:sz="4" w:space="0" w:themeColor="text1" w:themeTint="80"/>
          <w:top w:val="none" w:color="000000" w:sz="4" w:space="0"/>
          <w:right w:val="none" w:color="000000" w:sz="4" w:space="0"/>
          <w:bottom w:val="none" w:color="000000" w:sz="4" w:space="0"/>
        </w:tcBorders>
      </w:tcPr>
    </w:tblStylePr>
    <w:tblStylePr w:type="lastRow">
      <w:rPr>
        <w:rFonts w:ascii="Arial" w:hAnsi="Arial"/>
        <w:b/>
        <w:color w:val="7F7F7F" w:themeColor="text1" w:themeTint="80" w:themeShade="95"/>
        <w:sz w:val="22"/>
      </w:rPr>
      <w:tcPr>
        <w:shd w:val="clear" w:color="FFFFFF" w:fill="FFFFFF" w:themeFill="light1" w:themeColor="light1"/>
        <w:tcBorders>
          <w:left w:val="none" w:color="000000" w:sz="4" w:space="0"/>
          <w:top w:val="single" w:color="7F7F7F" w:sz="4" w:space="0" w:themeColor="text1" w:themeTint="80"/>
          <w:right w:val="none" w:color="000000" w:sz="4" w:space="0"/>
          <w:bottom w:val="none" w:color="000000" w:sz="4" w:space="0"/>
        </w:tcBorders>
      </w:tcPr>
    </w:tblStylePr>
  </w:style>
  <w:style w:type="table" w:styleId="743" w:customStyle="1">
    <w:name w:val="Grid Table 7 Colorful - Accent 1"/>
    <w:basedOn w:val="651"/>
    <w:uiPriority w:val="99"/>
    <w:pPr>
      <w:spacing w:lineRule="auto" w:line="240"/>
    </w:pPr>
    <w:tblPr>
      <w:tblStyleRowBandSize w:val="1"/>
      <w:tblStyleColBandSize w:val="1"/>
      <w:tblBorders>
        <w:right w:val="single" w:color="A6BFDD" w:sz="4" w:space="0" w:themeColor="accent1" w:themeTint="80"/>
        <w:bottom w:val="single" w:color="A6BFDD" w:sz="4" w:space="0" w:themeColor="accent1" w:themeTint="80"/>
        <w:insideV w:val="single" w:color="A6BFDD" w:sz="4" w:space="0" w:themeColor="accent1" w:themeTint="80"/>
        <w:insideH w:val="single" w:color="A6BFDD" w:sz="4" w:space="0" w:themeColor="accent1" w:themeTint="80"/>
      </w:tblBorders>
    </w:tblPr>
    <w:tblStylePr w:type="band1Horz">
      <w:rPr>
        <w:rFonts w:ascii="Arial" w:hAnsi="Arial"/>
        <w:color w:val="A6BFDD" w:themeColor="accent1" w:themeTint="80" w:themeShade="95"/>
        <w:sz w:val="22"/>
      </w:rPr>
      <w:tcPr>
        <w:shd w:val="clear" w:color="DAE5F1" w:fill="DAE5F1" w:themeFill="accent1" w:themeFillTint="34" w:themeColor="accent1" w:themeTint="34"/>
      </w:tcPr>
    </w:tblStylePr>
    <w:tblStylePr w:type="band1Vert">
      <w:tcPr>
        <w:shd w:val="clear" w:color="DAE5F1" w:fill="DAE5F1" w:themeFill="accent1" w:themeFillTint="34" w:themeColor="accent1" w:themeTint="34"/>
      </w:tcPr>
    </w:tblStylePr>
    <w:tblStylePr w:type="band2Horz">
      <w:rPr>
        <w:rFonts w:ascii="Arial" w:hAnsi="Arial"/>
        <w:color w:val="A6BFDD" w:themeColor="accent1" w:themeTint="80" w:themeShade="95"/>
        <w:sz w:val="22"/>
      </w:rPr>
    </w:tblStylePr>
    <w:tblStylePr w:type="firstCol">
      <w:rPr>
        <w:rFonts w:ascii="Arial" w:hAnsi="Arial"/>
        <w:i/>
        <w:color w:val="A6BFDD" w:themeColor="accent1" w:themeTint="80" w:themeShade="95"/>
        <w:sz w:val="22"/>
      </w:rPr>
      <w:pPr>
        <w:jc w:val="right"/>
      </w:pPr>
      <w:tcPr>
        <w:shd w:val="clear" w:color="FFFFFF" w:fill="auto"/>
        <w:tcBorders>
          <w:left w:val="none" w:color="000000" w:sz="4" w:space="0"/>
          <w:top w:val="none" w:color="000000" w:sz="4" w:space="0"/>
          <w:right w:val="single" w:color="A6BFDD" w:sz="4" w:space="0" w:themeColor="accent1" w:themeTint="80"/>
          <w:bottom w:val="none" w:color="000000" w:sz="4" w:space="0"/>
        </w:tcBorders>
      </w:tcPr>
    </w:tblStylePr>
    <w:tblStylePr w:type="firstRow">
      <w:rPr>
        <w:rFonts w:ascii="Arial" w:hAnsi="Arial"/>
        <w:b/>
        <w:color w:val="A6BFDD" w:themeColor="accent1" w:themeTint="80" w:themeShade="95"/>
        <w:sz w:val="22"/>
      </w:rPr>
      <w:tcPr>
        <w:shd w:val="clear" w:color="FFFFFF" w:fill="FFFFFF" w:themeFill="light1" w:themeColor="light1"/>
        <w:tcBorders>
          <w:left w:val="none" w:color="000000" w:sz="4" w:space="0"/>
          <w:top w:val="none" w:color="000000" w:sz="4" w:space="0"/>
          <w:right w:val="none" w:color="000000" w:sz="4" w:space="0"/>
          <w:bottom w:val="single" w:color="A6BFDD" w:sz="4" w:space="0" w:themeColor="accent1" w:themeTint="80"/>
        </w:tcBorders>
      </w:tcPr>
    </w:tblStylePr>
    <w:tblStylePr w:type="lastCol">
      <w:rPr>
        <w:rFonts w:ascii="Arial" w:hAnsi="Arial"/>
        <w:i/>
        <w:color w:val="A6BFDD" w:themeColor="accent1" w:themeTint="80" w:themeShade="95"/>
        <w:sz w:val="22"/>
      </w:rPr>
      <w:tcPr>
        <w:shd w:val="clear" w:color="FFFFFF" w:fill="auto"/>
        <w:tcBorders>
          <w:left w:val="single" w:color="A6BFDD" w:sz="4" w:space="0" w:themeColor="accent1" w:themeTint="80"/>
          <w:top w:val="none" w:color="000000" w:sz="4" w:space="0"/>
          <w:right w:val="none" w:color="000000" w:sz="4" w:space="0"/>
          <w:bottom w:val="none" w:color="000000" w:sz="4" w:space="0"/>
        </w:tcBorders>
      </w:tcPr>
    </w:tblStylePr>
    <w:tblStylePr w:type="lastRow">
      <w:rPr>
        <w:rFonts w:ascii="Arial" w:hAnsi="Arial"/>
        <w:b/>
        <w:color w:val="A6BFDD" w:themeColor="accent1" w:themeTint="80" w:themeShade="95"/>
        <w:sz w:val="22"/>
      </w:rPr>
      <w:tcPr>
        <w:shd w:val="clear" w:color="FFFFFF" w:fill="FFFFFF" w:themeFill="light1" w:themeColor="light1"/>
        <w:tcBorders>
          <w:left w:val="none" w:color="000000" w:sz="4" w:space="0"/>
          <w:top w:val="single" w:color="A6BFDD" w:sz="4" w:space="0" w:themeColor="accent1" w:themeTint="80"/>
          <w:right w:val="none" w:color="000000" w:sz="4" w:space="0"/>
          <w:bottom w:val="none" w:color="000000" w:sz="4" w:space="0"/>
        </w:tcBorders>
      </w:tcPr>
    </w:tblStylePr>
  </w:style>
  <w:style w:type="table" w:styleId="744" w:customStyle="1">
    <w:name w:val="Grid Table 7 Colorful - Accent 2"/>
    <w:basedOn w:val="651"/>
    <w:uiPriority w:val="99"/>
    <w:pPr>
      <w:spacing w:lineRule="auto" w:line="240"/>
    </w:pPr>
    <w:tblPr>
      <w:tblStyleRowBandSize w:val="1"/>
      <w:tblStyleColBandSize w:val="1"/>
      <w:tblBorders>
        <w:right w:val="single" w:color="D99695" w:sz="4" w:space="0" w:themeColor="accent2" w:themeTint="97"/>
        <w:bottom w:val="single" w:color="D99695" w:sz="4" w:space="0" w:themeColor="accent2" w:themeTint="97"/>
        <w:insideV w:val="single" w:color="D99695" w:sz="4" w:space="0" w:themeColor="accent2" w:themeTint="97"/>
        <w:insideH w:val="single" w:color="D99695" w:sz="4" w:space="0" w:themeColor="accent2" w:themeTint="97"/>
      </w:tblBorders>
    </w:tblPr>
    <w:tblStylePr w:type="band1Horz">
      <w:rPr>
        <w:rFonts w:ascii="Arial" w:hAnsi="Arial"/>
        <w:color w:val="D99695" w:themeColor="accent2" w:themeTint="97" w:themeShade="95"/>
        <w:sz w:val="22"/>
      </w:rPr>
      <w:tcPr>
        <w:shd w:val="clear" w:color="F2DCDC" w:fill="F2DCDC" w:themeFill="accent2" w:themeFillTint="32" w:themeColor="accent2" w:themeTint="32"/>
      </w:tcPr>
    </w:tblStylePr>
    <w:tblStylePr w:type="band1Vert">
      <w:tcPr>
        <w:shd w:val="clear" w:color="F2DCDC" w:fill="F2DCDC" w:themeFill="accent2" w:themeFillTint="32" w:themeColor="accent2" w:themeTint="32"/>
      </w:tcPr>
    </w:tblStylePr>
    <w:tblStylePr w:type="band2Horz">
      <w:rPr>
        <w:rFonts w:ascii="Arial" w:hAnsi="Arial"/>
        <w:color w:val="D99695" w:themeColor="accent2" w:themeTint="97" w:themeShade="95"/>
        <w:sz w:val="22"/>
      </w:rPr>
    </w:tblStylePr>
    <w:tblStylePr w:type="firstCol">
      <w:rPr>
        <w:rFonts w:ascii="Arial" w:hAnsi="Arial"/>
        <w:i/>
        <w:color w:val="D99695" w:themeColor="accent2" w:themeTint="97" w:themeShade="95"/>
        <w:sz w:val="22"/>
      </w:rPr>
      <w:pPr>
        <w:jc w:val="right"/>
      </w:pPr>
      <w:tcPr>
        <w:shd w:val="clear" w:color="FFFFFF" w:fill="auto"/>
        <w:tcBorders>
          <w:left w:val="none" w:color="000000" w:sz="4" w:space="0"/>
          <w:top w:val="none" w:color="000000" w:sz="4" w:space="0"/>
          <w:right w:val="single" w:color="D99695" w:sz="4" w:space="0" w:themeColor="accent2" w:themeTint="97"/>
          <w:bottom w:val="none" w:color="000000" w:sz="4" w:space="0"/>
        </w:tcBorders>
      </w:tcPr>
    </w:tblStylePr>
    <w:tblStylePr w:type="firstRow">
      <w:rPr>
        <w:rFonts w:ascii="Arial" w:hAnsi="Arial"/>
        <w:b/>
        <w:color w:val="D99695" w:themeColor="accent2" w:themeTint="97" w:themeShade="95"/>
        <w:sz w:val="22"/>
      </w:rPr>
      <w:tcPr>
        <w:shd w:val="clear" w:color="FFFFFF" w:fill="FFFFFF" w:themeFill="light1" w:themeColor="light1"/>
        <w:tcBorders>
          <w:left w:val="none" w:color="000000" w:sz="4" w:space="0"/>
          <w:top w:val="none" w:color="000000" w:sz="4" w:space="0"/>
          <w:right w:val="none" w:color="000000" w:sz="4" w:space="0"/>
          <w:bottom w:val="single" w:color="D99695" w:sz="4" w:space="0" w:themeColor="accent2" w:themeTint="97"/>
        </w:tcBorders>
      </w:tcPr>
    </w:tblStylePr>
    <w:tblStylePr w:type="lastCol">
      <w:rPr>
        <w:rFonts w:ascii="Arial" w:hAnsi="Arial"/>
        <w:i/>
        <w:color w:val="D99695" w:themeColor="accent2" w:themeTint="97" w:themeShade="95"/>
        <w:sz w:val="22"/>
      </w:rPr>
      <w:tcPr>
        <w:shd w:val="clear" w:color="FFFFFF" w:fill="auto"/>
        <w:tcBorders>
          <w:left w:val="single" w:color="D99695" w:sz="4" w:space="0" w:themeColor="accent2" w:themeTint="97"/>
          <w:top w:val="none" w:color="000000" w:sz="4" w:space="0"/>
          <w:right w:val="none" w:color="000000" w:sz="4" w:space="0"/>
          <w:bottom w:val="none" w:color="000000" w:sz="4" w:space="0"/>
        </w:tcBorders>
      </w:tcPr>
    </w:tblStylePr>
    <w:tblStylePr w:type="lastRow">
      <w:rPr>
        <w:rFonts w:ascii="Arial" w:hAnsi="Arial"/>
        <w:b/>
        <w:color w:val="D99695" w:themeColor="accent2" w:themeTint="97" w:themeShade="95"/>
        <w:sz w:val="22"/>
      </w:rPr>
      <w:tcPr>
        <w:shd w:val="clear" w:color="FFFFFF" w:fill="FFFFFF" w:themeFill="light1" w:themeColor="light1"/>
        <w:tcBorders>
          <w:left w:val="none" w:color="000000" w:sz="4" w:space="0"/>
          <w:top w:val="single" w:color="D99695" w:sz="4" w:space="0" w:themeColor="accent2" w:themeTint="97"/>
          <w:right w:val="none" w:color="000000" w:sz="4" w:space="0"/>
          <w:bottom w:val="none" w:color="000000" w:sz="4" w:space="0"/>
        </w:tcBorders>
      </w:tcPr>
    </w:tblStylePr>
  </w:style>
  <w:style w:type="table" w:styleId="745" w:customStyle="1">
    <w:name w:val="Grid Table 7 Colorful - Accent 3"/>
    <w:basedOn w:val="651"/>
    <w:uiPriority w:val="99"/>
    <w:pPr>
      <w:spacing w:lineRule="auto" w:line="240"/>
    </w:pPr>
    <w:tblPr>
      <w:tblStyleRowBandSize w:val="1"/>
      <w:tblStyleColBandSize w:val="1"/>
      <w:tblBorders>
        <w:right w:val="single" w:color="9ABB59" w:sz="4" w:space="0" w:themeColor="accent3" w:themeTint="FE"/>
        <w:bottom w:val="single" w:color="9ABB59" w:sz="4" w:space="0" w:themeColor="accent3" w:themeTint="FE"/>
        <w:insideV w:val="single" w:color="9ABB59" w:sz="4" w:space="0" w:themeColor="accent3" w:themeTint="FE"/>
        <w:insideH w:val="single" w:color="9ABB59" w:sz="4" w:space="0" w:themeColor="accent3" w:themeTint="FE"/>
      </w:tblBorders>
    </w:tblPr>
    <w:tblStylePr w:type="band1Horz">
      <w:rPr>
        <w:rFonts w:ascii="Arial" w:hAnsi="Arial"/>
        <w:color w:val="9ABB59" w:themeColor="accent3" w:themeTint="FE" w:themeShade="95"/>
        <w:sz w:val="22"/>
      </w:rPr>
      <w:tcPr>
        <w:shd w:val="clear" w:color="EAF1DC" w:fill="EAF1DC" w:themeFill="accent3" w:themeFillTint="34" w:themeColor="accent3" w:themeTint="34"/>
      </w:tcPr>
    </w:tblStylePr>
    <w:tblStylePr w:type="band1Vert">
      <w:tcPr>
        <w:shd w:val="clear" w:color="EAF1DC" w:fill="EAF1DC" w:themeFill="accent3" w:themeFillTint="34" w:themeColor="accent3" w:themeTint="34"/>
      </w:tcPr>
    </w:tblStylePr>
    <w:tblStylePr w:type="band2Horz">
      <w:rPr>
        <w:rFonts w:ascii="Arial" w:hAnsi="Arial"/>
        <w:color w:val="9ABB59" w:themeColor="accent3" w:themeTint="FE" w:themeShade="95"/>
        <w:sz w:val="22"/>
      </w:rPr>
    </w:tblStylePr>
    <w:tblStylePr w:type="firstCol">
      <w:rPr>
        <w:rFonts w:ascii="Arial" w:hAnsi="Arial"/>
        <w:i/>
        <w:color w:val="9ABB59" w:themeColor="accent3" w:themeTint="FE" w:themeShade="95"/>
        <w:sz w:val="22"/>
      </w:rPr>
      <w:pPr>
        <w:jc w:val="right"/>
      </w:pPr>
      <w:tcPr>
        <w:shd w:val="clear" w:color="FFFFFF" w:fill="auto"/>
        <w:tcBorders>
          <w:left w:val="none" w:color="000000" w:sz="4" w:space="0"/>
          <w:top w:val="none" w:color="000000" w:sz="4" w:space="0"/>
          <w:right w:val="single" w:color="9ABB59" w:sz="4" w:space="0" w:themeColor="accent3" w:themeTint="FE"/>
          <w:bottom w:val="none" w:color="000000" w:sz="4" w:space="0"/>
        </w:tcBorders>
      </w:tcPr>
    </w:tblStylePr>
    <w:tblStylePr w:type="firstRow">
      <w:rPr>
        <w:rFonts w:ascii="Arial" w:hAnsi="Arial"/>
        <w:b/>
        <w:color w:val="9ABB59" w:themeColor="accent3" w:themeTint="FE" w:themeShade="95"/>
        <w:sz w:val="22"/>
      </w:rPr>
      <w:tcPr>
        <w:shd w:val="clear" w:color="FFFFFF" w:fill="FFFFFF" w:themeFill="light1" w:themeColor="light1"/>
        <w:tcBorders>
          <w:left w:val="none" w:color="000000" w:sz="4" w:space="0"/>
          <w:top w:val="none" w:color="000000" w:sz="4" w:space="0"/>
          <w:right w:val="none" w:color="000000" w:sz="4" w:space="0"/>
          <w:bottom w:val="single" w:color="9ABB59" w:sz="4" w:space="0" w:themeColor="accent3" w:themeTint="FE"/>
        </w:tcBorders>
      </w:tcPr>
    </w:tblStylePr>
    <w:tblStylePr w:type="lastCol">
      <w:rPr>
        <w:rFonts w:ascii="Arial" w:hAnsi="Arial"/>
        <w:i/>
        <w:color w:val="9ABB59" w:themeColor="accent3" w:themeTint="FE" w:themeShade="95"/>
        <w:sz w:val="22"/>
      </w:rPr>
      <w:tcPr>
        <w:shd w:val="clear" w:color="FFFFFF" w:fill="auto"/>
        <w:tcBorders>
          <w:left w:val="single" w:color="9ABB59" w:sz="4" w:space="0" w:themeColor="accent3" w:themeTint="FE"/>
          <w:top w:val="none" w:color="000000" w:sz="4" w:space="0"/>
          <w:right w:val="none" w:color="000000" w:sz="4" w:space="0"/>
          <w:bottom w:val="none" w:color="000000" w:sz="4" w:space="0"/>
        </w:tcBorders>
      </w:tcPr>
    </w:tblStylePr>
    <w:tblStylePr w:type="lastRow">
      <w:rPr>
        <w:rFonts w:ascii="Arial" w:hAnsi="Arial"/>
        <w:b/>
        <w:color w:val="9ABB59" w:themeColor="accent3" w:themeTint="FE" w:themeShade="95"/>
        <w:sz w:val="22"/>
      </w:rPr>
      <w:tcPr>
        <w:shd w:val="clear" w:color="FFFFFF" w:fill="FFFFFF" w:themeFill="light1" w:themeColor="light1"/>
        <w:tcBorders>
          <w:left w:val="none" w:color="000000" w:sz="4" w:space="0"/>
          <w:top w:val="single" w:color="9ABB59" w:sz="4" w:space="0" w:themeColor="accent3" w:themeTint="FE"/>
          <w:right w:val="none" w:color="000000" w:sz="4" w:space="0"/>
          <w:bottom w:val="none" w:color="000000" w:sz="4" w:space="0"/>
        </w:tcBorders>
      </w:tcPr>
    </w:tblStylePr>
  </w:style>
  <w:style w:type="table" w:styleId="746" w:customStyle="1">
    <w:name w:val="Grid Table 7 Colorful - Accent 4"/>
    <w:basedOn w:val="651"/>
    <w:uiPriority w:val="99"/>
    <w:pPr>
      <w:spacing w:lineRule="auto" w:line="240"/>
    </w:pPr>
    <w:tblPr>
      <w:tblStyleRowBandSize w:val="1"/>
      <w:tblStyleColBandSize w:val="1"/>
      <w:tblBorders>
        <w:right w:val="single" w:color="B2A1C6" w:sz="4" w:space="0" w:themeColor="accent4" w:themeTint="9A"/>
        <w:bottom w:val="single" w:color="B2A1C6" w:sz="4" w:space="0" w:themeColor="accent4" w:themeTint="9A"/>
        <w:insideV w:val="single" w:color="B2A1C6" w:sz="4" w:space="0" w:themeColor="accent4" w:themeTint="9A"/>
        <w:insideH w:val="single" w:color="B2A1C6" w:sz="4" w:space="0" w:themeColor="accent4" w:themeTint="9A"/>
      </w:tblBorders>
    </w:tblPr>
    <w:tblStylePr w:type="band1Horz">
      <w:rPr>
        <w:rFonts w:ascii="Arial" w:hAnsi="Arial"/>
        <w:color w:val="B2A1C6" w:themeColor="accent4" w:themeTint="9A" w:themeShade="95"/>
        <w:sz w:val="22"/>
      </w:rPr>
      <w:tcPr>
        <w:shd w:val="clear" w:color="E5DFEC" w:fill="E5DFEC" w:themeFill="accent4" w:themeFillTint="34" w:themeColor="accent4" w:themeTint="34"/>
      </w:tcPr>
    </w:tblStylePr>
    <w:tblStylePr w:type="band1Vert">
      <w:tcPr>
        <w:shd w:val="clear" w:color="E5DFEC" w:fill="E5DFEC" w:themeFill="accent4" w:themeFillTint="34" w:themeColor="accent4" w:themeTint="34"/>
      </w:tcPr>
    </w:tblStylePr>
    <w:tblStylePr w:type="band2Horz">
      <w:rPr>
        <w:rFonts w:ascii="Arial" w:hAnsi="Arial"/>
        <w:color w:val="B2A1C6" w:themeColor="accent4" w:themeTint="9A" w:themeShade="95"/>
        <w:sz w:val="22"/>
      </w:rPr>
    </w:tblStylePr>
    <w:tblStylePr w:type="firstCol">
      <w:rPr>
        <w:rFonts w:ascii="Arial" w:hAnsi="Arial"/>
        <w:i/>
        <w:color w:val="B2A1C6" w:themeColor="accent4" w:themeTint="9A" w:themeShade="95"/>
        <w:sz w:val="22"/>
      </w:rPr>
      <w:pPr>
        <w:jc w:val="right"/>
      </w:pPr>
      <w:tcPr>
        <w:shd w:val="clear" w:color="FFFFFF" w:fill="auto"/>
        <w:tcBorders>
          <w:left w:val="none" w:color="000000" w:sz="4" w:space="0"/>
          <w:top w:val="none" w:color="000000" w:sz="4" w:space="0"/>
          <w:right w:val="single" w:color="B2A1C6" w:sz="4" w:space="0" w:themeColor="accent4" w:themeTint="9A"/>
          <w:bottom w:val="none" w:color="000000" w:sz="4" w:space="0"/>
        </w:tcBorders>
      </w:tcPr>
    </w:tblStylePr>
    <w:tblStylePr w:type="firstRow">
      <w:rPr>
        <w:rFonts w:ascii="Arial" w:hAnsi="Arial"/>
        <w:b/>
        <w:color w:val="B2A1C6" w:themeColor="accent4" w:themeTint="9A" w:themeShade="95"/>
        <w:sz w:val="22"/>
      </w:rPr>
      <w:tcPr>
        <w:shd w:val="clear" w:color="FFFFFF" w:fill="FFFFFF" w:themeFill="light1" w:themeColor="light1"/>
        <w:tcBorders>
          <w:left w:val="none" w:color="000000" w:sz="4" w:space="0"/>
          <w:top w:val="none" w:color="000000" w:sz="4" w:space="0"/>
          <w:right w:val="none" w:color="000000" w:sz="4" w:space="0"/>
          <w:bottom w:val="single" w:color="B2A1C6" w:sz="4" w:space="0" w:themeColor="accent4" w:themeTint="9A"/>
        </w:tcBorders>
      </w:tcPr>
    </w:tblStylePr>
    <w:tblStylePr w:type="lastCol">
      <w:rPr>
        <w:rFonts w:ascii="Arial" w:hAnsi="Arial"/>
        <w:i/>
        <w:color w:val="B2A1C6" w:themeColor="accent4" w:themeTint="9A" w:themeShade="95"/>
        <w:sz w:val="22"/>
      </w:rPr>
      <w:tcPr>
        <w:shd w:val="clear" w:color="FFFFFF" w:fill="auto"/>
        <w:tcBorders>
          <w:left w:val="single" w:color="B2A1C6" w:sz="4" w:space="0" w:themeColor="accent4" w:themeTint="9A"/>
          <w:top w:val="none" w:color="000000" w:sz="4" w:space="0"/>
          <w:right w:val="none" w:color="000000" w:sz="4" w:space="0"/>
          <w:bottom w:val="none" w:color="000000" w:sz="4" w:space="0"/>
        </w:tcBorders>
      </w:tcPr>
    </w:tblStylePr>
    <w:tblStylePr w:type="lastRow">
      <w:rPr>
        <w:rFonts w:ascii="Arial" w:hAnsi="Arial"/>
        <w:b/>
        <w:color w:val="B2A1C6" w:themeColor="accent4" w:themeTint="9A" w:themeShade="95"/>
        <w:sz w:val="22"/>
      </w:rPr>
      <w:tcPr>
        <w:shd w:val="clear" w:color="FFFFFF" w:fill="FFFFFF" w:themeFill="light1" w:themeColor="light1"/>
        <w:tcBorders>
          <w:left w:val="none" w:color="000000" w:sz="4" w:space="0"/>
          <w:top w:val="single" w:color="B2A1C6" w:sz="4" w:space="0" w:themeColor="accent4" w:themeTint="9A"/>
          <w:right w:val="none" w:color="000000" w:sz="4" w:space="0"/>
          <w:bottom w:val="none" w:color="000000" w:sz="4" w:space="0"/>
        </w:tcBorders>
      </w:tcPr>
    </w:tblStylePr>
  </w:style>
  <w:style w:type="table" w:styleId="747" w:customStyle="1">
    <w:name w:val="Grid Table 7 Colorful - Accent 5"/>
    <w:basedOn w:val="651"/>
    <w:uiPriority w:val="99"/>
    <w:pPr>
      <w:spacing w:lineRule="auto" w:line="240"/>
    </w:pPr>
    <w:tblPr>
      <w:tblStyleRowBandSize w:val="1"/>
      <w:tblStyleColBandSize w:val="1"/>
      <w:tblBorders>
        <w:right w:val="single" w:color="99D0DE" w:sz="4" w:space="0" w:themeColor="accent5" w:themeTint="90"/>
        <w:bottom w:val="single" w:color="99D0DE" w:sz="4" w:space="0" w:themeColor="accent5" w:themeTint="90"/>
        <w:insideV w:val="single" w:color="99D0DE" w:sz="4" w:space="0" w:themeColor="accent5" w:themeTint="90"/>
        <w:insideH w:val="single" w:color="99D0DE" w:sz="4" w:space="0" w:themeColor="accent5" w:themeTint="90"/>
      </w:tblBorders>
    </w:tblPr>
    <w:tblStylePr w:type="band1Horz">
      <w:rPr>
        <w:rFonts w:ascii="Arial" w:hAnsi="Arial"/>
        <w:color w:val="266779" w:themeColor="accent5" w:themeShade="95"/>
        <w:sz w:val="22"/>
      </w:rPr>
      <w:tcPr>
        <w:shd w:val="clear" w:color="DAEEF3" w:fill="DAEEF3" w:themeFill="accent5" w:themeFillTint="34" w:themeColor="accent5" w:themeTint="34"/>
      </w:tcPr>
    </w:tblStylePr>
    <w:tblStylePr w:type="band1Vert">
      <w:tcPr>
        <w:shd w:val="clear" w:color="DAEEF3" w:fill="DAEEF3" w:themeFill="accent5" w:themeFillTint="34" w:themeColor="accent5" w:themeTint="34"/>
      </w:tcPr>
    </w:tblStylePr>
    <w:tblStylePr w:type="band2Horz">
      <w:rPr>
        <w:rFonts w:ascii="Arial" w:hAnsi="Arial"/>
        <w:color w:val="266779" w:themeColor="accent5" w:themeShade="95"/>
        <w:sz w:val="22"/>
      </w:rPr>
    </w:tblStylePr>
    <w:tblStylePr w:type="firstCol">
      <w:rPr>
        <w:rFonts w:ascii="Arial" w:hAnsi="Arial"/>
        <w:i/>
        <w:color w:val="266779" w:themeColor="accent5" w:themeShade="95"/>
        <w:sz w:val="22"/>
      </w:rPr>
      <w:pPr>
        <w:jc w:val="right"/>
      </w:pPr>
      <w:tcPr>
        <w:shd w:val="clear" w:color="FFFFFF" w:fill="auto"/>
        <w:tcBorders>
          <w:left w:val="none" w:color="000000" w:sz="4" w:space="0"/>
          <w:top w:val="none" w:color="000000" w:sz="4" w:space="0"/>
          <w:right w:val="single" w:color="99D0DE" w:sz="4" w:space="0" w:themeColor="accent5" w:themeTint="90"/>
          <w:bottom w:val="none" w:color="000000" w:sz="4" w:space="0"/>
        </w:tcBorders>
      </w:tcPr>
    </w:tblStylePr>
    <w:tblStylePr w:type="firstRow">
      <w:rPr>
        <w:rFonts w:ascii="Arial" w:hAnsi="Arial"/>
        <w:b/>
        <w:color w:val="266779" w:themeColor="accent5" w:themeShade="95"/>
        <w:sz w:val="22"/>
      </w:rPr>
      <w:tcPr>
        <w:shd w:val="clear" w:color="FFFFFF" w:fill="FFFFFF" w:themeFill="light1" w:themeColor="light1"/>
        <w:tcBorders>
          <w:left w:val="none" w:color="000000" w:sz="4" w:space="0"/>
          <w:top w:val="none" w:color="000000" w:sz="4" w:space="0"/>
          <w:right w:val="none" w:color="000000" w:sz="4" w:space="0"/>
          <w:bottom w:val="single" w:color="99D0DE" w:sz="4" w:space="0" w:themeColor="accent5" w:themeTint="90"/>
        </w:tcBorders>
      </w:tcPr>
    </w:tblStylePr>
    <w:tblStylePr w:type="lastCol">
      <w:rPr>
        <w:rFonts w:ascii="Arial" w:hAnsi="Arial"/>
        <w:i/>
        <w:color w:val="266779" w:themeColor="accent5" w:themeShade="95"/>
        <w:sz w:val="22"/>
      </w:rPr>
      <w:tcPr>
        <w:shd w:val="clear" w:color="FFFFFF" w:fill="auto"/>
        <w:tcBorders>
          <w:left w:val="single" w:color="99D0DE" w:sz="4" w:space="0" w:themeColor="accent5" w:themeTint="90"/>
          <w:top w:val="none" w:color="000000" w:sz="4" w:space="0"/>
          <w:right w:val="none" w:color="000000" w:sz="4" w:space="0"/>
          <w:bottom w:val="none" w:color="000000" w:sz="4" w:space="0"/>
        </w:tcBorders>
      </w:tcPr>
    </w:tblStylePr>
    <w:tblStylePr w:type="lastRow">
      <w:rPr>
        <w:rFonts w:ascii="Arial" w:hAnsi="Arial"/>
        <w:b/>
        <w:color w:val="266779" w:themeColor="accent5" w:themeShade="95"/>
        <w:sz w:val="22"/>
      </w:rPr>
      <w:tcPr>
        <w:shd w:val="clear" w:color="FFFFFF" w:fill="FFFFFF" w:themeFill="light1" w:themeColor="light1"/>
        <w:tcBorders>
          <w:left w:val="none" w:color="000000" w:sz="4" w:space="0"/>
          <w:top w:val="single" w:color="99D0DE" w:sz="4" w:space="0" w:themeColor="accent5" w:themeTint="90"/>
          <w:right w:val="none" w:color="000000" w:sz="4" w:space="0"/>
          <w:bottom w:val="none" w:color="000000" w:sz="4" w:space="0"/>
        </w:tcBorders>
      </w:tcPr>
    </w:tblStylePr>
  </w:style>
  <w:style w:type="table" w:styleId="748" w:customStyle="1">
    <w:name w:val="Grid Table 7 Colorful - Accent 6"/>
    <w:basedOn w:val="651"/>
    <w:uiPriority w:val="99"/>
    <w:pPr>
      <w:spacing w:lineRule="auto" w:line="240"/>
    </w:pPr>
    <w:tblPr>
      <w:tblStyleRowBandSize w:val="1"/>
      <w:tblStyleColBandSize w:val="1"/>
      <w:tblBorders>
        <w:right w:val="single" w:color="FAC396" w:sz="4" w:space="0" w:themeColor="accent6" w:themeTint="90"/>
        <w:bottom w:val="single" w:color="FAC396" w:sz="4" w:space="0" w:themeColor="accent6" w:themeTint="90"/>
        <w:insideV w:val="single" w:color="FAC396" w:sz="4" w:space="0" w:themeColor="accent6" w:themeTint="90"/>
        <w:insideH w:val="single" w:color="FAC396" w:sz="4" w:space="0" w:themeColor="accent6" w:themeTint="90"/>
      </w:tblBorders>
    </w:tblPr>
    <w:tblStylePr w:type="band1Horz">
      <w:rPr>
        <w:rFonts w:ascii="Arial" w:hAnsi="Arial"/>
        <w:color w:val="B15407" w:themeColor="accent6" w:themeShade="95"/>
        <w:sz w:val="22"/>
      </w:rPr>
      <w:tcPr>
        <w:shd w:val="clear" w:color="FDE9D8" w:fill="FDE9D8" w:themeFill="accent6" w:themeFillTint="34" w:themeColor="accent6" w:themeTint="34"/>
      </w:tcPr>
    </w:tblStylePr>
    <w:tblStylePr w:type="band1Vert">
      <w:tcPr>
        <w:shd w:val="clear" w:color="FDE9D8" w:fill="FDE9D8" w:themeFill="accent6" w:themeFillTint="34" w:themeColor="accent6" w:themeTint="34"/>
      </w:tcPr>
    </w:tblStylePr>
    <w:tblStylePr w:type="band2Horz">
      <w:rPr>
        <w:rFonts w:ascii="Arial" w:hAnsi="Arial"/>
        <w:color w:val="B15407" w:themeColor="accent6" w:themeShade="95"/>
        <w:sz w:val="22"/>
      </w:rPr>
    </w:tblStylePr>
    <w:tblStylePr w:type="firstCol">
      <w:rPr>
        <w:rFonts w:ascii="Arial" w:hAnsi="Arial"/>
        <w:i/>
        <w:color w:val="B15407" w:themeColor="accent6" w:themeShade="95"/>
        <w:sz w:val="22"/>
      </w:rPr>
      <w:pPr>
        <w:jc w:val="right"/>
      </w:pPr>
      <w:tcPr>
        <w:shd w:val="clear" w:color="FFFFFF" w:fill="auto"/>
        <w:tcBorders>
          <w:left w:val="none" w:color="000000" w:sz="4" w:space="0"/>
          <w:top w:val="none" w:color="000000" w:sz="4" w:space="0"/>
          <w:right w:val="single" w:color="FAC396" w:sz="4" w:space="0" w:themeColor="accent6" w:themeTint="90"/>
          <w:bottom w:val="none" w:color="000000" w:sz="4" w:space="0"/>
        </w:tcBorders>
      </w:tcPr>
    </w:tblStylePr>
    <w:tblStylePr w:type="firstRow">
      <w:rPr>
        <w:rFonts w:ascii="Arial" w:hAnsi="Arial"/>
        <w:b/>
        <w:color w:val="B15407" w:themeColor="accent6" w:themeShade="95"/>
        <w:sz w:val="22"/>
      </w:rPr>
      <w:tcPr>
        <w:shd w:val="clear" w:color="FFFFFF" w:fill="FFFFFF" w:themeFill="light1" w:themeColor="light1"/>
        <w:tcBorders>
          <w:left w:val="none" w:color="000000" w:sz="4" w:space="0"/>
          <w:top w:val="none" w:color="000000" w:sz="4" w:space="0"/>
          <w:right w:val="none" w:color="000000" w:sz="4" w:space="0"/>
          <w:bottom w:val="single" w:color="FAC396" w:sz="4" w:space="0" w:themeColor="accent6" w:themeTint="90"/>
        </w:tcBorders>
      </w:tcPr>
    </w:tblStylePr>
    <w:tblStylePr w:type="lastCol">
      <w:rPr>
        <w:rFonts w:ascii="Arial" w:hAnsi="Arial"/>
        <w:i/>
        <w:color w:val="B15407" w:themeColor="accent6" w:themeShade="95"/>
        <w:sz w:val="22"/>
      </w:rPr>
      <w:tcPr>
        <w:shd w:val="clear" w:color="FFFFFF" w:fill="auto"/>
        <w:tcBorders>
          <w:left w:val="single" w:color="FAC396" w:sz="4" w:space="0" w:themeColor="accent6" w:themeTint="90"/>
          <w:top w:val="none" w:color="000000" w:sz="4" w:space="0"/>
          <w:right w:val="none" w:color="000000" w:sz="4" w:space="0"/>
          <w:bottom w:val="none" w:color="000000" w:sz="4" w:space="0"/>
        </w:tcBorders>
      </w:tcPr>
    </w:tblStylePr>
    <w:tblStylePr w:type="lastRow">
      <w:rPr>
        <w:rFonts w:ascii="Arial" w:hAnsi="Arial"/>
        <w:b/>
        <w:color w:val="B15407" w:themeColor="accent6" w:themeShade="95"/>
        <w:sz w:val="22"/>
      </w:rPr>
      <w:tcPr>
        <w:shd w:val="clear" w:color="FFFFFF" w:fill="FFFFFF" w:themeFill="light1" w:themeColor="light1"/>
        <w:tcBorders>
          <w:left w:val="none" w:color="000000" w:sz="4" w:space="0"/>
          <w:top w:val="single" w:color="FAC396" w:sz="4" w:space="0" w:themeColor="accent6" w:themeTint="90"/>
          <w:right w:val="none" w:color="000000" w:sz="4" w:space="0"/>
          <w:bottom w:val="none" w:color="000000" w:sz="4" w:space="0"/>
        </w:tcBorders>
      </w:tcPr>
    </w:tblStylePr>
  </w:style>
  <w:style w:type="table" w:styleId="749">
    <w:name w:val="List Table 1 Light"/>
    <w:basedOn w:val="651"/>
    <w:uiPriority w:val="99"/>
    <w:pPr>
      <w:spacing w:lineRule="auto" w:line="240"/>
    </w:pPr>
    <w:tblPr>
      <w:tblStyleRowBandSize w:val="1"/>
      <w:tblStyleColBandSize w:val="1"/>
    </w:tblPr>
    <w:tblStylePr w:type="band1Horz">
      <w:tcPr>
        <w:shd w:val="clear" w:color="BFBFBF" w:fill="BFBFBF" w:themeFill="text1" w:themeFillTint="40" w:themeColor="text1" w:themeTint="40"/>
      </w:tcPr>
    </w:tblStylePr>
    <w:tblStylePr w:type="band1Vert">
      <w:tcPr>
        <w:shd w:val="clear" w:color="BFBFBF" w:fill="BFBFBF" w:themeFill="text1" w:themeFillTint="40" w:themeColor="text1" w:theme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000000" w:sz="4" w:space="0" w:themeColor="text1"/>
        </w:tcBorders>
      </w:tcPr>
    </w:tblStylePr>
    <w:tblStylePr w:type="lastCol">
      <w:rPr>
        <w:b/>
        <w:color w:val="404040"/>
      </w:rPr>
    </w:tblStylePr>
    <w:tblStylePr w:type="lastRow">
      <w:rPr>
        <w:b/>
        <w:color w:val="404040"/>
      </w:rPr>
      <w:tcPr>
        <w:tcBorders>
          <w:left w:val="none" w:color="000000" w:sz="4" w:space="0"/>
          <w:top w:val="single" w:color="000000" w:sz="4" w:space="0" w:themeColor="text1"/>
          <w:right w:val="none" w:color="000000" w:sz="4" w:space="0"/>
          <w:bottom w:val="none" w:color="000000" w:sz="4" w:space="0"/>
        </w:tcBorders>
      </w:tcPr>
    </w:tblStylePr>
  </w:style>
  <w:style w:type="table" w:styleId="750" w:customStyle="1">
    <w:name w:val="List Table 1 Light - Accent 1"/>
    <w:basedOn w:val="651"/>
    <w:uiPriority w:val="99"/>
    <w:pPr>
      <w:spacing w:lineRule="auto" w:line="240"/>
    </w:pPr>
    <w:tblPr>
      <w:tblStyleRowBandSize w:val="1"/>
      <w:tblStyleColBandSize w:val="1"/>
    </w:tblPr>
    <w:tblStylePr w:type="band1Horz">
      <w:tcPr>
        <w:shd w:val="clear" w:color="D2DFEE" w:fill="D2DFEE" w:themeFill="accent1" w:themeFillTint="40" w:themeColor="accent1" w:themeTint="40"/>
      </w:tcPr>
    </w:tblStylePr>
    <w:tblStylePr w:type="band1Vert">
      <w:tcPr>
        <w:shd w:val="clear" w:color="D2DFEE" w:fill="D2DFEE" w:themeFill="accent1" w:themeFillTint="40" w:themeColor="accent1" w:theme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4F81BD" w:sz="4" w:space="0" w:themeColor="accent1"/>
        </w:tcBorders>
      </w:tcPr>
    </w:tblStylePr>
    <w:tblStylePr w:type="lastCol">
      <w:rPr>
        <w:b/>
        <w:color w:val="404040"/>
      </w:rPr>
    </w:tblStylePr>
    <w:tblStylePr w:type="lastRow">
      <w:rPr>
        <w:b/>
        <w:color w:val="404040"/>
      </w:rPr>
      <w:tcPr>
        <w:tcBorders>
          <w:left w:val="none" w:color="000000" w:sz="4" w:space="0"/>
          <w:top w:val="single" w:color="4F81BD" w:sz="4" w:space="0" w:themeColor="accent1"/>
          <w:right w:val="none" w:color="000000" w:sz="4" w:space="0"/>
          <w:bottom w:val="none" w:color="000000" w:sz="4" w:space="0"/>
        </w:tcBorders>
      </w:tcPr>
    </w:tblStylePr>
  </w:style>
  <w:style w:type="table" w:styleId="751" w:customStyle="1">
    <w:name w:val="List Table 1 Light - Accent 2"/>
    <w:basedOn w:val="651"/>
    <w:uiPriority w:val="99"/>
    <w:pPr>
      <w:spacing w:lineRule="auto" w:line="240"/>
    </w:pPr>
    <w:tblPr>
      <w:tblStyleRowBandSize w:val="1"/>
      <w:tblStyleColBandSize w:val="1"/>
    </w:tblPr>
    <w:tblStylePr w:type="band1Horz">
      <w:tcPr>
        <w:shd w:val="clear" w:color="EFD2D2" w:fill="EFD2D2" w:themeFill="accent2" w:themeFillTint="40" w:themeColor="accent2" w:themeTint="40"/>
      </w:tcPr>
    </w:tblStylePr>
    <w:tblStylePr w:type="band1Vert">
      <w:tcPr>
        <w:shd w:val="clear" w:color="EFD2D2" w:fill="EFD2D2" w:themeFill="accent2" w:themeFillTint="40" w:themeColor="accent2" w:theme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C0504D" w:sz="4" w:space="0" w:themeColor="accent2"/>
        </w:tcBorders>
      </w:tcPr>
    </w:tblStylePr>
    <w:tblStylePr w:type="lastCol">
      <w:rPr>
        <w:b/>
        <w:color w:val="404040"/>
      </w:rPr>
    </w:tblStylePr>
    <w:tblStylePr w:type="lastRow">
      <w:rPr>
        <w:b/>
        <w:color w:val="404040"/>
      </w:rPr>
      <w:tcPr>
        <w:tcBorders>
          <w:left w:val="none" w:color="000000" w:sz="4" w:space="0"/>
          <w:top w:val="single" w:color="C0504D" w:sz="4" w:space="0" w:themeColor="accent2"/>
          <w:right w:val="none" w:color="000000" w:sz="4" w:space="0"/>
          <w:bottom w:val="none" w:color="000000" w:sz="4" w:space="0"/>
        </w:tcBorders>
      </w:tcPr>
    </w:tblStylePr>
  </w:style>
  <w:style w:type="table" w:styleId="752" w:customStyle="1">
    <w:name w:val="List Table 1 Light - Accent 3"/>
    <w:basedOn w:val="651"/>
    <w:uiPriority w:val="99"/>
    <w:pPr>
      <w:spacing w:lineRule="auto" w:line="240"/>
    </w:pPr>
    <w:tblPr>
      <w:tblStyleRowBandSize w:val="1"/>
      <w:tblStyleColBandSize w:val="1"/>
    </w:tblPr>
    <w:tblStylePr w:type="band1Horz">
      <w:tcPr>
        <w:shd w:val="clear" w:color="E5EED5" w:fill="E5EED5" w:themeFill="accent3" w:themeFillTint="40" w:themeColor="accent3" w:themeTint="40"/>
      </w:tcPr>
    </w:tblStylePr>
    <w:tblStylePr w:type="band1Vert">
      <w:tcPr>
        <w:shd w:val="clear" w:color="E5EED5" w:fill="E5EED5" w:themeFill="accent3" w:themeFillTint="40" w:themeColor="accent3" w:theme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9BBB59" w:sz="4" w:space="0" w:themeColor="accent3"/>
        </w:tcBorders>
      </w:tcPr>
    </w:tblStylePr>
    <w:tblStylePr w:type="lastCol">
      <w:rPr>
        <w:b/>
        <w:color w:val="404040"/>
      </w:rPr>
    </w:tblStylePr>
    <w:tblStylePr w:type="lastRow">
      <w:rPr>
        <w:b/>
        <w:color w:val="404040"/>
      </w:rPr>
      <w:tcPr>
        <w:tcBorders>
          <w:left w:val="none" w:color="000000" w:sz="4" w:space="0"/>
          <w:top w:val="single" w:color="9BBB59" w:sz="4" w:space="0" w:themeColor="accent3"/>
          <w:right w:val="none" w:color="000000" w:sz="4" w:space="0"/>
          <w:bottom w:val="none" w:color="000000" w:sz="4" w:space="0"/>
        </w:tcBorders>
      </w:tcPr>
    </w:tblStylePr>
  </w:style>
  <w:style w:type="table" w:styleId="753" w:customStyle="1">
    <w:name w:val="List Table 1 Light - Accent 4"/>
    <w:basedOn w:val="651"/>
    <w:uiPriority w:val="99"/>
    <w:pPr>
      <w:spacing w:lineRule="auto" w:line="240"/>
    </w:pPr>
    <w:tblPr>
      <w:tblStyleRowBandSize w:val="1"/>
      <w:tblStyleColBandSize w:val="1"/>
    </w:tblPr>
    <w:tblStylePr w:type="band1Horz">
      <w:tcPr>
        <w:shd w:val="clear" w:color="DFD8E7" w:fill="DFD8E7" w:themeFill="accent4" w:themeFillTint="40" w:themeColor="accent4" w:themeTint="40"/>
      </w:tcPr>
    </w:tblStylePr>
    <w:tblStylePr w:type="band1Vert">
      <w:tcPr>
        <w:shd w:val="clear" w:color="DFD8E7" w:fill="DFD8E7" w:themeFill="accent4" w:themeFillTint="40" w:themeColor="accent4" w:theme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8064A2" w:sz="4" w:space="0" w:themeColor="accent4"/>
        </w:tcBorders>
      </w:tcPr>
    </w:tblStylePr>
    <w:tblStylePr w:type="lastCol">
      <w:rPr>
        <w:b/>
        <w:color w:val="404040"/>
      </w:rPr>
    </w:tblStylePr>
    <w:tblStylePr w:type="lastRow">
      <w:rPr>
        <w:b/>
        <w:color w:val="404040"/>
      </w:rPr>
      <w:tcPr>
        <w:tcBorders>
          <w:left w:val="none" w:color="000000" w:sz="4" w:space="0"/>
          <w:top w:val="single" w:color="8064A2" w:sz="4" w:space="0" w:themeColor="accent4"/>
          <w:right w:val="none" w:color="000000" w:sz="4" w:space="0"/>
          <w:bottom w:val="none" w:color="000000" w:sz="4" w:space="0"/>
        </w:tcBorders>
      </w:tcPr>
    </w:tblStylePr>
  </w:style>
  <w:style w:type="table" w:styleId="754" w:customStyle="1">
    <w:name w:val="List Table 1 Light - Accent 5"/>
    <w:basedOn w:val="651"/>
    <w:uiPriority w:val="99"/>
    <w:pPr>
      <w:spacing w:lineRule="auto" w:line="240"/>
    </w:pPr>
    <w:tblPr>
      <w:tblStyleRowBandSize w:val="1"/>
      <w:tblStyleColBandSize w:val="1"/>
    </w:tblPr>
    <w:tblStylePr w:type="band1Horz">
      <w:tcPr>
        <w:shd w:val="clear" w:color="D1EAF0" w:fill="D1EAF0" w:themeFill="accent5" w:themeFillTint="40" w:themeColor="accent5" w:themeTint="40"/>
      </w:tcPr>
    </w:tblStylePr>
    <w:tblStylePr w:type="band1Vert">
      <w:tcPr>
        <w:shd w:val="clear" w:color="D1EAF0" w:fill="D1EAF0" w:themeFill="accent5" w:themeFillTint="40" w:themeColor="accent5" w:theme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4BACC6" w:sz="4" w:space="0" w:themeColor="accent5"/>
        </w:tcBorders>
      </w:tcPr>
    </w:tblStylePr>
    <w:tblStylePr w:type="lastCol">
      <w:rPr>
        <w:b/>
        <w:color w:val="404040"/>
      </w:rPr>
    </w:tblStylePr>
    <w:tblStylePr w:type="lastRow">
      <w:rPr>
        <w:b/>
        <w:color w:val="404040"/>
      </w:rPr>
      <w:tcPr>
        <w:tcBorders>
          <w:left w:val="none" w:color="000000" w:sz="4" w:space="0"/>
          <w:top w:val="single" w:color="4BACC6" w:sz="4" w:space="0" w:themeColor="accent5"/>
          <w:right w:val="none" w:color="000000" w:sz="4" w:space="0"/>
          <w:bottom w:val="none" w:color="000000" w:sz="4" w:space="0"/>
        </w:tcBorders>
      </w:tcPr>
    </w:tblStylePr>
  </w:style>
  <w:style w:type="table" w:styleId="755" w:customStyle="1">
    <w:name w:val="List Table 1 Light - Accent 6"/>
    <w:basedOn w:val="651"/>
    <w:uiPriority w:val="99"/>
    <w:pPr>
      <w:spacing w:lineRule="auto" w:line="240"/>
    </w:pPr>
    <w:tblPr>
      <w:tblStyleRowBandSize w:val="1"/>
      <w:tblStyleColBandSize w:val="1"/>
    </w:tblPr>
    <w:tblStylePr w:type="band1Horz">
      <w:tcPr>
        <w:shd w:val="clear" w:color="FDE4D0" w:fill="FDE4D0" w:themeFill="accent6" w:themeFillTint="40" w:themeColor="accent6" w:themeTint="40"/>
      </w:tcPr>
    </w:tblStylePr>
    <w:tblStylePr w:type="band1Vert">
      <w:tcPr>
        <w:shd w:val="clear" w:color="FDE4D0" w:fill="FDE4D0" w:themeFill="accent6" w:themeFillTint="40" w:themeColor="accent6" w:theme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F79646" w:sz="4" w:space="0" w:themeColor="accent6"/>
        </w:tcBorders>
      </w:tcPr>
    </w:tblStylePr>
    <w:tblStylePr w:type="lastCol">
      <w:rPr>
        <w:b/>
        <w:color w:val="404040"/>
      </w:rPr>
    </w:tblStylePr>
    <w:tblStylePr w:type="lastRow">
      <w:rPr>
        <w:b/>
        <w:color w:val="404040"/>
      </w:rPr>
      <w:tcPr>
        <w:tcBorders>
          <w:left w:val="none" w:color="000000" w:sz="4" w:space="0"/>
          <w:top w:val="single" w:color="F79646" w:sz="4" w:space="0" w:themeColor="accent6"/>
          <w:right w:val="none" w:color="000000" w:sz="4" w:space="0"/>
          <w:bottom w:val="none" w:color="000000" w:sz="4" w:space="0"/>
        </w:tcBorders>
      </w:tcPr>
    </w:tblStylePr>
  </w:style>
  <w:style w:type="table" w:styleId="756">
    <w:name w:val="List Table 2"/>
    <w:basedOn w:val="651"/>
    <w:uiPriority w:val="99"/>
    <w:pPr>
      <w:spacing w:lineRule="auto" w:line="240"/>
    </w:pPr>
    <w:tblPr>
      <w:tblStyleRowBandSize w:val="1"/>
      <w:tblStyleColBandSize w:val="1"/>
      <w:tblBorders>
        <w:top w:val="single" w:color="6F6F6F" w:sz="4" w:space="0" w:themeColor="text1" w:themeTint="90"/>
        <w:bottom w:val="single" w:color="6F6F6F" w:sz="4" w:space="0" w:themeColor="text1" w:themeTint="90"/>
        <w:insideH w:val="single" w:color="6F6F6F" w:sz="4" w:space="0" w:themeColor="text1" w:themeTint="90"/>
      </w:tblBorders>
    </w:tblPr>
    <w:tblStylePr w:type="band1Horz">
      <w:rPr>
        <w:rFonts w:ascii="Arial" w:hAnsi="Arial"/>
        <w:color w:val="404040"/>
        <w:sz w:val="22"/>
      </w:rPr>
      <w:tcPr>
        <w:shd w:val="clear" w:color="BFBFBF" w:fill="BFBFBF" w:themeFill="text1" w:themeFillTint="40" w:themeColor="text1" w:themeTint="40"/>
      </w:tcPr>
    </w:tblStylePr>
    <w:tblStylePr w:type="band1Vert">
      <w:rPr>
        <w:rFonts w:ascii="Arial" w:hAnsi="Arial"/>
        <w:color w:val="404040"/>
        <w:sz w:val="22"/>
      </w:rPr>
      <w:tcPr>
        <w:shd w:val="clear" w:color="BFBFBF" w:fill="BFBFBF" w:themeFill="text1" w:themeFillTint="40" w:themeColor="text1" w:theme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6F6F6F" w:sz="4" w:space="0" w:themeColor="text1" w:themeTint="90"/>
          <w:right w:val="none" w:color="000000" w:sz="4" w:space="0"/>
          <w:bottom w:val="single" w:color="6F6F6F" w:sz="4" w:space="0" w:themeColor="text1"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6F6F6F" w:sz="4" w:space="0" w:themeColor="text1" w:themeTint="90"/>
          <w:right w:val="none" w:color="000000" w:sz="4" w:space="0"/>
          <w:bottom w:val="single" w:color="6F6F6F" w:sz="4" w:space="0" w:themeColor="text1" w:themeTint="90"/>
        </w:tcBorders>
      </w:tcPr>
    </w:tblStylePr>
  </w:style>
  <w:style w:type="table" w:styleId="757" w:customStyle="1">
    <w:name w:val="List Table 2 - Accent 1"/>
    <w:basedOn w:val="651"/>
    <w:uiPriority w:val="99"/>
    <w:pPr>
      <w:spacing w:lineRule="auto" w:line="240"/>
    </w:pPr>
    <w:tblPr>
      <w:tblStyleRowBandSize w:val="1"/>
      <w:tblStyleColBandSize w:val="1"/>
      <w:tblBorders>
        <w:top w:val="single" w:color="9BB7D9" w:sz="4" w:space="0" w:themeColor="accent1" w:themeTint="90"/>
        <w:bottom w:val="single" w:color="9BB7D9" w:sz="4" w:space="0" w:themeColor="accent1" w:themeTint="90"/>
        <w:insideH w:val="single" w:color="9BB7D9" w:sz="4" w:space="0" w:themeColor="accent1" w:themeTint="90"/>
      </w:tblBorders>
    </w:tblPr>
    <w:tblStylePr w:type="band1Horz">
      <w:rPr>
        <w:rFonts w:ascii="Arial" w:hAnsi="Arial"/>
        <w:color w:val="404040"/>
        <w:sz w:val="22"/>
      </w:rPr>
      <w:tcPr>
        <w:shd w:val="clear" w:color="D2DFEE" w:fill="D2DFEE" w:themeFill="accent1" w:themeFillTint="40" w:themeColor="accent1" w:themeTint="40"/>
      </w:tcPr>
    </w:tblStylePr>
    <w:tblStylePr w:type="band1Vert">
      <w:rPr>
        <w:rFonts w:ascii="Arial" w:hAnsi="Arial"/>
        <w:color w:val="404040"/>
        <w:sz w:val="22"/>
      </w:rPr>
      <w:tcPr>
        <w:shd w:val="clear" w:color="D2DFEE" w:fill="D2DFEE" w:themeFill="accent1" w:themeFillTint="40" w:themeColor="accent1" w:theme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9BB7D9" w:sz="4" w:space="0" w:themeColor="accent1" w:themeTint="90"/>
          <w:right w:val="none" w:color="000000" w:sz="4" w:space="0"/>
          <w:bottom w:val="single" w:color="9BB7D9" w:sz="4" w:space="0" w:themeColor="accent1"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9BB7D9" w:sz="4" w:space="0" w:themeColor="accent1" w:themeTint="90"/>
          <w:right w:val="none" w:color="000000" w:sz="4" w:space="0"/>
          <w:bottom w:val="single" w:color="9BB7D9" w:sz="4" w:space="0" w:themeColor="accent1" w:themeTint="90"/>
        </w:tcBorders>
      </w:tcPr>
    </w:tblStylePr>
  </w:style>
  <w:style w:type="table" w:styleId="758" w:customStyle="1">
    <w:name w:val="List Table 2 - Accent 2"/>
    <w:basedOn w:val="651"/>
    <w:uiPriority w:val="99"/>
    <w:pPr>
      <w:spacing w:lineRule="auto" w:line="240"/>
    </w:pPr>
    <w:tblPr>
      <w:tblStyleRowBandSize w:val="1"/>
      <w:tblStyleColBandSize w:val="1"/>
      <w:tblBorders>
        <w:top w:val="single" w:color="DB9B9A" w:sz="4" w:space="0" w:themeColor="accent2" w:themeTint="90"/>
        <w:bottom w:val="single" w:color="DB9B9A" w:sz="4" w:space="0" w:themeColor="accent2" w:themeTint="90"/>
        <w:insideH w:val="single" w:color="DB9B9A" w:sz="4" w:space="0" w:themeColor="accent2" w:themeTint="90"/>
      </w:tblBorders>
    </w:tblPr>
    <w:tblStylePr w:type="band1Horz">
      <w:rPr>
        <w:rFonts w:ascii="Arial" w:hAnsi="Arial"/>
        <w:color w:val="404040"/>
        <w:sz w:val="22"/>
      </w:rPr>
      <w:tcPr>
        <w:shd w:val="clear" w:color="EFD2D2" w:fill="EFD2D2" w:themeFill="accent2" w:themeFillTint="40" w:themeColor="accent2" w:themeTint="40"/>
      </w:tcPr>
    </w:tblStylePr>
    <w:tblStylePr w:type="band1Vert">
      <w:rPr>
        <w:rFonts w:ascii="Arial" w:hAnsi="Arial"/>
        <w:color w:val="404040"/>
        <w:sz w:val="22"/>
      </w:rPr>
      <w:tcPr>
        <w:shd w:val="clear" w:color="EFD2D2" w:fill="EFD2D2" w:themeFill="accent2" w:themeFillTint="40" w:themeColor="accent2" w:theme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DB9B9A" w:sz="4" w:space="0" w:themeColor="accent2" w:themeTint="90"/>
          <w:right w:val="none" w:color="000000" w:sz="4" w:space="0"/>
          <w:bottom w:val="single" w:color="DB9B9A" w:sz="4" w:space="0" w:themeColor="accent2"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DB9B9A" w:sz="4" w:space="0" w:themeColor="accent2" w:themeTint="90"/>
          <w:right w:val="none" w:color="000000" w:sz="4" w:space="0"/>
          <w:bottom w:val="single" w:color="DB9B9A" w:sz="4" w:space="0" w:themeColor="accent2" w:themeTint="90"/>
        </w:tcBorders>
      </w:tcPr>
    </w:tblStylePr>
  </w:style>
  <w:style w:type="table" w:styleId="759" w:customStyle="1">
    <w:name w:val="List Table 2 - Accent 3"/>
    <w:basedOn w:val="651"/>
    <w:uiPriority w:val="99"/>
    <w:pPr>
      <w:spacing w:lineRule="auto" w:line="240"/>
    </w:pPr>
    <w:tblPr>
      <w:tblStyleRowBandSize w:val="1"/>
      <w:tblStyleColBandSize w:val="1"/>
      <w:tblBorders>
        <w:top w:val="single" w:color="C6D8A1" w:sz="4" w:space="0" w:themeColor="accent3" w:themeTint="90"/>
        <w:bottom w:val="single" w:color="C6D8A1" w:sz="4" w:space="0" w:themeColor="accent3" w:themeTint="90"/>
        <w:insideH w:val="single" w:color="C6D8A1" w:sz="4" w:space="0" w:themeColor="accent3" w:themeTint="90"/>
      </w:tblBorders>
    </w:tblPr>
    <w:tblStylePr w:type="band1Horz">
      <w:rPr>
        <w:rFonts w:ascii="Arial" w:hAnsi="Arial"/>
        <w:color w:val="404040"/>
        <w:sz w:val="22"/>
      </w:rPr>
      <w:tcPr>
        <w:shd w:val="clear" w:color="E5EED5" w:fill="E5EED5" w:themeFill="accent3" w:themeFillTint="40" w:themeColor="accent3" w:themeTint="40"/>
      </w:tcPr>
    </w:tblStylePr>
    <w:tblStylePr w:type="band1Vert">
      <w:rPr>
        <w:rFonts w:ascii="Arial" w:hAnsi="Arial"/>
        <w:color w:val="404040"/>
        <w:sz w:val="22"/>
      </w:rPr>
      <w:tcPr>
        <w:shd w:val="clear" w:color="E5EED5" w:fill="E5EED5" w:themeFill="accent3" w:themeFillTint="40" w:themeColor="accent3" w:theme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C6D8A1" w:sz="4" w:space="0" w:themeColor="accent3" w:themeTint="90"/>
          <w:right w:val="none" w:color="000000" w:sz="4" w:space="0"/>
          <w:bottom w:val="single" w:color="C6D8A1" w:sz="4" w:space="0" w:themeColor="accent3"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C6D8A1" w:sz="4" w:space="0" w:themeColor="accent3" w:themeTint="90"/>
          <w:right w:val="none" w:color="000000" w:sz="4" w:space="0"/>
          <w:bottom w:val="single" w:color="C6D8A1" w:sz="4" w:space="0" w:themeColor="accent3" w:themeTint="90"/>
        </w:tcBorders>
      </w:tcPr>
    </w:tblStylePr>
  </w:style>
  <w:style w:type="table" w:styleId="760" w:customStyle="1">
    <w:name w:val="List Table 2 - Accent 4"/>
    <w:basedOn w:val="651"/>
    <w:uiPriority w:val="99"/>
    <w:pPr>
      <w:spacing w:lineRule="auto" w:line="240"/>
    </w:pPr>
    <w:tblPr>
      <w:tblStyleRowBandSize w:val="1"/>
      <w:tblStyleColBandSize w:val="1"/>
      <w:tblBorders>
        <w:top w:val="single" w:color="B7A7CA" w:sz="4" w:space="0" w:themeColor="accent4" w:themeTint="90"/>
        <w:bottom w:val="single" w:color="B7A7CA" w:sz="4" w:space="0" w:themeColor="accent4" w:themeTint="90"/>
        <w:insideH w:val="single" w:color="B7A7CA" w:sz="4" w:space="0" w:themeColor="accent4" w:themeTint="90"/>
      </w:tblBorders>
    </w:tblPr>
    <w:tblStylePr w:type="band1Horz">
      <w:rPr>
        <w:rFonts w:ascii="Arial" w:hAnsi="Arial"/>
        <w:color w:val="404040"/>
        <w:sz w:val="22"/>
      </w:rPr>
      <w:tcPr>
        <w:shd w:val="clear" w:color="DFD8E7" w:fill="DFD8E7" w:themeFill="accent4" w:themeFillTint="40" w:themeColor="accent4" w:themeTint="40"/>
      </w:tcPr>
    </w:tblStylePr>
    <w:tblStylePr w:type="band1Vert">
      <w:rPr>
        <w:rFonts w:ascii="Arial" w:hAnsi="Arial"/>
        <w:color w:val="404040"/>
        <w:sz w:val="22"/>
      </w:rPr>
      <w:tcPr>
        <w:shd w:val="clear" w:color="DFD8E7" w:fill="DFD8E7" w:themeFill="accent4" w:themeFillTint="40" w:themeColor="accent4" w:theme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B7A7CA" w:sz="4" w:space="0" w:themeColor="accent4" w:themeTint="90"/>
          <w:right w:val="none" w:color="000000" w:sz="4" w:space="0"/>
          <w:bottom w:val="single" w:color="B7A7CA" w:sz="4" w:space="0" w:themeColor="accent4"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B7A7CA" w:sz="4" w:space="0" w:themeColor="accent4" w:themeTint="90"/>
          <w:right w:val="none" w:color="000000" w:sz="4" w:space="0"/>
          <w:bottom w:val="single" w:color="B7A7CA" w:sz="4" w:space="0" w:themeColor="accent4" w:themeTint="90"/>
        </w:tcBorders>
      </w:tcPr>
    </w:tblStylePr>
  </w:style>
  <w:style w:type="table" w:styleId="761" w:customStyle="1">
    <w:name w:val="List Table 2 - Accent 5"/>
    <w:basedOn w:val="651"/>
    <w:uiPriority w:val="99"/>
    <w:pPr>
      <w:spacing w:lineRule="auto" w:line="240"/>
    </w:pPr>
    <w:tblPr>
      <w:tblStyleRowBandSize w:val="1"/>
      <w:tblStyleColBandSize w:val="1"/>
      <w:tblBorders>
        <w:top w:val="single" w:color="99D0DE" w:sz="4" w:space="0" w:themeColor="accent5" w:themeTint="90"/>
        <w:bottom w:val="single" w:color="99D0DE" w:sz="4" w:space="0" w:themeColor="accent5" w:themeTint="90"/>
        <w:insideH w:val="single" w:color="99D0DE" w:sz="4" w:space="0" w:themeColor="accent5" w:themeTint="90"/>
      </w:tblBorders>
    </w:tblPr>
    <w:tblStylePr w:type="band1Horz">
      <w:rPr>
        <w:rFonts w:ascii="Arial" w:hAnsi="Arial"/>
        <w:color w:val="404040"/>
        <w:sz w:val="22"/>
      </w:rPr>
      <w:tcPr>
        <w:shd w:val="clear" w:color="D1EAF0" w:fill="D1EAF0" w:themeFill="accent5" w:themeFillTint="40" w:themeColor="accent5" w:themeTint="40"/>
      </w:tcPr>
    </w:tblStylePr>
    <w:tblStylePr w:type="band1Vert">
      <w:rPr>
        <w:rFonts w:ascii="Arial" w:hAnsi="Arial"/>
        <w:color w:val="404040"/>
        <w:sz w:val="22"/>
      </w:rPr>
      <w:tcPr>
        <w:shd w:val="clear" w:color="D1EAF0" w:fill="D1EAF0" w:themeFill="accent5" w:themeFillTint="40" w:themeColor="accent5" w:theme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99D0DE" w:sz="4" w:space="0" w:themeColor="accent5" w:themeTint="90"/>
          <w:right w:val="none" w:color="000000" w:sz="4" w:space="0"/>
          <w:bottom w:val="single" w:color="99D0DE" w:sz="4" w:space="0" w:themeColor="accent5"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99D0DE" w:sz="4" w:space="0" w:themeColor="accent5" w:themeTint="90"/>
          <w:right w:val="none" w:color="000000" w:sz="4" w:space="0"/>
          <w:bottom w:val="single" w:color="99D0DE" w:sz="4" w:space="0" w:themeColor="accent5" w:themeTint="90"/>
        </w:tcBorders>
      </w:tcPr>
    </w:tblStylePr>
  </w:style>
  <w:style w:type="table" w:styleId="762" w:customStyle="1">
    <w:name w:val="List Table 2 - Accent 6"/>
    <w:basedOn w:val="651"/>
    <w:uiPriority w:val="99"/>
    <w:pPr>
      <w:spacing w:lineRule="auto" w:line="240"/>
    </w:pPr>
    <w:tblPr>
      <w:tblStyleRowBandSize w:val="1"/>
      <w:tblStyleColBandSize w:val="1"/>
      <w:tblBorders>
        <w:top w:val="single" w:color="FAC396" w:sz="4" w:space="0" w:themeColor="accent6" w:themeTint="90"/>
        <w:bottom w:val="single" w:color="FAC396" w:sz="4" w:space="0" w:themeColor="accent6" w:themeTint="90"/>
        <w:insideH w:val="single" w:color="FAC396" w:sz="4" w:space="0" w:themeColor="accent6" w:themeTint="90"/>
      </w:tblBorders>
    </w:tblPr>
    <w:tblStylePr w:type="band1Horz">
      <w:rPr>
        <w:rFonts w:ascii="Arial" w:hAnsi="Arial"/>
        <w:color w:val="404040"/>
        <w:sz w:val="22"/>
      </w:rPr>
      <w:tcPr>
        <w:shd w:val="clear" w:color="FDE4D0" w:fill="FDE4D0" w:themeFill="accent6" w:themeFillTint="40" w:themeColor="accent6" w:themeTint="40"/>
      </w:tcPr>
    </w:tblStylePr>
    <w:tblStylePr w:type="band1Vert">
      <w:rPr>
        <w:rFonts w:ascii="Arial" w:hAnsi="Arial"/>
        <w:color w:val="404040"/>
        <w:sz w:val="22"/>
      </w:rPr>
      <w:tcPr>
        <w:shd w:val="clear" w:color="FDE4D0" w:fill="FDE4D0" w:themeFill="accent6" w:themeFillTint="40" w:themeColor="accent6" w:theme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FAC396" w:sz="4" w:space="0" w:themeColor="accent6" w:themeTint="90"/>
          <w:right w:val="none" w:color="000000" w:sz="4" w:space="0"/>
          <w:bottom w:val="single" w:color="FAC396" w:sz="4" w:space="0" w:themeColor="accent6"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FAC396" w:sz="4" w:space="0" w:themeColor="accent6" w:themeTint="90"/>
          <w:right w:val="none" w:color="000000" w:sz="4" w:space="0"/>
          <w:bottom w:val="single" w:color="FAC396" w:sz="4" w:space="0" w:themeColor="accent6" w:themeTint="90"/>
        </w:tcBorders>
      </w:tcPr>
    </w:tblStylePr>
  </w:style>
  <w:style w:type="table" w:styleId="763">
    <w:name w:val="List Table 3"/>
    <w:basedOn w:val="651"/>
    <w:uiPriority w:val="99"/>
    <w:pPr>
      <w:spacing w:lineRule="auto" w:line="240"/>
    </w:pPr>
    <w:tblPr>
      <w:tblStyleRowBandSize w:val="1"/>
      <w:tblStyleColBandSize w:val="1"/>
      <w:tblBorders>
        <w:left w:val="single" w:color="000000" w:sz="4" w:space="0" w:themeColor="text1"/>
        <w:top w:val="single" w:color="000000" w:sz="4" w:space="0" w:themeColor="text1"/>
        <w:right w:val="single" w:color="000000" w:sz="4" w:space="0" w:themeColor="text1"/>
        <w:bottom w:val="single" w:color="000000" w:sz="4" w:space="0" w:themeColor="text1"/>
      </w:tblBorders>
    </w:tblPr>
    <w:tblStylePr w:type="band1Horz">
      <w:rPr>
        <w:rFonts w:ascii="Arial" w:hAnsi="Arial"/>
        <w:color w:val="404040"/>
        <w:sz w:val="22"/>
      </w:rPr>
      <w:tcPr>
        <w:tcBorders>
          <w:top w:val="single" w:color="000000" w:sz="4" w:space="0" w:themeColor="text1"/>
          <w:bottom w:val="single" w:color="000000" w:sz="4" w:space="0" w:themeColor="text1"/>
        </w:tcBorders>
      </w:tcPr>
    </w:tblStylePr>
    <w:tblStylePr w:type="band1Vert">
      <w:rPr>
        <w:rFonts w:ascii="Arial" w:hAnsi="Arial"/>
        <w:color w:val="404040"/>
        <w:sz w:val="22"/>
      </w:rPr>
      <w:tcPr>
        <w:tcBorders>
          <w:left w:val="single" w:color="000000" w:sz="4" w:space="0" w:themeColor="text1"/>
          <w:right w:val="single" w:color="000000" w:sz="4" w:space="0" w:themeColor="text1"/>
        </w:tcBorders>
      </w:tcPr>
    </w:tblStylePr>
    <w:tblStylePr w:type="firstCol">
      <w:rPr>
        <w:b/>
        <w:color w:val="404040"/>
      </w:rPr>
    </w:tblStylePr>
    <w:tblStylePr w:type="firstRow">
      <w:rPr>
        <w:rFonts w:ascii="Arial" w:hAnsi="Arial"/>
        <w:b/>
        <w:color w:val="FFFFFF"/>
        <w:sz w:val="22"/>
      </w:rPr>
      <w:tcPr>
        <w:shd w:val="clear" w:color="000000" w:fill="000000" w:themeFill="text1" w:themeColor="text1"/>
      </w:tcPr>
    </w:tblStylePr>
    <w:tblStylePr w:type="lastCol">
      <w:rPr>
        <w:b/>
        <w:color w:val="404040"/>
      </w:rPr>
    </w:tblStylePr>
    <w:tblStylePr w:type="lastRow">
      <w:rPr>
        <w:b/>
        <w:color w:val="404040"/>
      </w:rPr>
    </w:tblStylePr>
  </w:style>
  <w:style w:type="table" w:styleId="764" w:customStyle="1">
    <w:name w:val="List Table 3 - Accent 1"/>
    <w:basedOn w:val="651"/>
    <w:uiPriority w:val="99"/>
    <w:pPr>
      <w:spacing w:lineRule="auto" w:line="240"/>
    </w:pPr>
    <w:tblPr>
      <w:tblStyleRowBandSize w:val="1"/>
      <w:tblStyleColBandSize w:val="1"/>
      <w:tblBorders>
        <w:left w:val="single" w:color="4F81BD" w:sz="4" w:space="0" w:themeColor="accent1"/>
        <w:top w:val="single" w:color="4F81BD" w:sz="4" w:space="0" w:themeColor="accent1"/>
        <w:right w:val="single" w:color="4F81BD" w:sz="4" w:space="0" w:themeColor="accent1"/>
        <w:bottom w:val="single" w:color="4F81BD" w:sz="4" w:space="0" w:themeColor="accent1"/>
      </w:tblBorders>
    </w:tblPr>
    <w:tblStylePr w:type="band1Horz">
      <w:rPr>
        <w:rFonts w:ascii="Arial" w:hAnsi="Arial"/>
        <w:color w:val="404040"/>
        <w:sz w:val="22"/>
      </w:rPr>
      <w:tcPr>
        <w:tcBorders>
          <w:top w:val="single" w:color="4F81BD" w:sz="4" w:space="0" w:themeColor="accent1"/>
          <w:bottom w:val="single" w:color="4F81BD" w:sz="4" w:space="0" w:themeColor="accent1"/>
        </w:tcBorders>
      </w:tcPr>
    </w:tblStylePr>
    <w:tblStylePr w:type="band1Vert">
      <w:rPr>
        <w:rFonts w:ascii="Arial" w:hAnsi="Arial"/>
        <w:color w:val="404040"/>
        <w:sz w:val="22"/>
      </w:rPr>
      <w:tcPr>
        <w:tcBorders>
          <w:left w:val="single" w:color="4F81BD" w:sz="4" w:space="0" w:themeColor="accent1"/>
          <w:right w:val="single" w:color="4F81BD" w:sz="4" w:space="0" w:themeColor="accent1"/>
        </w:tcBorders>
      </w:tcPr>
    </w:tblStylePr>
    <w:tblStylePr w:type="firstCol">
      <w:rPr>
        <w:b/>
        <w:color w:val="404040"/>
      </w:rPr>
    </w:tblStylePr>
    <w:tblStylePr w:type="firstRow">
      <w:rPr>
        <w:rFonts w:ascii="Arial" w:hAnsi="Arial"/>
        <w:b/>
        <w:color w:val="FFFFFF"/>
        <w:sz w:val="22"/>
      </w:rPr>
      <w:tcPr>
        <w:shd w:val="clear" w:color="4F81BD" w:fill="4F81BD" w:themeFill="accent1" w:themeColor="accent1"/>
      </w:tcPr>
    </w:tblStylePr>
    <w:tblStylePr w:type="lastCol">
      <w:rPr>
        <w:b/>
        <w:color w:val="404040"/>
      </w:rPr>
    </w:tblStylePr>
    <w:tblStylePr w:type="lastRow">
      <w:rPr>
        <w:b/>
        <w:color w:val="404040"/>
      </w:rPr>
    </w:tblStylePr>
  </w:style>
  <w:style w:type="table" w:styleId="765" w:customStyle="1">
    <w:name w:val="List Table 3 - Accent 2"/>
    <w:basedOn w:val="651"/>
    <w:uiPriority w:val="99"/>
    <w:pPr>
      <w:spacing w:lineRule="auto" w:line="240"/>
    </w:pPr>
    <w:tblPr>
      <w:tblStyleRowBandSize w:val="1"/>
      <w:tblStyleColBandSize w:val="1"/>
      <w:tblBorders>
        <w:left w:val="single" w:color="D99695" w:sz="4" w:space="0" w:themeColor="accent2" w:themeTint="97"/>
        <w:top w:val="single" w:color="D99695" w:sz="4" w:space="0" w:themeColor="accent2" w:themeTint="97"/>
        <w:right w:val="single" w:color="D99695" w:sz="4" w:space="0" w:themeColor="accent2" w:themeTint="97"/>
        <w:bottom w:val="single" w:color="D99695" w:sz="4" w:space="0" w:themeColor="accent2" w:themeTint="97"/>
      </w:tblBorders>
    </w:tblPr>
    <w:tblStylePr w:type="band1Horz">
      <w:rPr>
        <w:rFonts w:ascii="Arial" w:hAnsi="Arial"/>
        <w:color w:val="404040"/>
        <w:sz w:val="22"/>
      </w:rPr>
      <w:tcPr>
        <w:tcBorders>
          <w:top w:val="single" w:color="D99695" w:sz="4" w:space="0" w:themeColor="accent2" w:themeTint="97"/>
          <w:bottom w:val="single" w:color="D99695" w:sz="4" w:space="0" w:themeColor="accent2" w:themeTint="97"/>
        </w:tcBorders>
      </w:tcPr>
    </w:tblStylePr>
    <w:tblStylePr w:type="band1Vert">
      <w:rPr>
        <w:rFonts w:ascii="Arial" w:hAnsi="Arial"/>
        <w:color w:val="404040"/>
        <w:sz w:val="22"/>
      </w:rPr>
      <w:tcPr>
        <w:tcBorders>
          <w:left w:val="single" w:color="D99695" w:sz="4" w:space="0" w:themeColor="accent2" w:themeTint="97"/>
          <w:right w:val="single" w:color="D99695" w:sz="4" w:space="0" w:themeColor="accent2" w:themeTint="97"/>
        </w:tcBorders>
      </w:tcPr>
    </w:tblStylePr>
    <w:tblStylePr w:type="firstCol">
      <w:rPr>
        <w:b/>
        <w:color w:val="404040"/>
      </w:rPr>
    </w:tblStylePr>
    <w:tblStylePr w:type="firstRow">
      <w:rPr>
        <w:rFonts w:ascii="Arial" w:hAnsi="Arial"/>
        <w:b/>
        <w:color w:val="FFFFFF"/>
        <w:sz w:val="22"/>
      </w:rPr>
      <w:tcPr>
        <w:shd w:val="clear" w:color="D99695" w:fill="D99695" w:themeFill="accent2" w:themeFillTint="97" w:themeColor="accent2" w:themeTint="97"/>
      </w:tcPr>
    </w:tblStylePr>
    <w:tblStylePr w:type="lastCol">
      <w:rPr>
        <w:b/>
        <w:color w:val="404040"/>
      </w:rPr>
    </w:tblStylePr>
    <w:tblStylePr w:type="lastRow">
      <w:rPr>
        <w:b/>
        <w:color w:val="404040"/>
      </w:rPr>
    </w:tblStylePr>
  </w:style>
  <w:style w:type="table" w:styleId="766" w:customStyle="1">
    <w:name w:val="List Table 3 - Accent 3"/>
    <w:basedOn w:val="651"/>
    <w:uiPriority w:val="99"/>
    <w:pPr>
      <w:spacing w:lineRule="auto" w:line="240"/>
    </w:pPr>
    <w:tblPr>
      <w:tblStyleRowBandSize w:val="1"/>
      <w:tblStyleColBandSize w:val="1"/>
      <w:tblBorders>
        <w:left w:val="single" w:color="C3D69B" w:sz="4" w:space="0" w:themeColor="accent3" w:themeTint="98"/>
        <w:top w:val="single" w:color="C3D69B" w:sz="4" w:space="0" w:themeColor="accent3" w:themeTint="98"/>
        <w:right w:val="single" w:color="C3D69B" w:sz="4" w:space="0" w:themeColor="accent3" w:themeTint="98"/>
        <w:bottom w:val="single" w:color="C3D69B" w:sz="4" w:space="0" w:themeColor="accent3" w:themeTint="98"/>
      </w:tblBorders>
    </w:tblPr>
    <w:tblStylePr w:type="band1Horz">
      <w:rPr>
        <w:rFonts w:ascii="Arial" w:hAnsi="Arial"/>
        <w:color w:val="404040"/>
        <w:sz w:val="22"/>
      </w:rPr>
      <w:tcPr>
        <w:tcBorders>
          <w:top w:val="single" w:color="C3D69B" w:sz="4" w:space="0" w:themeColor="accent3" w:themeTint="98"/>
          <w:bottom w:val="single" w:color="C3D69B" w:sz="4" w:space="0" w:themeColor="accent3" w:themeTint="98"/>
        </w:tcBorders>
      </w:tcPr>
    </w:tblStylePr>
    <w:tblStylePr w:type="band1Vert">
      <w:rPr>
        <w:rFonts w:ascii="Arial" w:hAnsi="Arial"/>
        <w:color w:val="404040"/>
        <w:sz w:val="22"/>
      </w:rPr>
      <w:tcPr>
        <w:tcBorders>
          <w:left w:val="single" w:color="C3D69B" w:sz="4" w:space="0" w:themeColor="accent3" w:themeTint="98"/>
          <w:right w:val="single" w:color="C3D69B" w:sz="4" w:space="0" w:themeColor="accent3" w:themeTint="98"/>
        </w:tcBorders>
      </w:tcPr>
    </w:tblStylePr>
    <w:tblStylePr w:type="firstCol">
      <w:rPr>
        <w:b/>
        <w:color w:val="404040"/>
      </w:rPr>
    </w:tblStylePr>
    <w:tblStylePr w:type="firstRow">
      <w:rPr>
        <w:rFonts w:ascii="Arial" w:hAnsi="Arial"/>
        <w:b/>
        <w:color w:val="FFFFFF"/>
        <w:sz w:val="22"/>
      </w:rPr>
      <w:tcPr>
        <w:shd w:val="clear" w:color="C3D69B" w:fill="C3D69B" w:themeFill="accent3" w:themeFillTint="98" w:themeColor="accent3" w:themeTint="98"/>
      </w:tcPr>
    </w:tblStylePr>
    <w:tblStylePr w:type="lastCol">
      <w:rPr>
        <w:b/>
        <w:color w:val="404040"/>
      </w:rPr>
    </w:tblStylePr>
    <w:tblStylePr w:type="lastRow">
      <w:rPr>
        <w:b/>
        <w:color w:val="404040"/>
      </w:rPr>
    </w:tblStylePr>
  </w:style>
  <w:style w:type="table" w:styleId="767" w:customStyle="1">
    <w:name w:val="List Table 3 - Accent 4"/>
    <w:basedOn w:val="651"/>
    <w:uiPriority w:val="99"/>
    <w:pPr>
      <w:spacing w:lineRule="auto" w:line="240"/>
    </w:pPr>
    <w:tblPr>
      <w:tblStyleRowBandSize w:val="1"/>
      <w:tblStyleColBandSize w:val="1"/>
      <w:tblBorders>
        <w:left w:val="single" w:color="B2A1C6" w:sz="4" w:space="0" w:themeColor="accent4" w:themeTint="9A"/>
        <w:top w:val="single" w:color="B2A1C6" w:sz="4" w:space="0" w:themeColor="accent4" w:themeTint="9A"/>
        <w:right w:val="single" w:color="B2A1C6" w:sz="4" w:space="0" w:themeColor="accent4" w:themeTint="9A"/>
        <w:bottom w:val="single" w:color="B2A1C6" w:sz="4" w:space="0" w:themeColor="accent4" w:themeTint="9A"/>
      </w:tblBorders>
    </w:tblPr>
    <w:tblStylePr w:type="band1Horz">
      <w:rPr>
        <w:rFonts w:ascii="Arial" w:hAnsi="Arial"/>
        <w:color w:val="404040"/>
        <w:sz w:val="22"/>
      </w:rPr>
      <w:tcPr>
        <w:tcBorders>
          <w:top w:val="single" w:color="B2A1C6" w:sz="4" w:space="0" w:themeColor="accent4" w:themeTint="9A"/>
          <w:bottom w:val="single" w:color="B2A1C6" w:sz="4" w:space="0" w:themeColor="accent4" w:themeTint="9A"/>
        </w:tcBorders>
      </w:tcPr>
    </w:tblStylePr>
    <w:tblStylePr w:type="band1Vert">
      <w:rPr>
        <w:rFonts w:ascii="Arial" w:hAnsi="Arial"/>
        <w:color w:val="404040"/>
        <w:sz w:val="22"/>
      </w:rPr>
      <w:tcPr>
        <w:tcBorders>
          <w:left w:val="single" w:color="B2A1C6" w:sz="4" w:space="0" w:themeColor="accent4" w:themeTint="9A"/>
          <w:right w:val="single" w:color="B2A1C6" w:sz="4" w:space="0" w:themeColor="accent4" w:themeTint="9A"/>
        </w:tcBorders>
      </w:tcPr>
    </w:tblStylePr>
    <w:tblStylePr w:type="firstCol">
      <w:rPr>
        <w:b/>
        <w:color w:val="404040"/>
      </w:rPr>
    </w:tblStylePr>
    <w:tblStylePr w:type="firstRow">
      <w:rPr>
        <w:rFonts w:ascii="Arial" w:hAnsi="Arial"/>
        <w:b/>
        <w:color w:val="FFFFFF"/>
        <w:sz w:val="22"/>
      </w:rPr>
      <w:tcPr>
        <w:shd w:val="clear" w:color="B2A1C6" w:fill="B2A1C6" w:themeFill="accent4" w:themeFillTint="9A" w:themeColor="accent4" w:themeTint="9A"/>
      </w:tcPr>
    </w:tblStylePr>
    <w:tblStylePr w:type="lastCol">
      <w:rPr>
        <w:b/>
        <w:color w:val="404040"/>
      </w:rPr>
    </w:tblStylePr>
    <w:tblStylePr w:type="lastRow">
      <w:rPr>
        <w:b/>
        <w:color w:val="404040"/>
      </w:rPr>
    </w:tblStylePr>
  </w:style>
  <w:style w:type="table" w:styleId="768" w:customStyle="1">
    <w:name w:val="List Table 3 - Accent 5"/>
    <w:basedOn w:val="651"/>
    <w:uiPriority w:val="99"/>
    <w:pPr>
      <w:spacing w:lineRule="auto" w:line="240"/>
    </w:pPr>
    <w:tblPr>
      <w:tblStyleRowBandSize w:val="1"/>
      <w:tblStyleColBandSize w:val="1"/>
      <w:tblBorders>
        <w:left w:val="single" w:color="92CCDC" w:sz="4" w:space="0" w:themeColor="accent5" w:themeTint="9A"/>
        <w:top w:val="single" w:color="92CCDC" w:sz="4" w:space="0" w:themeColor="accent5" w:themeTint="9A"/>
        <w:right w:val="single" w:color="92CCDC" w:sz="4" w:space="0" w:themeColor="accent5" w:themeTint="9A"/>
        <w:bottom w:val="single" w:color="92CCDC" w:sz="4" w:space="0" w:themeColor="accent5" w:themeTint="9A"/>
      </w:tblBorders>
    </w:tblPr>
    <w:tblStylePr w:type="band1Horz">
      <w:rPr>
        <w:rFonts w:ascii="Arial" w:hAnsi="Arial"/>
        <w:color w:val="404040"/>
        <w:sz w:val="22"/>
      </w:rPr>
      <w:tcPr>
        <w:tcBorders>
          <w:top w:val="single" w:color="92CCDC" w:sz="4" w:space="0" w:themeColor="accent5" w:themeTint="9A"/>
          <w:bottom w:val="single" w:color="92CCDC" w:sz="4" w:space="0" w:themeColor="accent5" w:themeTint="9A"/>
        </w:tcBorders>
      </w:tcPr>
    </w:tblStylePr>
    <w:tblStylePr w:type="band1Vert">
      <w:rPr>
        <w:rFonts w:ascii="Arial" w:hAnsi="Arial"/>
        <w:color w:val="404040"/>
        <w:sz w:val="22"/>
      </w:rPr>
      <w:tcPr>
        <w:tcBorders>
          <w:left w:val="single" w:color="92CCDC" w:sz="4" w:space="0" w:themeColor="accent5" w:themeTint="9A"/>
          <w:right w:val="single" w:color="92CCDC" w:sz="4" w:space="0" w:themeColor="accent5" w:themeTint="9A"/>
        </w:tcBorders>
      </w:tcPr>
    </w:tblStylePr>
    <w:tblStylePr w:type="firstCol">
      <w:rPr>
        <w:b/>
        <w:color w:val="404040"/>
      </w:rPr>
    </w:tblStylePr>
    <w:tblStylePr w:type="firstRow">
      <w:rPr>
        <w:rFonts w:ascii="Arial" w:hAnsi="Arial"/>
        <w:b/>
        <w:color w:val="FFFFFF"/>
        <w:sz w:val="22"/>
      </w:rPr>
      <w:tcPr>
        <w:shd w:val="clear" w:color="92CCDC" w:fill="92CCDC" w:themeFill="accent5" w:themeFillTint="9A" w:themeColor="accent5" w:themeTint="9A"/>
      </w:tcPr>
    </w:tblStylePr>
    <w:tblStylePr w:type="lastCol">
      <w:rPr>
        <w:b/>
        <w:color w:val="404040"/>
      </w:rPr>
    </w:tblStylePr>
    <w:tblStylePr w:type="lastRow">
      <w:rPr>
        <w:b/>
        <w:color w:val="404040"/>
      </w:rPr>
    </w:tblStylePr>
  </w:style>
  <w:style w:type="table" w:styleId="769" w:customStyle="1">
    <w:name w:val="List Table 3 - Accent 6"/>
    <w:basedOn w:val="651"/>
    <w:uiPriority w:val="99"/>
    <w:pPr>
      <w:spacing w:lineRule="auto" w:line="240"/>
    </w:pPr>
    <w:tblPr>
      <w:tblStyleRowBandSize w:val="1"/>
      <w:tblStyleColBandSize w:val="1"/>
      <w:tblBorders>
        <w:left w:val="single" w:color="FAC090" w:sz="4" w:space="0" w:themeColor="accent6" w:themeTint="98"/>
        <w:top w:val="single" w:color="FAC090" w:sz="4" w:space="0" w:themeColor="accent6" w:themeTint="98"/>
        <w:right w:val="single" w:color="FAC090" w:sz="4" w:space="0" w:themeColor="accent6" w:themeTint="98"/>
        <w:bottom w:val="single" w:color="FAC090" w:sz="4" w:space="0" w:themeColor="accent6" w:themeTint="98"/>
      </w:tblBorders>
    </w:tblPr>
    <w:tblStylePr w:type="band1Horz">
      <w:rPr>
        <w:rFonts w:ascii="Arial" w:hAnsi="Arial"/>
        <w:color w:val="404040"/>
        <w:sz w:val="22"/>
      </w:rPr>
      <w:tcPr>
        <w:tcBorders>
          <w:top w:val="single" w:color="FAC090" w:sz="4" w:space="0" w:themeColor="accent6" w:themeTint="98"/>
          <w:bottom w:val="single" w:color="FAC090" w:sz="4" w:space="0" w:themeColor="accent6" w:themeTint="98"/>
        </w:tcBorders>
      </w:tcPr>
    </w:tblStylePr>
    <w:tblStylePr w:type="band1Vert">
      <w:rPr>
        <w:rFonts w:ascii="Arial" w:hAnsi="Arial"/>
        <w:color w:val="404040"/>
        <w:sz w:val="22"/>
      </w:rPr>
      <w:tcPr>
        <w:tcBorders>
          <w:left w:val="single" w:color="FAC090" w:sz="4" w:space="0" w:themeColor="accent6" w:themeTint="98"/>
          <w:right w:val="single" w:color="FAC090" w:sz="4" w:space="0" w:themeColor="accent6" w:themeTint="98"/>
        </w:tcBorders>
      </w:tcPr>
    </w:tblStylePr>
    <w:tblStylePr w:type="firstCol">
      <w:rPr>
        <w:b/>
        <w:color w:val="404040"/>
      </w:rPr>
    </w:tblStylePr>
    <w:tblStylePr w:type="firstRow">
      <w:rPr>
        <w:rFonts w:ascii="Arial" w:hAnsi="Arial"/>
        <w:b/>
        <w:color w:val="FFFFFF"/>
        <w:sz w:val="22"/>
      </w:rPr>
      <w:tcPr>
        <w:shd w:val="clear" w:color="FAC090" w:fill="FAC090" w:themeFill="accent6" w:themeFillTint="98" w:themeColor="accent6" w:themeTint="98"/>
      </w:tcPr>
    </w:tblStylePr>
    <w:tblStylePr w:type="lastCol">
      <w:rPr>
        <w:b/>
        <w:color w:val="404040"/>
      </w:rPr>
    </w:tblStylePr>
    <w:tblStylePr w:type="lastRow">
      <w:rPr>
        <w:b/>
        <w:color w:val="404040"/>
      </w:rPr>
    </w:tblStylePr>
  </w:style>
  <w:style w:type="table" w:styleId="770">
    <w:name w:val="List Table 4"/>
    <w:basedOn w:val="651"/>
    <w:uiPriority w:val="99"/>
    <w:pPr>
      <w:spacing w:lineRule="auto" w:line="240"/>
    </w:pPr>
    <w:tblPr>
      <w:tblStyleRowBandSize w:val="1"/>
      <w:tblStyleColBandSize w:val="1"/>
      <w:tblBorders>
        <w:left w:val="single" w:color="000000" w:sz="4" w:space="0" w:themeColor="text1"/>
        <w:top w:val="single" w:color="000000" w:sz="4" w:space="0" w:themeColor="text1"/>
        <w:right w:val="single" w:color="000000" w:sz="4" w:space="0" w:themeColor="text1"/>
        <w:bottom w:val="single" w:color="000000" w:sz="4" w:space="0" w:themeColor="text1"/>
        <w:insideH w:val="single" w:color="000000" w:sz="4" w:space="0" w:themeColor="text1"/>
      </w:tblBorders>
    </w:tblPr>
    <w:tblStylePr w:type="band1Horz">
      <w:rPr>
        <w:rFonts w:ascii="Arial" w:hAnsi="Arial"/>
        <w:color w:val="404040"/>
        <w:sz w:val="22"/>
      </w:rPr>
      <w:tcPr>
        <w:shd w:val="clear" w:color="BFBFBF" w:fill="BFBFBF" w:themeFill="text1" w:themeFillTint="40" w:themeColor="text1" w:themeTint="40"/>
      </w:tcPr>
    </w:tblStylePr>
    <w:tblStylePr w:type="band1Vert">
      <w:rPr>
        <w:rFonts w:ascii="Arial" w:hAnsi="Arial"/>
        <w:color w:val="404040"/>
        <w:sz w:val="22"/>
      </w:rPr>
      <w:tcPr>
        <w:shd w:val="clear" w:color="BFBFBF" w:fill="BFBFBF" w:themeFill="text1" w:themeFillTint="40" w:themeColor="text1" w:themeTint="40"/>
      </w:tcPr>
    </w:tblStylePr>
    <w:tblStylePr w:type="firstCol">
      <w:rPr>
        <w:b/>
        <w:color w:val="404040"/>
      </w:rPr>
    </w:tblStylePr>
    <w:tblStylePr w:type="firstRow">
      <w:rPr>
        <w:rFonts w:ascii="Arial" w:hAnsi="Arial"/>
        <w:b/>
        <w:color w:val="FFFFFF"/>
        <w:sz w:val="22"/>
      </w:rPr>
      <w:tcPr>
        <w:shd w:val="clear" w:color="000000" w:fill="000000" w:themeFill="text1" w:themeColor="text1"/>
      </w:tcPr>
    </w:tblStylePr>
    <w:tblStylePr w:type="lastCol">
      <w:rPr>
        <w:b/>
        <w:color w:val="404040"/>
      </w:rPr>
    </w:tblStylePr>
    <w:tblStylePr w:type="lastRow">
      <w:rPr>
        <w:b/>
        <w:color w:val="404040"/>
      </w:rPr>
    </w:tblStylePr>
  </w:style>
  <w:style w:type="table" w:styleId="771" w:customStyle="1">
    <w:name w:val="List Table 4 - Accent 1"/>
    <w:basedOn w:val="651"/>
    <w:uiPriority w:val="99"/>
    <w:pPr>
      <w:spacing w:lineRule="auto" w:line="240"/>
    </w:pPr>
    <w:tblPr>
      <w:tblStyleRowBandSize w:val="1"/>
      <w:tblStyleColBandSize w:val="1"/>
      <w:tblBorders>
        <w:left w:val="single" w:color="9BB7D9" w:sz="4" w:space="0" w:themeColor="accent1" w:themeTint="90"/>
        <w:top w:val="single" w:color="9BB7D9" w:sz="4" w:space="0" w:themeColor="accent1" w:themeTint="90"/>
        <w:right w:val="single" w:color="9BB7D9" w:sz="4" w:space="0" w:themeColor="accent1" w:themeTint="90"/>
        <w:bottom w:val="single" w:color="9BB7D9" w:sz="4" w:space="0" w:themeColor="accent1" w:themeTint="90"/>
        <w:insideH w:val="single" w:color="9BB7D9" w:sz="4" w:space="0" w:themeColor="accent1" w:themeTint="90"/>
      </w:tblBorders>
    </w:tblPr>
    <w:tblStylePr w:type="band1Horz">
      <w:rPr>
        <w:rFonts w:ascii="Arial" w:hAnsi="Arial"/>
        <w:color w:val="404040"/>
        <w:sz w:val="22"/>
      </w:rPr>
      <w:tcPr>
        <w:shd w:val="clear" w:color="D2DFEE" w:fill="D2DFEE" w:themeFill="accent1" w:themeFillTint="40" w:themeColor="accent1" w:themeTint="40"/>
      </w:tcPr>
    </w:tblStylePr>
    <w:tblStylePr w:type="band1Vert">
      <w:rPr>
        <w:rFonts w:ascii="Arial" w:hAnsi="Arial"/>
        <w:color w:val="404040"/>
        <w:sz w:val="22"/>
      </w:rPr>
      <w:tcPr>
        <w:shd w:val="clear" w:color="D2DFEE" w:fill="D2DFEE" w:themeFill="accent1" w:themeFillTint="40" w:themeColor="accent1" w:themeTint="40"/>
      </w:tcPr>
    </w:tblStylePr>
    <w:tblStylePr w:type="firstCol">
      <w:rPr>
        <w:b/>
        <w:color w:val="404040"/>
      </w:rPr>
    </w:tblStylePr>
    <w:tblStylePr w:type="firstRow">
      <w:rPr>
        <w:rFonts w:ascii="Arial" w:hAnsi="Arial"/>
        <w:b/>
        <w:color w:val="FFFFFF"/>
        <w:sz w:val="22"/>
      </w:rPr>
      <w:tcPr>
        <w:shd w:val="clear" w:color="4F81BD" w:fill="4F81BD" w:themeFill="accent1" w:themeColor="accent1"/>
      </w:tcPr>
    </w:tblStylePr>
    <w:tblStylePr w:type="lastCol">
      <w:rPr>
        <w:b/>
        <w:color w:val="404040"/>
      </w:rPr>
    </w:tblStylePr>
    <w:tblStylePr w:type="lastRow">
      <w:rPr>
        <w:b/>
        <w:color w:val="404040"/>
      </w:rPr>
    </w:tblStylePr>
  </w:style>
  <w:style w:type="table" w:styleId="772" w:customStyle="1">
    <w:name w:val="List Table 4 - Accent 2"/>
    <w:basedOn w:val="651"/>
    <w:uiPriority w:val="99"/>
    <w:pPr>
      <w:spacing w:lineRule="auto" w:line="240"/>
    </w:pPr>
    <w:tblPr>
      <w:tblStyleRowBandSize w:val="1"/>
      <w:tblStyleColBandSize w:val="1"/>
      <w:tblBorders>
        <w:left w:val="single" w:color="DB9B9A" w:sz="4" w:space="0" w:themeColor="accent2" w:themeTint="90"/>
        <w:top w:val="single" w:color="DB9B9A" w:sz="4" w:space="0" w:themeColor="accent2" w:themeTint="90"/>
        <w:right w:val="single" w:color="DB9B9A" w:sz="4" w:space="0" w:themeColor="accent2" w:themeTint="90"/>
        <w:bottom w:val="single" w:color="DB9B9A" w:sz="4" w:space="0" w:themeColor="accent2" w:themeTint="90"/>
        <w:insideH w:val="single" w:color="DB9B9A" w:sz="4" w:space="0" w:themeColor="accent2" w:themeTint="90"/>
      </w:tblBorders>
    </w:tblPr>
    <w:tblStylePr w:type="band1Horz">
      <w:rPr>
        <w:rFonts w:ascii="Arial" w:hAnsi="Arial"/>
        <w:color w:val="404040"/>
        <w:sz w:val="22"/>
      </w:rPr>
      <w:tcPr>
        <w:shd w:val="clear" w:color="EFD2D2" w:fill="EFD2D2" w:themeFill="accent2" w:themeFillTint="40" w:themeColor="accent2" w:themeTint="40"/>
      </w:tcPr>
    </w:tblStylePr>
    <w:tblStylePr w:type="band1Vert">
      <w:rPr>
        <w:rFonts w:ascii="Arial" w:hAnsi="Arial"/>
        <w:color w:val="404040"/>
        <w:sz w:val="22"/>
      </w:rPr>
      <w:tcPr>
        <w:shd w:val="clear" w:color="EFD2D2" w:fill="EFD2D2" w:themeFill="accent2" w:themeFillTint="40" w:themeColor="accent2" w:themeTint="40"/>
      </w:tcPr>
    </w:tblStylePr>
    <w:tblStylePr w:type="firstCol">
      <w:rPr>
        <w:b/>
        <w:color w:val="404040"/>
      </w:rPr>
    </w:tblStylePr>
    <w:tblStylePr w:type="firstRow">
      <w:rPr>
        <w:rFonts w:ascii="Arial" w:hAnsi="Arial"/>
        <w:b/>
        <w:color w:val="FFFFFF"/>
        <w:sz w:val="22"/>
      </w:rPr>
      <w:tcPr>
        <w:shd w:val="clear" w:color="C0504D" w:fill="C0504D" w:themeFill="accent2" w:themeColor="accent2"/>
      </w:tcPr>
    </w:tblStylePr>
    <w:tblStylePr w:type="lastCol">
      <w:rPr>
        <w:b/>
        <w:color w:val="404040"/>
      </w:rPr>
    </w:tblStylePr>
    <w:tblStylePr w:type="lastRow">
      <w:rPr>
        <w:b/>
        <w:color w:val="404040"/>
      </w:rPr>
    </w:tblStylePr>
  </w:style>
  <w:style w:type="table" w:styleId="773" w:customStyle="1">
    <w:name w:val="List Table 4 - Accent 3"/>
    <w:basedOn w:val="651"/>
    <w:uiPriority w:val="99"/>
    <w:pPr>
      <w:spacing w:lineRule="auto" w:line="240"/>
    </w:pPr>
    <w:tblPr>
      <w:tblStyleRowBandSize w:val="1"/>
      <w:tblStyleColBandSize w:val="1"/>
      <w:tblBorders>
        <w:left w:val="single" w:color="C6D8A1" w:sz="4" w:space="0" w:themeColor="accent3" w:themeTint="90"/>
        <w:top w:val="single" w:color="C6D8A1" w:sz="4" w:space="0" w:themeColor="accent3" w:themeTint="90"/>
        <w:right w:val="single" w:color="C6D8A1" w:sz="4" w:space="0" w:themeColor="accent3" w:themeTint="90"/>
        <w:bottom w:val="single" w:color="C6D8A1" w:sz="4" w:space="0" w:themeColor="accent3" w:themeTint="90"/>
        <w:insideH w:val="single" w:color="C6D8A1" w:sz="4" w:space="0" w:themeColor="accent3" w:themeTint="90"/>
      </w:tblBorders>
    </w:tblPr>
    <w:tblStylePr w:type="band1Horz">
      <w:rPr>
        <w:rFonts w:ascii="Arial" w:hAnsi="Arial"/>
        <w:color w:val="404040"/>
        <w:sz w:val="22"/>
      </w:rPr>
      <w:tcPr>
        <w:shd w:val="clear" w:color="E5EED5" w:fill="E5EED5" w:themeFill="accent3" w:themeFillTint="40" w:themeColor="accent3" w:themeTint="40"/>
      </w:tcPr>
    </w:tblStylePr>
    <w:tblStylePr w:type="band1Vert">
      <w:rPr>
        <w:rFonts w:ascii="Arial" w:hAnsi="Arial"/>
        <w:color w:val="404040"/>
        <w:sz w:val="22"/>
      </w:rPr>
      <w:tcPr>
        <w:shd w:val="clear" w:color="E5EED5" w:fill="E5EED5" w:themeFill="accent3" w:themeFillTint="40" w:themeColor="accent3" w:themeTint="40"/>
      </w:tcPr>
    </w:tblStylePr>
    <w:tblStylePr w:type="firstCol">
      <w:rPr>
        <w:b/>
        <w:color w:val="404040"/>
      </w:rPr>
    </w:tblStylePr>
    <w:tblStylePr w:type="firstRow">
      <w:rPr>
        <w:rFonts w:ascii="Arial" w:hAnsi="Arial"/>
        <w:b/>
        <w:color w:val="FFFFFF"/>
        <w:sz w:val="22"/>
      </w:rPr>
      <w:tcPr>
        <w:shd w:val="clear" w:color="9BBB59" w:fill="9BBB59" w:themeFill="accent3" w:themeColor="accent3"/>
      </w:tcPr>
    </w:tblStylePr>
    <w:tblStylePr w:type="lastCol">
      <w:rPr>
        <w:b/>
        <w:color w:val="404040"/>
      </w:rPr>
    </w:tblStylePr>
    <w:tblStylePr w:type="lastRow">
      <w:rPr>
        <w:b/>
        <w:color w:val="404040"/>
      </w:rPr>
    </w:tblStylePr>
  </w:style>
  <w:style w:type="table" w:styleId="774" w:customStyle="1">
    <w:name w:val="List Table 4 - Accent 4"/>
    <w:basedOn w:val="651"/>
    <w:uiPriority w:val="99"/>
    <w:pPr>
      <w:spacing w:lineRule="auto" w:line="240"/>
    </w:pPr>
    <w:tblPr>
      <w:tblStyleRowBandSize w:val="1"/>
      <w:tblStyleColBandSize w:val="1"/>
      <w:tblBorders>
        <w:left w:val="single" w:color="B7A7CA" w:sz="4" w:space="0" w:themeColor="accent4" w:themeTint="90"/>
        <w:top w:val="single" w:color="B7A7CA" w:sz="4" w:space="0" w:themeColor="accent4" w:themeTint="90"/>
        <w:right w:val="single" w:color="B7A7CA" w:sz="4" w:space="0" w:themeColor="accent4" w:themeTint="90"/>
        <w:bottom w:val="single" w:color="B7A7CA" w:sz="4" w:space="0" w:themeColor="accent4" w:themeTint="90"/>
        <w:insideH w:val="single" w:color="B7A7CA" w:sz="4" w:space="0" w:themeColor="accent4" w:themeTint="90"/>
      </w:tblBorders>
    </w:tblPr>
    <w:tblStylePr w:type="band1Horz">
      <w:rPr>
        <w:rFonts w:ascii="Arial" w:hAnsi="Arial"/>
        <w:color w:val="404040"/>
        <w:sz w:val="22"/>
      </w:rPr>
      <w:tcPr>
        <w:shd w:val="clear" w:color="DFD8E7" w:fill="DFD8E7" w:themeFill="accent4" w:themeFillTint="40" w:themeColor="accent4" w:themeTint="40"/>
      </w:tcPr>
    </w:tblStylePr>
    <w:tblStylePr w:type="band1Vert">
      <w:rPr>
        <w:rFonts w:ascii="Arial" w:hAnsi="Arial"/>
        <w:color w:val="404040"/>
        <w:sz w:val="22"/>
      </w:rPr>
      <w:tcPr>
        <w:shd w:val="clear" w:color="DFD8E7" w:fill="DFD8E7" w:themeFill="accent4" w:themeFillTint="40" w:themeColor="accent4" w:themeTint="40"/>
      </w:tcPr>
    </w:tblStylePr>
    <w:tblStylePr w:type="firstCol">
      <w:rPr>
        <w:b/>
        <w:color w:val="404040"/>
      </w:rPr>
    </w:tblStylePr>
    <w:tblStylePr w:type="firstRow">
      <w:rPr>
        <w:rFonts w:ascii="Arial" w:hAnsi="Arial"/>
        <w:b/>
        <w:color w:val="FFFFFF"/>
        <w:sz w:val="22"/>
      </w:rPr>
      <w:tcPr>
        <w:shd w:val="clear" w:color="8064A2" w:fill="8064A2" w:themeFill="accent4" w:themeColor="accent4"/>
      </w:tcPr>
    </w:tblStylePr>
    <w:tblStylePr w:type="lastCol">
      <w:rPr>
        <w:b/>
        <w:color w:val="404040"/>
      </w:rPr>
    </w:tblStylePr>
    <w:tblStylePr w:type="lastRow">
      <w:rPr>
        <w:b/>
        <w:color w:val="404040"/>
      </w:rPr>
    </w:tblStylePr>
  </w:style>
  <w:style w:type="table" w:styleId="775" w:customStyle="1">
    <w:name w:val="List Table 4 - Accent 5"/>
    <w:basedOn w:val="651"/>
    <w:uiPriority w:val="99"/>
    <w:pPr>
      <w:spacing w:lineRule="auto" w:line="240"/>
    </w:pPr>
    <w:tblPr>
      <w:tblStyleRowBandSize w:val="1"/>
      <w:tblStyleColBandSize w:val="1"/>
      <w:tblBorders>
        <w:left w:val="single" w:color="99D0DE" w:sz="4" w:space="0" w:themeColor="accent5" w:themeTint="90"/>
        <w:top w:val="single" w:color="99D0DE" w:sz="4" w:space="0" w:themeColor="accent5" w:themeTint="90"/>
        <w:right w:val="single" w:color="99D0DE" w:sz="4" w:space="0" w:themeColor="accent5" w:themeTint="90"/>
        <w:bottom w:val="single" w:color="99D0DE" w:sz="4" w:space="0" w:themeColor="accent5" w:themeTint="90"/>
        <w:insideH w:val="single" w:color="99D0DE" w:sz="4" w:space="0" w:themeColor="accent5" w:themeTint="90"/>
      </w:tblBorders>
    </w:tblPr>
    <w:tblStylePr w:type="band1Horz">
      <w:rPr>
        <w:rFonts w:ascii="Arial" w:hAnsi="Arial"/>
        <w:color w:val="404040"/>
        <w:sz w:val="22"/>
      </w:rPr>
      <w:tcPr>
        <w:shd w:val="clear" w:color="D1EAF0" w:fill="D1EAF0" w:themeFill="accent5" w:themeFillTint="40" w:themeColor="accent5" w:themeTint="40"/>
      </w:tcPr>
    </w:tblStylePr>
    <w:tblStylePr w:type="band1Vert">
      <w:rPr>
        <w:rFonts w:ascii="Arial" w:hAnsi="Arial"/>
        <w:color w:val="404040"/>
        <w:sz w:val="22"/>
      </w:rPr>
      <w:tcPr>
        <w:shd w:val="clear" w:color="D1EAF0" w:fill="D1EAF0" w:themeFill="accent5" w:themeFillTint="40" w:themeColor="accent5" w:themeTint="40"/>
      </w:tcPr>
    </w:tblStylePr>
    <w:tblStylePr w:type="firstCol">
      <w:rPr>
        <w:b/>
        <w:color w:val="404040"/>
      </w:rPr>
    </w:tblStylePr>
    <w:tblStylePr w:type="firstRow">
      <w:rPr>
        <w:rFonts w:ascii="Arial" w:hAnsi="Arial"/>
        <w:b/>
        <w:color w:val="FFFFFF"/>
        <w:sz w:val="22"/>
      </w:rPr>
      <w:tcPr>
        <w:shd w:val="clear" w:color="4BACC6" w:fill="4BACC6" w:themeFill="accent5" w:themeColor="accent5"/>
      </w:tcPr>
    </w:tblStylePr>
    <w:tblStylePr w:type="lastCol">
      <w:rPr>
        <w:b/>
        <w:color w:val="404040"/>
      </w:rPr>
    </w:tblStylePr>
    <w:tblStylePr w:type="lastRow">
      <w:rPr>
        <w:b/>
        <w:color w:val="404040"/>
      </w:rPr>
    </w:tblStylePr>
  </w:style>
  <w:style w:type="table" w:styleId="776" w:customStyle="1">
    <w:name w:val="List Table 4 - Accent 6"/>
    <w:basedOn w:val="651"/>
    <w:uiPriority w:val="99"/>
    <w:pPr>
      <w:spacing w:lineRule="auto" w:line="240"/>
    </w:pPr>
    <w:tblPr>
      <w:tblStyleRowBandSize w:val="1"/>
      <w:tblStyleColBandSize w:val="1"/>
      <w:tblBorders>
        <w:left w:val="single" w:color="FAC396" w:sz="4" w:space="0" w:themeColor="accent6" w:themeTint="90"/>
        <w:top w:val="single" w:color="FAC396" w:sz="4" w:space="0" w:themeColor="accent6" w:themeTint="90"/>
        <w:right w:val="single" w:color="FAC396" w:sz="4" w:space="0" w:themeColor="accent6" w:themeTint="90"/>
        <w:bottom w:val="single" w:color="FAC396" w:sz="4" w:space="0" w:themeColor="accent6" w:themeTint="90"/>
        <w:insideH w:val="single" w:color="FAC396" w:sz="4" w:space="0" w:themeColor="accent6" w:themeTint="90"/>
      </w:tblBorders>
    </w:tblPr>
    <w:tblStylePr w:type="band1Horz">
      <w:rPr>
        <w:rFonts w:ascii="Arial" w:hAnsi="Arial"/>
        <w:color w:val="404040"/>
        <w:sz w:val="22"/>
      </w:rPr>
      <w:tcPr>
        <w:shd w:val="clear" w:color="FDE4D0" w:fill="FDE4D0" w:themeFill="accent6" w:themeFillTint="40" w:themeColor="accent6" w:themeTint="40"/>
      </w:tcPr>
    </w:tblStylePr>
    <w:tblStylePr w:type="band1Vert">
      <w:rPr>
        <w:rFonts w:ascii="Arial" w:hAnsi="Arial"/>
        <w:color w:val="404040"/>
        <w:sz w:val="22"/>
      </w:rPr>
      <w:tcPr>
        <w:shd w:val="clear" w:color="FDE4D0" w:fill="FDE4D0" w:themeFill="accent6" w:themeFillTint="40" w:themeColor="accent6" w:themeTint="40"/>
      </w:tcPr>
    </w:tblStylePr>
    <w:tblStylePr w:type="firstCol">
      <w:rPr>
        <w:b/>
        <w:color w:val="404040"/>
      </w:rPr>
    </w:tblStylePr>
    <w:tblStylePr w:type="firstRow">
      <w:rPr>
        <w:rFonts w:ascii="Arial" w:hAnsi="Arial"/>
        <w:b/>
        <w:color w:val="FFFFFF"/>
        <w:sz w:val="22"/>
      </w:rPr>
      <w:tcPr>
        <w:shd w:val="clear" w:color="F79646" w:fill="F79646" w:themeFill="accent6" w:themeColor="accent6"/>
      </w:tcPr>
    </w:tblStylePr>
    <w:tblStylePr w:type="lastCol">
      <w:rPr>
        <w:b/>
        <w:color w:val="404040"/>
      </w:rPr>
    </w:tblStylePr>
    <w:tblStylePr w:type="lastRow">
      <w:rPr>
        <w:b/>
        <w:color w:val="404040"/>
      </w:rPr>
    </w:tblStylePr>
  </w:style>
  <w:style w:type="table" w:styleId="777">
    <w:name w:val="List Table 5 Dark"/>
    <w:basedOn w:val="651"/>
    <w:uiPriority w:val="99"/>
    <w:pPr>
      <w:spacing w:lineRule="auto" w:line="240"/>
    </w:pPr>
    <w:tblPr>
      <w:tblStyleRowBandSize w:val="1"/>
      <w:tblStyleColBandSize w:val="1"/>
      <w:tblBorders>
        <w:left w:val="single" w:color="7F7F7F" w:sz="32" w:space="0" w:themeColor="text1" w:themeTint="80"/>
        <w:top w:val="single" w:color="7F7F7F" w:sz="32" w:space="0" w:themeColor="text1" w:themeTint="80"/>
        <w:right w:val="single" w:color="7F7F7F" w:sz="32" w:space="0" w:themeColor="text1" w:themeTint="80"/>
        <w:bottom w:val="single" w:color="7F7F7F" w:sz="32" w:space="0" w:themeColor="text1" w:themeTint="80"/>
      </w:tblBorders>
      <w:shd w:val="clear" w:color="7F7F7F" w:fill="7F7F7F" w:themeFill="text1" w:themeFillTint="80" w:themeColor="text1" w:themeTint="80"/>
    </w:tblPr>
    <w:tblStylePr w:type="band1Horz">
      <w:tcPr>
        <w:shd w:val="clear" w:color="7F7F7F" w:fill="7F7F7F" w:themeFill="text1" w:themeFillTint="80" w:themeColor="text1" w:themeTint="80"/>
        <w:tcBorders>
          <w:top w:val="single" w:color="FFFFFF" w:sz="4" w:space="0" w:themeColor="light1"/>
          <w:bottom w:val="single" w:color="FFFFFF" w:sz="4" w:space="0" w:themeColor="light1"/>
        </w:tcBorders>
      </w:tcPr>
    </w:tblStylePr>
    <w:tblStylePr w:type="band1Vert">
      <w:tcPr>
        <w:shd w:val="clear" w:color="7F7F7F" w:fill="7F7F7F" w:themeFill="text1" w:themeFillTint="80" w:themeColor="text1" w:themeTint="80"/>
        <w:tcBorders>
          <w:left w:val="single" w:color="FFFFFF" w:sz="4" w:space="0" w:themeColor="light1"/>
          <w:right w:val="single" w:color="FFFFFF" w:sz="4" w:space="0" w:themeColor="light1"/>
        </w:tcBorders>
      </w:tcPr>
    </w:tblStylePr>
    <w:tblStylePr w:type="band2Horz">
      <w:tcPr>
        <w:shd w:val="clear" w:color="7F7F7F" w:fill="7F7F7F" w:themeFill="text1" w:themeFillTint="80" w:themeColor="text1" w:themeTint="80"/>
        <w:tcBorders>
          <w:top w:val="single" w:color="FFFFFF" w:sz="4" w:space="0" w:themeColor="light1"/>
          <w:bottom w:val="single" w:color="FFFFFF" w:sz="4" w:space="0" w:themeColor="light1"/>
        </w:tcBorders>
      </w:tcPr>
    </w:tblStylePr>
    <w:tblStylePr w:type="band2Vert">
      <w:tcPr>
        <w:tcBorders>
          <w:left w:val="single" w:color="FFFFFF" w:sz="4" w:space="0" w:themeColor="light1"/>
          <w:right w:val="single" w:color="FFFFFF" w:sz="4" w:space="0" w:themeColor="light1"/>
        </w:tcBorders>
      </w:tcPr>
    </w:tblStylePr>
    <w:tblStylePr w:type="firstCol">
      <w:rPr>
        <w:rFonts w:ascii="Arial" w:hAnsi="Arial"/>
        <w:b/>
        <w:color w:val="FFFFFF" w:themeColor="light1"/>
        <w:sz w:val="22"/>
      </w:rPr>
      <w:tcPr>
        <w:tcBorders>
          <w:left w:val="single" w:color="7F7F7F" w:sz="32" w:space="0" w:themeColor="text1" w:themeTint="80"/>
          <w:right w:val="single" w:color="FFFFFF" w:sz="4" w:space="0" w:themeColor="light1"/>
        </w:tcBorders>
      </w:tcPr>
    </w:tblStylePr>
    <w:tblStylePr w:type="firstRow">
      <w:rPr>
        <w:rFonts w:ascii="Arial" w:hAnsi="Arial"/>
        <w:b/>
        <w:color w:val="FFFFFF" w:themeColor="light1"/>
        <w:sz w:val="22"/>
      </w:rPr>
      <w:tcPr>
        <w:shd w:val="clear" w:color="7F7F7F" w:fill="7F7F7F" w:themeFill="text1" w:themeFillTint="80" w:themeColor="text1" w:themeTint="80"/>
        <w:tcBorders>
          <w:top w:val="single" w:color="7F7F7F" w:sz="32" w:space="0" w:themeColor="text1" w:themeTint="80"/>
          <w:bottom w:val="single" w:color="FFFFFF" w:sz="12" w:space="0" w:themeColor="light1"/>
        </w:tcBorders>
      </w:tcPr>
    </w:tblStylePr>
    <w:tblStylePr w:type="lastCol">
      <w:tcPr>
        <w:tcBorders>
          <w:left w:val="single" w:color="FFFFFF" w:sz="4" w:space="0" w:themeColor="light1"/>
          <w:right w:val="single" w:color="7F7F7F" w:sz="32" w:space="0" w:themeColor="text1" w:themeTint="80"/>
        </w:tcBorders>
      </w:tcPr>
    </w:tblStylePr>
    <w:tblStylePr w:type="lastRow">
      <w:rPr>
        <w:rFonts w:ascii="Arial" w:hAnsi="Arial"/>
        <w:b/>
        <w:color w:val="FFFFFF" w:themeColor="light1"/>
        <w:sz w:val="22"/>
      </w:rPr>
    </w:tblStylePr>
  </w:style>
  <w:style w:type="table" w:styleId="778" w:customStyle="1">
    <w:name w:val="List Table 5 Dark - Accent 1"/>
    <w:basedOn w:val="651"/>
    <w:uiPriority w:val="99"/>
    <w:pPr>
      <w:spacing w:lineRule="auto" w:line="240"/>
    </w:pPr>
    <w:tblPr>
      <w:tblStyleRowBandSize w:val="1"/>
      <w:tblStyleColBandSize w:val="1"/>
      <w:tblBorders>
        <w:left w:val="single" w:color="4F81BD" w:sz="32" w:space="0" w:themeColor="accent1"/>
        <w:top w:val="single" w:color="4F81BD" w:sz="32" w:space="0" w:themeColor="accent1"/>
        <w:right w:val="single" w:color="4F81BD" w:sz="32" w:space="0" w:themeColor="accent1"/>
        <w:bottom w:val="single" w:color="4F81BD" w:sz="32" w:space="0" w:themeColor="accent1"/>
      </w:tblBorders>
      <w:shd w:val="clear" w:color="4F81BD" w:fill="4F81BD" w:themeFill="accent1" w:themeColor="accent1"/>
    </w:tblPr>
    <w:tblStylePr w:type="band1Horz">
      <w:tcPr>
        <w:shd w:val="clear" w:color="4F81BD" w:fill="4F81BD" w:themeFill="accent1" w:themeColor="accent1"/>
        <w:tcBorders>
          <w:top w:val="single" w:color="FFFFFF" w:sz="4" w:space="0" w:themeColor="light1"/>
          <w:bottom w:val="single" w:color="FFFFFF" w:sz="4" w:space="0" w:themeColor="light1"/>
        </w:tcBorders>
      </w:tcPr>
    </w:tblStylePr>
    <w:tblStylePr w:type="band1Vert">
      <w:tcPr>
        <w:shd w:val="clear" w:color="4F81BD" w:fill="4F81BD" w:themeFill="accent1" w:themeColor="accent1"/>
        <w:tcBorders>
          <w:left w:val="single" w:color="FFFFFF" w:sz="4" w:space="0" w:themeColor="light1"/>
          <w:right w:val="single" w:color="FFFFFF" w:sz="4" w:space="0" w:themeColor="light1"/>
        </w:tcBorders>
      </w:tcPr>
    </w:tblStylePr>
    <w:tblStylePr w:type="band2Horz">
      <w:tcPr>
        <w:shd w:val="clear" w:color="4F81BD" w:fill="4F81BD" w:themeFill="accent1" w:themeColor="accent1"/>
        <w:tcBorders>
          <w:top w:val="single" w:color="FFFFFF" w:sz="4" w:space="0" w:themeColor="light1"/>
          <w:bottom w:val="single" w:color="FFFFFF" w:sz="4" w:space="0" w:themeColor="light1"/>
        </w:tcBorders>
      </w:tcPr>
    </w:tblStylePr>
    <w:tblStylePr w:type="band2Vert">
      <w:tcPr>
        <w:tcBorders>
          <w:left w:val="single" w:color="FFFFFF" w:sz="4" w:space="0" w:themeColor="light1"/>
          <w:right w:val="single" w:color="FFFFFF" w:sz="4" w:space="0" w:themeColor="light1"/>
        </w:tcBorders>
      </w:tcPr>
    </w:tblStylePr>
    <w:tblStylePr w:type="firstCol">
      <w:rPr>
        <w:rFonts w:ascii="Arial" w:hAnsi="Arial"/>
        <w:b/>
        <w:color w:val="FFFFFF" w:themeColor="light1"/>
        <w:sz w:val="22"/>
      </w:rPr>
      <w:tcPr>
        <w:tcBorders>
          <w:left w:val="single" w:color="4F81BD" w:sz="32" w:space="0" w:themeColor="accent1"/>
          <w:right w:val="single" w:color="FFFFFF" w:sz="4" w:space="0" w:themeColor="light1"/>
        </w:tcBorders>
      </w:tcPr>
    </w:tblStylePr>
    <w:tblStylePr w:type="firstRow">
      <w:rPr>
        <w:rFonts w:ascii="Arial" w:hAnsi="Arial"/>
        <w:b/>
        <w:color w:val="FFFFFF" w:themeColor="light1"/>
        <w:sz w:val="22"/>
      </w:rPr>
      <w:tcPr>
        <w:shd w:val="clear" w:color="4F81BD" w:fill="4F81BD" w:themeFill="accent1" w:themeColor="accent1"/>
        <w:tcBorders>
          <w:top w:val="single" w:color="4F81BD" w:sz="32" w:space="0" w:themeColor="accent1"/>
          <w:bottom w:val="single" w:color="FFFFFF" w:sz="12" w:space="0" w:themeColor="light1"/>
        </w:tcBorders>
      </w:tcPr>
    </w:tblStylePr>
    <w:tblStylePr w:type="lastCol">
      <w:tcPr>
        <w:tcBorders>
          <w:left w:val="single" w:color="FFFFFF" w:sz="4" w:space="0" w:themeColor="light1"/>
          <w:right w:val="single" w:color="4F81BD" w:sz="32" w:space="0" w:themeColor="accent1"/>
        </w:tcBorders>
      </w:tcPr>
    </w:tblStylePr>
    <w:tblStylePr w:type="lastRow">
      <w:rPr>
        <w:rFonts w:ascii="Arial" w:hAnsi="Arial"/>
        <w:b/>
        <w:color w:val="FFFFFF" w:themeColor="light1"/>
        <w:sz w:val="22"/>
      </w:rPr>
    </w:tblStylePr>
  </w:style>
  <w:style w:type="table" w:styleId="779" w:customStyle="1">
    <w:name w:val="List Table 5 Dark - Accent 2"/>
    <w:basedOn w:val="651"/>
    <w:uiPriority w:val="99"/>
    <w:pPr>
      <w:spacing w:lineRule="auto" w:line="240"/>
    </w:pPr>
    <w:tblPr>
      <w:tblStyleRowBandSize w:val="1"/>
      <w:tblStyleColBandSize w:val="1"/>
      <w:tblBorders>
        <w:left w:val="single" w:color="D99695" w:sz="32" w:space="0" w:themeColor="accent2" w:themeTint="97"/>
        <w:top w:val="single" w:color="D99695" w:sz="32" w:space="0" w:themeColor="accent2" w:themeTint="97"/>
        <w:right w:val="single" w:color="D99695" w:sz="32" w:space="0" w:themeColor="accent2" w:themeTint="97"/>
        <w:bottom w:val="single" w:color="D99695" w:sz="32" w:space="0" w:themeColor="accent2" w:themeTint="97"/>
      </w:tblBorders>
      <w:shd w:val="clear" w:color="D99695" w:fill="D99695" w:themeFill="accent2" w:themeFillTint="97" w:themeColor="accent2" w:themeTint="97"/>
    </w:tblPr>
    <w:tblStylePr w:type="band1Horz">
      <w:tcPr>
        <w:shd w:val="clear" w:color="D99695" w:fill="D99695" w:themeFill="accent2" w:themeFillTint="97" w:themeColor="accent2" w:themeTint="97"/>
        <w:tcBorders>
          <w:top w:val="single" w:color="FFFFFF" w:sz="4" w:space="0" w:themeColor="light1"/>
          <w:bottom w:val="single" w:color="FFFFFF" w:sz="4" w:space="0" w:themeColor="light1"/>
        </w:tcBorders>
      </w:tcPr>
    </w:tblStylePr>
    <w:tblStylePr w:type="band1Vert">
      <w:tcPr>
        <w:shd w:val="clear" w:color="D99695" w:fill="D99695" w:themeFill="accent2" w:themeFillTint="97" w:themeColor="accent2" w:themeTint="97"/>
        <w:tcBorders>
          <w:left w:val="single" w:color="FFFFFF" w:sz="4" w:space="0" w:themeColor="light1"/>
          <w:right w:val="single" w:color="FFFFFF" w:sz="4" w:space="0" w:themeColor="light1"/>
        </w:tcBorders>
      </w:tcPr>
    </w:tblStylePr>
    <w:tblStylePr w:type="band2Horz">
      <w:tcPr>
        <w:shd w:val="clear" w:color="D99695" w:fill="D99695" w:themeFill="accent2" w:themeFillTint="97" w:themeColor="accent2" w:themeTint="97"/>
        <w:tcBorders>
          <w:top w:val="single" w:color="FFFFFF" w:sz="4" w:space="0" w:themeColor="light1"/>
          <w:bottom w:val="single" w:color="FFFFFF" w:sz="4" w:space="0" w:themeColor="light1"/>
        </w:tcBorders>
      </w:tcPr>
    </w:tblStylePr>
    <w:tblStylePr w:type="band2Vert">
      <w:tcPr>
        <w:tcBorders>
          <w:left w:val="single" w:color="FFFFFF" w:sz="4" w:space="0" w:themeColor="light1"/>
          <w:right w:val="single" w:color="FFFFFF" w:sz="4" w:space="0" w:themeColor="light1"/>
        </w:tcBorders>
      </w:tcPr>
    </w:tblStylePr>
    <w:tblStylePr w:type="firstCol">
      <w:rPr>
        <w:rFonts w:ascii="Arial" w:hAnsi="Arial"/>
        <w:b/>
        <w:color w:val="FFFFFF" w:themeColor="light1"/>
        <w:sz w:val="22"/>
      </w:rPr>
      <w:tcPr>
        <w:tcBorders>
          <w:left w:val="single" w:color="D99695" w:sz="32" w:space="0" w:themeColor="accent2" w:themeTint="97"/>
          <w:right w:val="single" w:color="FFFFFF" w:sz="4" w:space="0" w:themeColor="light1"/>
        </w:tcBorders>
      </w:tcPr>
    </w:tblStylePr>
    <w:tblStylePr w:type="firstRow">
      <w:rPr>
        <w:rFonts w:ascii="Arial" w:hAnsi="Arial"/>
        <w:b/>
        <w:color w:val="FFFFFF" w:themeColor="light1"/>
        <w:sz w:val="22"/>
      </w:rPr>
      <w:tcPr>
        <w:shd w:val="clear" w:color="D99695" w:fill="D99695" w:themeFill="accent2" w:themeFillTint="97" w:themeColor="accent2" w:themeTint="97"/>
        <w:tcBorders>
          <w:top w:val="single" w:color="D99695" w:sz="32" w:space="0" w:themeColor="accent2" w:themeTint="97"/>
          <w:bottom w:val="single" w:color="FFFFFF" w:sz="12" w:space="0" w:themeColor="light1"/>
        </w:tcBorders>
      </w:tcPr>
    </w:tblStylePr>
    <w:tblStylePr w:type="lastCol">
      <w:tcPr>
        <w:tcBorders>
          <w:left w:val="single" w:color="FFFFFF" w:sz="4" w:space="0" w:themeColor="light1"/>
          <w:right w:val="single" w:color="D99695" w:sz="32" w:space="0" w:themeColor="accent2" w:themeTint="97"/>
        </w:tcBorders>
      </w:tcPr>
    </w:tblStylePr>
    <w:tblStylePr w:type="lastRow">
      <w:rPr>
        <w:rFonts w:ascii="Arial" w:hAnsi="Arial"/>
        <w:b/>
        <w:color w:val="FFFFFF" w:themeColor="light1"/>
        <w:sz w:val="22"/>
      </w:rPr>
    </w:tblStylePr>
  </w:style>
  <w:style w:type="table" w:styleId="780" w:customStyle="1">
    <w:name w:val="List Table 5 Dark - Accent 3"/>
    <w:basedOn w:val="651"/>
    <w:uiPriority w:val="99"/>
    <w:pPr>
      <w:spacing w:lineRule="auto" w:line="240"/>
    </w:pPr>
    <w:tblPr>
      <w:tblStyleRowBandSize w:val="1"/>
      <w:tblStyleColBandSize w:val="1"/>
      <w:tblBorders>
        <w:left w:val="single" w:color="C3D69B" w:sz="32" w:space="0" w:themeColor="accent3" w:themeTint="98"/>
        <w:top w:val="single" w:color="C3D69B" w:sz="32" w:space="0" w:themeColor="accent3" w:themeTint="98"/>
        <w:right w:val="single" w:color="C3D69B" w:sz="32" w:space="0" w:themeColor="accent3" w:themeTint="98"/>
        <w:bottom w:val="single" w:color="C3D69B" w:sz="32" w:space="0" w:themeColor="accent3" w:themeTint="98"/>
      </w:tblBorders>
      <w:shd w:val="clear" w:color="C3D69B" w:fill="C3D69B" w:themeFill="accent3" w:themeFillTint="98" w:themeColor="accent3" w:themeTint="98"/>
    </w:tblPr>
    <w:tblStylePr w:type="band1Horz">
      <w:tcPr>
        <w:shd w:val="clear" w:color="C3D69B" w:fill="C3D69B" w:themeFill="accent3" w:themeFillTint="98" w:themeColor="accent3" w:themeTint="98"/>
        <w:tcBorders>
          <w:top w:val="single" w:color="FFFFFF" w:sz="4" w:space="0" w:themeColor="light1"/>
          <w:bottom w:val="single" w:color="FFFFFF" w:sz="4" w:space="0" w:themeColor="light1"/>
        </w:tcBorders>
      </w:tcPr>
    </w:tblStylePr>
    <w:tblStylePr w:type="band1Vert">
      <w:tcPr>
        <w:shd w:val="clear" w:color="C3D69B" w:fill="C3D69B" w:themeFill="accent3" w:themeFillTint="98" w:themeColor="accent3" w:themeTint="98"/>
        <w:tcBorders>
          <w:left w:val="single" w:color="FFFFFF" w:sz="4" w:space="0" w:themeColor="light1"/>
          <w:right w:val="single" w:color="FFFFFF" w:sz="4" w:space="0" w:themeColor="light1"/>
        </w:tcBorders>
      </w:tcPr>
    </w:tblStylePr>
    <w:tblStylePr w:type="band2Horz">
      <w:tcPr>
        <w:shd w:val="clear" w:color="C3D69B" w:fill="C3D69B" w:themeFill="accent3" w:themeFillTint="98" w:themeColor="accent3" w:themeTint="98"/>
        <w:tcBorders>
          <w:top w:val="single" w:color="FFFFFF" w:sz="4" w:space="0" w:themeColor="light1"/>
          <w:bottom w:val="single" w:color="FFFFFF" w:sz="4" w:space="0" w:themeColor="light1"/>
        </w:tcBorders>
      </w:tcPr>
    </w:tblStylePr>
    <w:tblStylePr w:type="band2Vert">
      <w:tcPr>
        <w:tcBorders>
          <w:left w:val="single" w:color="FFFFFF" w:sz="4" w:space="0" w:themeColor="light1"/>
          <w:right w:val="single" w:color="FFFFFF" w:sz="4" w:space="0" w:themeColor="light1"/>
        </w:tcBorders>
      </w:tcPr>
    </w:tblStylePr>
    <w:tblStylePr w:type="firstCol">
      <w:rPr>
        <w:rFonts w:ascii="Arial" w:hAnsi="Arial"/>
        <w:b/>
        <w:color w:val="FFFFFF" w:themeColor="light1"/>
        <w:sz w:val="22"/>
      </w:rPr>
      <w:tcPr>
        <w:tcBorders>
          <w:left w:val="single" w:color="C3D69B" w:sz="32" w:space="0" w:themeColor="accent3" w:themeTint="98"/>
          <w:right w:val="single" w:color="FFFFFF" w:sz="4" w:space="0" w:themeColor="light1"/>
        </w:tcBorders>
      </w:tcPr>
    </w:tblStylePr>
    <w:tblStylePr w:type="firstRow">
      <w:rPr>
        <w:rFonts w:ascii="Arial" w:hAnsi="Arial"/>
        <w:b/>
        <w:color w:val="FFFFFF" w:themeColor="light1"/>
        <w:sz w:val="22"/>
      </w:rPr>
      <w:tcPr>
        <w:shd w:val="clear" w:color="C3D69B" w:fill="C3D69B" w:themeFill="accent3" w:themeFillTint="98" w:themeColor="accent3" w:themeTint="98"/>
        <w:tcBorders>
          <w:top w:val="single" w:color="C3D69B" w:sz="32" w:space="0" w:themeColor="accent3" w:themeTint="98"/>
          <w:bottom w:val="single" w:color="FFFFFF" w:sz="12" w:space="0" w:themeColor="light1"/>
        </w:tcBorders>
      </w:tcPr>
    </w:tblStylePr>
    <w:tblStylePr w:type="lastCol">
      <w:tcPr>
        <w:tcBorders>
          <w:left w:val="single" w:color="FFFFFF" w:sz="4" w:space="0" w:themeColor="light1"/>
          <w:right w:val="single" w:color="C3D69B" w:sz="32" w:space="0" w:themeColor="accent3" w:themeTint="98"/>
        </w:tcBorders>
      </w:tcPr>
    </w:tblStylePr>
    <w:tblStylePr w:type="lastRow">
      <w:rPr>
        <w:rFonts w:ascii="Arial" w:hAnsi="Arial"/>
        <w:b/>
        <w:color w:val="FFFFFF" w:themeColor="light1"/>
        <w:sz w:val="22"/>
      </w:rPr>
    </w:tblStylePr>
  </w:style>
  <w:style w:type="table" w:styleId="781" w:customStyle="1">
    <w:name w:val="List Table 5 Dark - Accent 4"/>
    <w:basedOn w:val="651"/>
    <w:uiPriority w:val="99"/>
    <w:pPr>
      <w:spacing w:lineRule="auto" w:line="240"/>
    </w:pPr>
    <w:tblPr>
      <w:tblStyleRowBandSize w:val="1"/>
      <w:tblStyleColBandSize w:val="1"/>
      <w:tblBorders>
        <w:left w:val="single" w:color="B2A1C6" w:sz="32" w:space="0" w:themeColor="accent4" w:themeTint="9A"/>
        <w:top w:val="single" w:color="B2A1C6" w:sz="32" w:space="0" w:themeColor="accent4" w:themeTint="9A"/>
        <w:right w:val="single" w:color="B2A1C6" w:sz="32" w:space="0" w:themeColor="accent4" w:themeTint="9A"/>
        <w:bottom w:val="single" w:color="B2A1C6" w:sz="32" w:space="0" w:themeColor="accent4" w:themeTint="9A"/>
      </w:tblBorders>
      <w:shd w:val="clear" w:color="B2A1C6" w:fill="B2A1C6" w:themeFill="accent4" w:themeFillTint="9A" w:themeColor="accent4" w:themeTint="9A"/>
    </w:tblPr>
    <w:tblStylePr w:type="band1Horz">
      <w:tcPr>
        <w:shd w:val="clear" w:color="B2A1C6" w:fill="B2A1C6" w:themeFill="accent4" w:themeFillTint="9A" w:themeColor="accent4" w:themeTint="9A"/>
        <w:tcBorders>
          <w:top w:val="single" w:color="FFFFFF" w:sz="4" w:space="0" w:themeColor="light1"/>
          <w:bottom w:val="single" w:color="FFFFFF" w:sz="4" w:space="0" w:themeColor="light1"/>
        </w:tcBorders>
      </w:tcPr>
    </w:tblStylePr>
    <w:tblStylePr w:type="band1Vert">
      <w:tcPr>
        <w:shd w:val="clear" w:color="B2A1C6" w:fill="B2A1C6" w:themeFill="accent4" w:themeFillTint="9A" w:themeColor="accent4" w:themeTint="9A"/>
        <w:tcBorders>
          <w:left w:val="single" w:color="FFFFFF" w:sz="4" w:space="0" w:themeColor="light1"/>
          <w:right w:val="single" w:color="FFFFFF" w:sz="4" w:space="0" w:themeColor="light1"/>
        </w:tcBorders>
      </w:tcPr>
    </w:tblStylePr>
    <w:tblStylePr w:type="band2Horz">
      <w:tcPr>
        <w:shd w:val="clear" w:color="B2A1C6" w:fill="B2A1C6" w:themeFill="accent4" w:themeFillTint="9A" w:themeColor="accent4" w:themeTint="9A"/>
        <w:tcBorders>
          <w:top w:val="single" w:color="FFFFFF" w:sz="4" w:space="0" w:themeColor="light1"/>
          <w:bottom w:val="single" w:color="FFFFFF" w:sz="4" w:space="0" w:themeColor="light1"/>
        </w:tcBorders>
      </w:tcPr>
    </w:tblStylePr>
    <w:tblStylePr w:type="band2Vert">
      <w:tcPr>
        <w:tcBorders>
          <w:left w:val="single" w:color="FFFFFF" w:sz="4" w:space="0" w:themeColor="light1"/>
          <w:right w:val="single" w:color="FFFFFF" w:sz="4" w:space="0" w:themeColor="light1"/>
        </w:tcBorders>
      </w:tcPr>
    </w:tblStylePr>
    <w:tblStylePr w:type="firstCol">
      <w:rPr>
        <w:rFonts w:ascii="Arial" w:hAnsi="Arial"/>
        <w:b/>
        <w:color w:val="FFFFFF" w:themeColor="light1"/>
        <w:sz w:val="22"/>
      </w:rPr>
      <w:tcPr>
        <w:tcBorders>
          <w:left w:val="single" w:color="B2A1C6" w:sz="32" w:space="0" w:themeColor="accent4" w:themeTint="9A"/>
          <w:right w:val="single" w:color="FFFFFF" w:sz="4" w:space="0" w:themeColor="light1"/>
        </w:tcBorders>
      </w:tcPr>
    </w:tblStylePr>
    <w:tblStylePr w:type="firstRow">
      <w:rPr>
        <w:rFonts w:ascii="Arial" w:hAnsi="Arial"/>
        <w:b/>
        <w:color w:val="FFFFFF" w:themeColor="light1"/>
        <w:sz w:val="22"/>
      </w:rPr>
      <w:tcPr>
        <w:shd w:val="clear" w:color="B2A1C6" w:fill="B2A1C6" w:themeFill="accent4" w:themeFillTint="9A" w:themeColor="accent4" w:themeTint="9A"/>
        <w:tcBorders>
          <w:top w:val="single" w:color="B2A1C6" w:sz="32" w:space="0" w:themeColor="accent4" w:themeTint="9A"/>
          <w:bottom w:val="single" w:color="FFFFFF" w:sz="12" w:space="0" w:themeColor="light1"/>
        </w:tcBorders>
      </w:tcPr>
    </w:tblStylePr>
    <w:tblStylePr w:type="lastCol">
      <w:tcPr>
        <w:tcBorders>
          <w:left w:val="single" w:color="FFFFFF" w:sz="4" w:space="0" w:themeColor="light1"/>
          <w:right w:val="single" w:color="B2A1C6" w:sz="32" w:space="0" w:themeColor="accent4" w:themeTint="9A"/>
        </w:tcBorders>
      </w:tcPr>
    </w:tblStylePr>
    <w:tblStylePr w:type="lastRow">
      <w:rPr>
        <w:rFonts w:ascii="Arial" w:hAnsi="Arial"/>
        <w:b/>
        <w:color w:val="FFFFFF" w:themeColor="light1"/>
        <w:sz w:val="22"/>
      </w:rPr>
    </w:tblStylePr>
  </w:style>
  <w:style w:type="table" w:styleId="782" w:customStyle="1">
    <w:name w:val="List Table 5 Dark - Accent 5"/>
    <w:basedOn w:val="651"/>
    <w:uiPriority w:val="99"/>
    <w:pPr>
      <w:spacing w:lineRule="auto" w:line="240"/>
    </w:pPr>
    <w:tblPr>
      <w:tblStyleRowBandSize w:val="1"/>
      <w:tblStyleColBandSize w:val="1"/>
      <w:tblBorders>
        <w:left w:val="single" w:color="92CCDC" w:sz="32" w:space="0" w:themeColor="accent5" w:themeTint="9A"/>
        <w:top w:val="single" w:color="92CCDC" w:sz="32" w:space="0" w:themeColor="accent5" w:themeTint="9A"/>
        <w:right w:val="single" w:color="92CCDC" w:sz="32" w:space="0" w:themeColor="accent5" w:themeTint="9A"/>
        <w:bottom w:val="single" w:color="92CCDC" w:sz="32" w:space="0" w:themeColor="accent5" w:themeTint="9A"/>
      </w:tblBorders>
      <w:shd w:val="clear" w:color="92CCDC" w:fill="92CCDC" w:themeFill="accent5" w:themeFillTint="9A" w:themeColor="accent5" w:themeTint="9A"/>
    </w:tblPr>
    <w:tblStylePr w:type="band1Horz">
      <w:tcPr>
        <w:shd w:val="clear" w:color="92CCDC" w:fill="92CCDC" w:themeFill="accent5" w:themeFillTint="9A" w:themeColor="accent5" w:themeTint="9A"/>
        <w:tcBorders>
          <w:top w:val="single" w:color="FFFFFF" w:sz="4" w:space="0" w:themeColor="light1"/>
          <w:bottom w:val="single" w:color="FFFFFF" w:sz="4" w:space="0" w:themeColor="light1"/>
        </w:tcBorders>
      </w:tcPr>
    </w:tblStylePr>
    <w:tblStylePr w:type="band1Vert">
      <w:tcPr>
        <w:shd w:val="clear" w:color="92CCDC" w:fill="92CCDC" w:themeFill="accent5" w:themeFillTint="9A" w:themeColor="accent5" w:themeTint="9A"/>
        <w:tcBorders>
          <w:left w:val="single" w:color="FFFFFF" w:sz="4" w:space="0" w:themeColor="light1"/>
          <w:right w:val="single" w:color="FFFFFF" w:sz="4" w:space="0" w:themeColor="light1"/>
        </w:tcBorders>
      </w:tcPr>
    </w:tblStylePr>
    <w:tblStylePr w:type="band2Horz">
      <w:tcPr>
        <w:shd w:val="clear" w:color="92CCDC" w:fill="92CCDC" w:themeFill="accent5" w:themeFillTint="9A" w:themeColor="accent5" w:themeTint="9A"/>
        <w:tcBorders>
          <w:top w:val="single" w:color="FFFFFF" w:sz="4" w:space="0" w:themeColor="light1"/>
          <w:bottom w:val="single" w:color="FFFFFF" w:sz="4" w:space="0" w:themeColor="light1"/>
        </w:tcBorders>
      </w:tcPr>
    </w:tblStylePr>
    <w:tblStylePr w:type="band2Vert">
      <w:tcPr>
        <w:tcBorders>
          <w:left w:val="single" w:color="FFFFFF" w:sz="4" w:space="0" w:themeColor="light1"/>
          <w:right w:val="single" w:color="FFFFFF" w:sz="4" w:space="0" w:themeColor="light1"/>
        </w:tcBorders>
      </w:tcPr>
    </w:tblStylePr>
    <w:tblStylePr w:type="firstCol">
      <w:rPr>
        <w:rFonts w:ascii="Arial" w:hAnsi="Arial"/>
        <w:b/>
        <w:color w:val="FFFFFF" w:themeColor="light1"/>
        <w:sz w:val="22"/>
      </w:rPr>
      <w:tcPr>
        <w:tcBorders>
          <w:left w:val="single" w:color="92CCDC" w:sz="32" w:space="0" w:themeColor="accent5" w:themeTint="9A"/>
          <w:right w:val="single" w:color="FFFFFF" w:sz="4" w:space="0" w:themeColor="light1"/>
        </w:tcBorders>
      </w:tcPr>
    </w:tblStylePr>
    <w:tblStylePr w:type="firstRow">
      <w:rPr>
        <w:rFonts w:ascii="Arial" w:hAnsi="Arial"/>
        <w:b/>
        <w:color w:val="FFFFFF" w:themeColor="light1"/>
        <w:sz w:val="22"/>
      </w:rPr>
      <w:tcPr>
        <w:shd w:val="clear" w:color="92CCDC" w:fill="92CCDC" w:themeFill="accent5" w:themeFillTint="9A" w:themeColor="accent5" w:themeTint="9A"/>
        <w:tcBorders>
          <w:top w:val="single" w:color="92CCDC" w:sz="32" w:space="0" w:themeColor="accent5" w:themeTint="9A"/>
          <w:bottom w:val="single" w:color="FFFFFF" w:sz="12" w:space="0" w:themeColor="light1"/>
        </w:tcBorders>
      </w:tcPr>
    </w:tblStylePr>
    <w:tblStylePr w:type="lastCol">
      <w:tcPr>
        <w:tcBorders>
          <w:left w:val="single" w:color="FFFFFF" w:sz="4" w:space="0" w:themeColor="light1"/>
          <w:right w:val="single" w:color="92CCDC" w:sz="32" w:space="0" w:themeColor="accent5" w:themeTint="9A"/>
        </w:tcBorders>
      </w:tcPr>
    </w:tblStylePr>
    <w:tblStylePr w:type="lastRow">
      <w:rPr>
        <w:rFonts w:ascii="Arial" w:hAnsi="Arial"/>
        <w:b/>
        <w:color w:val="FFFFFF" w:themeColor="light1"/>
        <w:sz w:val="22"/>
      </w:rPr>
    </w:tblStylePr>
  </w:style>
  <w:style w:type="table" w:styleId="783" w:customStyle="1">
    <w:name w:val="List Table 5 Dark - Accent 6"/>
    <w:basedOn w:val="651"/>
    <w:uiPriority w:val="99"/>
    <w:pPr>
      <w:spacing w:lineRule="auto" w:line="240"/>
    </w:pPr>
    <w:tblPr>
      <w:tblStyleRowBandSize w:val="1"/>
      <w:tblStyleColBandSize w:val="1"/>
      <w:tblBorders>
        <w:left w:val="single" w:color="FAC090" w:sz="32" w:space="0" w:themeColor="accent6" w:themeTint="98"/>
        <w:top w:val="single" w:color="FAC090" w:sz="32" w:space="0" w:themeColor="accent6" w:themeTint="98"/>
        <w:right w:val="single" w:color="FAC090" w:sz="32" w:space="0" w:themeColor="accent6" w:themeTint="98"/>
        <w:bottom w:val="single" w:color="FAC090" w:sz="32" w:space="0" w:themeColor="accent6" w:themeTint="98"/>
      </w:tblBorders>
      <w:shd w:val="clear" w:color="FAC090" w:fill="FAC090" w:themeFill="accent6" w:themeFillTint="98" w:themeColor="accent6" w:themeTint="98"/>
    </w:tblPr>
    <w:tblStylePr w:type="band1Horz">
      <w:tcPr>
        <w:shd w:val="clear" w:color="FAC090" w:fill="FAC090" w:themeFill="accent6" w:themeFillTint="98" w:themeColor="accent6" w:themeTint="98"/>
        <w:tcBorders>
          <w:top w:val="single" w:color="FFFFFF" w:sz="4" w:space="0" w:themeColor="light1"/>
          <w:bottom w:val="single" w:color="FFFFFF" w:sz="4" w:space="0" w:themeColor="light1"/>
        </w:tcBorders>
      </w:tcPr>
    </w:tblStylePr>
    <w:tblStylePr w:type="band1Vert">
      <w:tcPr>
        <w:shd w:val="clear" w:color="FAC090" w:fill="FAC090" w:themeFill="accent6" w:themeFillTint="98" w:themeColor="accent6" w:themeTint="98"/>
        <w:tcBorders>
          <w:left w:val="single" w:color="FFFFFF" w:sz="4" w:space="0" w:themeColor="light1"/>
          <w:right w:val="single" w:color="FFFFFF" w:sz="4" w:space="0" w:themeColor="light1"/>
        </w:tcBorders>
      </w:tcPr>
    </w:tblStylePr>
    <w:tblStylePr w:type="band2Horz">
      <w:tcPr>
        <w:shd w:val="clear" w:color="FAC090" w:fill="FAC090" w:themeFill="accent6" w:themeFillTint="98" w:themeColor="accent6" w:themeTint="98"/>
        <w:tcBorders>
          <w:top w:val="single" w:color="FFFFFF" w:sz="4" w:space="0" w:themeColor="light1"/>
          <w:bottom w:val="single" w:color="FFFFFF" w:sz="4" w:space="0" w:themeColor="light1"/>
        </w:tcBorders>
      </w:tcPr>
    </w:tblStylePr>
    <w:tblStylePr w:type="band2Vert">
      <w:tcPr>
        <w:tcBorders>
          <w:left w:val="single" w:color="FFFFFF" w:sz="4" w:space="0" w:themeColor="light1"/>
          <w:right w:val="single" w:color="FFFFFF" w:sz="4" w:space="0" w:themeColor="light1"/>
        </w:tcBorders>
      </w:tcPr>
    </w:tblStylePr>
    <w:tblStylePr w:type="firstCol">
      <w:rPr>
        <w:rFonts w:ascii="Arial" w:hAnsi="Arial"/>
        <w:b/>
        <w:color w:val="FFFFFF" w:themeColor="light1"/>
        <w:sz w:val="22"/>
      </w:rPr>
      <w:tcPr>
        <w:tcBorders>
          <w:left w:val="single" w:color="FAC090" w:sz="32" w:space="0" w:themeColor="accent6" w:themeTint="98"/>
          <w:right w:val="single" w:color="FFFFFF" w:sz="4" w:space="0" w:themeColor="light1"/>
        </w:tcBorders>
      </w:tcPr>
    </w:tblStylePr>
    <w:tblStylePr w:type="firstRow">
      <w:rPr>
        <w:rFonts w:ascii="Arial" w:hAnsi="Arial"/>
        <w:b/>
        <w:color w:val="FFFFFF" w:themeColor="light1"/>
        <w:sz w:val="22"/>
      </w:rPr>
      <w:tcPr>
        <w:shd w:val="clear" w:color="FAC090" w:fill="FAC090" w:themeFill="accent6" w:themeFillTint="98" w:themeColor="accent6" w:themeTint="98"/>
        <w:tcBorders>
          <w:top w:val="single" w:color="FAC090" w:sz="32" w:space="0" w:themeColor="accent6" w:themeTint="98"/>
          <w:bottom w:val="single" w:color="FFFFFF" w:sz="12" w:space="0" w:themeColor="light1"/>
        </w:tcBorders>
      </w:tcPr>
    </w:tblStylePr>
    <w:tblStylePr w:type="lastCol">
      <w:tcPr>
        <w:tcBorders>
          <w:left w:val="single" w:color="FFFFFF" w:sz="4" w:space="0" w:themeColor="light1"/>
          <w:right w:val="single" w:color="FAC090" w:sz="32" w:space="0" w:themeColor="accent6" w:themeTint="98"/>
        </w:tcBorders>
      </w:tcPr>
    </w:tblStylePr>
    <w:tblStylePr w:type="lastRow">
      <w:rPr>
        <w:rFonts w:ascii="Arial" w:hAnsi="Arial"/>
        <w:b/>
        <w:color w:val="FFFFFF" w:themeColor="light1"/>
        <w:sz w:val="22"/>
      </w:rPr>
    </w:tblStylePr>
  </w:style>
  <w:style w:type="table" w:styleId="784">
    <w:name w:val="List Table 6 Colorful"/>
    <w:basedOn w:val="651"/>
    <w:uiPriority w:val="99"/>
    <w:pPr>
      <w:spacing w:lineRule="auto" w:line="240"/>
    </w:pPr>
    <w:tblPr>
      <w:tblStyleRowBandSize w:val="1"/>
      <w:tblStyleColBandSize w:val="1"/>
      <w:tblBorders>
        <w:top w:val="single" w:color="7F7F7F" w:sz="4" w:space="0" w:themeColor="text1" w:themeTint="80"/>
        <w:bottom w:val="single" w:color="7F7F7F" w:sz="4" w:space="0" w:themeColor="text1" w:themeTint="80"/>
      </w:tblBorders>
    </w:tblPr>
    <w:tblStylePr w:type="band1Horz">
      <w:rPr>
        <w:rFonts w:ascii="Arial" w:hAnsi="Arial"/>
        <w:color w:val="000000" w:themeColor="text1"/>
        <w:sz w:val="22"/>
      </w:rPr>
      <w:tcPr>
        <w:shd w:val="clear" w:color="BFBFBF" w:fill="BFBFBF" w:themeFill="text1" w:themeFillTint="40" w:themeColor="text1" w:themeTint="40"/>
      </w:tcPr>
    </w:tblStylePr>
    <w:tblStylePr w:type="band1Vert">
      <w:tcPr>
        <w:shd w:val="clear" w:color="BFBFBF" w:fill="BFBFBF" w:themeFill="text1" w:themeFillTint="40" w:themeColor="text1" w:themeTint="40"/>
      </w:tcPr>
    </w:tblStylePr>
    <w:tblStylePr w:type="band2Horz">
      <w:rPr>
        <w:rFonts w:ascii="Arial" w:hAnsi="Arial"/>
        <w:color w:val="000000" w:themeColor="text1"/>
        <w:sz w:val="22"/>
      </w:rPr>
    </w:tblStylePr>
    <w:tblStylePr w:type="firstCol">
      <w:rPr>
        <w:b/>
        <w:color w:val="000000" w:themeColor="text1"/>
      </w:rPr>
    </w:tblStylePr>
    <w:tblStylePr w:type="firstRow">
      <w:rPr>
        <w:b/>
        <w:color w:val="000000" w:themeColor="text1"/>
      </w:rPr>
      <w:tcPr>
        <w:tcBorders>
          <w:bottom w:val="single" w:color="7F7F7F" w:sz="4" w:space="0" w:themeColor="text1" w:themeTint="80"/>
        </w:tcBorders>
      </w:tcPr>
    </w:tblStylePr>
    <w:tblStylePr w:type="lastCol">
      <w:rPr>
        <w:b/>
        <w:color w:val="000000" w:themeColor="text1"/>
      </w:rPr>
    </w:tblStylePr>
    <w:tblStylePr w:type="lastRow">
      <w:rPr>
        <w:b/>
        <w:color w:val="000000" w:themeColor="text1"/>
      </w:rPr>
      <w:tcPr>
        <w:tcBorders>
          <w:top w:val="single" w:color="7F7F7F" w:sz="4" w:space="0" w:themeColor="text1" w:themeTint="80"/>
        </w:tcBorders>
      </w:tcPr>
    </w:tblStylePr>
  </w:style>
  <w:style w:type="table" w:styleId="785" w:customStyle="1">
    <w:name w:val="List Table 6 Colorful - Accent 1"/>
    <w:basedOn w:val="651"/>
    <w:uiPriority w:val="99"/>
    <w:pPr>
      <w:spacing w:lineRule="auto" w:line="240"/>
    </w:pPr>
    <w:tblPr>
      <w:tblStyleRowBandSize w:val="1"/>
      <w:tblStyleColBandSize w:val="1"/>
      <w:tblBorders>
        <w:top w:val="single" w:color="4F81BD" w:sz="4" w:space="0" w:themeColor="accent1"/>
        <w:bottom w:val="single" w:color="4F81BD" w:sz="4" w:space="0" w:themeColor="accent1"/>
      </w:tblBorders>
    </w:tblPr>
    <w:tblStylePr w:type="band1Horz">
      <w:rPr>
        <w:rFonts w:ascii="Arial" w:hAnsi="Arial"/>
        <w:color w:val="2A4A71" w:themeColor="accent1" w:themeShade="95"/>
        <w:sz w:val="22"/>
      </w:rPr>
      <w:tcPr>
        <w:shd w:val="clear" w:color="D2DFEE" w:fill="D2DFEE" w:themeFill="accent1" w:themeFillTint="40" w:themeColor="accent1" w:themeTint="40"/>
      </w:tcPr>
    </w:tblStylePr>
    <w:tblStylePr w:type="band1Vert">
      <w:tcPr>
        <w:shd w:val="clear" w:color="D2DFEE" w:fill="D2DFEE" w:themeFill="accent1" w:themeFillTint="40" w:themeColor="accent1" w:themeTint="40"/>
      </w:tcPr>
    </w:tblStylePr>
    <w:tblStylePr w:type="band2Horz">
      <w:rPr>
        <w:rFonts w:ascii="Arial" w:hAnsi="Arial"/>
        <w:color w:val="2A4A71" w:themeColor="accent1" w:themeShade="95"/>
        <w:sz w:val="22"/>
      </w:rPr>
    </w:tblStylePr>
    <w:tblStylePr w:type="firstCol">
      <w:rPr>
        <w:b/>
        <w:color w:val="2A4A71" w:themeColor="accent1" w:themeShade="95"/>
      </w:rPr>
    </w:tblStylePr>
    <w:tblStylePr w:type="firstRow">
      <w:rPr>
        <w:b/>
        <w:color w:val="2A4A71" w:themeColor="accent1" w:themeShade="95"/>
      </w:rPr>
      <w:tcPr>
        <w:tcBorders>
          <w:bottom w:val="single" w:color="4F81BD" w:sz="4" w:space="0" w:themeColor="accent1"/>
        </w:tcBorders>
      </w:tcPr>
    </w:tblStylePr>
    <w:tblStylePr w:type="lastCol">
      <w:rPr>
        <w:b/>
        <w:color w:val="2A4A71" w:themeColor="accent1" w:themeShade="95"/>
      </w:rPr>
    </w:tblStylePr>
    <w:tblStylePr w:type="lastRow">
      <w:rPr>
        <w:b/>
        <w:color w:val="2A4A71" w:themeColor="accent1" w:themeShade="95"/>
      </w:rPr>
      <w:tcPr>
        <w:tcBorders>
          <w:top w:val="single" w:color="4F81BD" w:sz="4" w:space="0" w:themeColor="accent1"/>
        </w:tcBorders>
      </w:tcPr>
    </w:tblStylePr>
  </w:style>
  <w:style w:type="table" w:styleId="786" w:customStyle="1">
    <w:name w:val="List Table 6 Colorful - Accent 2"/>
    <w:basedOn w:val="651"/>
    <w:uiPriority w:val="99"/>
    <w:pPr>
      <w:spacing w:lineRule="auto" w:line="240"/>
    </w:pPr>
    <w:tblPr>
      <w:tblStyleRowBandSize w:val="1"/>
      <w:tblStyleColBandSize w:val="1"/>
      <w:tblBorders>
        <w:top w:val="single" w:color="D99695" w:sz="4" w:space="0" w:themeColor="accent2" w:themeTint="97"/>
        <w:bottom w:val="single" w:color="D99695" w:sz="4" w:space="0" w:themeColor="accent2" w:themeTint="97"/>
      </w:tblBorders>
    </w:tblPr>
    <w:tblStylePr w:type="band1Horz">
      <w:rPr>
        <w:rFonts w:ascii="Arial" w:hAnsi="Arial"/>
        <w:color w:val="D99695" w:themeColor="accent2" w:themeTint="97" w:themeShade="95"/>
        <w:sz w:val="22"/>
      </w:rPr>
      <w:tcPr>
        <w:shd w:val="clear" w:color="EFD2D2" w:fill="EFD2D2" w:themeFill="accent2" w:themeFillTint="40" w:themeColor="accent2" w:themeTint="40"/>
      </w:tcPr>
    </w:tblStylePr>
    <w:tblStylePr w:type="band1Vert">
      <w:tcPr>
        <w:shd w:val="clear" w:color="EFD2D2" w:fill="EFD2D2" w:themeFill="accent2" w:themeFillTint="40" w:themeColor="accent2" w:themeTint="40"/>
      </w:tcPr>
    </w:tblStylePr>
    <w:tblStylePr w:type="band2Horz">
      <w:rPr>
        <w:rFonts w:ascii="Arial" w:hAnsi="Arial"/>
        <w:color w:val="D99695" w:themeColor="accent2" w:themeTint="97" w:themeShade="95"/>
        <w:sz w:val="22"/>
      </w:rPr>
    </w:tblStylePr>
    <w:tblStylePr w:type="firstCol">
      <w:rPr>
        <w:b/>
        <w:color w:val="D99695" w:themeColor="accent2" w:themeTint="97" w:themeShade="95"/>
      </w:rPr>
    </w:tblStylePr>
    <w:tblStylePr w:type="firstRow">
      <w:rPr>
        <w:b/>
        <w:color w:val="D99695" w:themeColor="accent2" w:themeTint="97" w:themeShade="95"/>
      </w:rPr>
      <w:tcPr>
        <w:tcBorders>
          <w:bottom w:val="single" w:color="D99695" w:sz="4" w:space="0" w:themeColor="accent2" w:themeTint="97"/>
        </w:tcBorders>
      </w:tcPr>
    </w:tblStylePr>
    <w:tblStylePr w:type="lastCol">
      <w:rPr>
        <w:b/>
        <w:color w:val="D99695" w:themeColor="accent2" w:themeTint="97" w:themeShade="95"/>
      </w:rPr>
    </w:tblStylePr>
    <w:tblStylePr w:type="lastRow">
      <w:rPr>
        <w:b/>
        <w:color w:val="D99695" w:themeColor="accent2" w:themeTint="97" w:themeShade="95"/>
      </w:rPr>
      <w:tcPr>
        <w:tcBorders>
          <w:top w:val="single" w:color="D99695" w:sz="4" w:space="0" w:themeColor="accent2" w:themeTint="97"/>
        </w:tcBorders>
      </w:tcPr>
    </w:tblStylePr>
  </w:style>
  <w:style w:type="table" w:styleId="787" w:customStyle="1">
    <w:name w:val="List Table 6 Colorful - Accent 3"/>
    <w:basedOn w:val="651"/>
    <w:uiPriority w:val="99"/>
    <w:pPr>
      <w:spacing w:lineRule="auto" w:line="240"/>
    </w:pPr>
    <w:tblPr>
      <w:tblStyleRowBandSize w:val="1"/>
      <w:tblStyleColBandSize w:val="1"/>
      <w:tblBorders>
        <w:top w:val="single" w:color="C3D69B" w:sz="4" w:space="0" w:themeColor="accent3" w:themeTint="98"/>
        <w:bottom w:val="single" w:color="C3D69B" w:sz="4" w:space="0" w:themeColor="accent3" w:themeTint="98"/>
      </w:tblBorders>
    </w:tblPr>
    <w:tblStylePr w:type="band1Horz">
      <w:rPr>
        <w:rFonts w:ascii="Arial" w:hAnsi="Arial"/>
        <w:color w:val="C3D69B" w:themeColor="accent3" w:themeTint="98" w:themeShade="95"/>
        <w:sz w:val="22"/>
      </w:rPr>
      <w:tcPr>
        <w:shd w:val="clear" w:color="E5EED5" w:fill="E5EED5" w:themeFill="accent3" w:themeFillTint="40" w:themeColor="accent3" w:themeTint="40"/>
      </w:tcPr>
    </w:tblStylePr>
    <w:tblStylePr w:type="band1Vert">
      <w:tcPr>
        <w:shd w:val="clear" w:color="E5EED5" w:fill="E5EED5" w:themeFill="accent3" w:themeFillTint="40" w:themeColor="accent3" w:themeTint="40"/>
      </w:tcPr>
    </w:tblStylePr>
    <w:tblStylePr w:type="band2Horz">
      <w:rPr>
        <w:rFonts w:ascii="Arial" w:hAnsi="Arial"/>
        <w:color w:val="C3D69B" w:themeColor="accent3" w:themeTint="98" w:themeShade="95"/>
        <w:sz w:val="22"/>
      </w:rPr>
    </w:tblStylePr>
    <w:tblStylePr w:type="firstCol">
      <w:rPr>
        <w:b/>
        <w:color w:val="C3D69B" w:themeColor="accent3" w:themeTint="98" w:themeShade="95"/>
      </w:rPr>
    </w:tblStylePr>
    <w:tblStylePr w:type="firstRow">
      <w:rPr>
        <w:b/>
        <w:color w:val="C3D69B" w:themeColor="accent3" w:themeTint="98" w:themeShade="95"/>
      </w:rPr>
      <w:tcPr>
        <w:tcBorders>
          <w:bottom w:val="single" w:color="C3D69B" w:sz="4" w:space="0" w:themeColor="accent3" w:themeTint="98"/>
        </w:tcBorders>
      </w:tcPr>
    </w:tblStylePr>
    <w:tblStylePr w:type="lastCol">
      <w:rPr>
        <w:b/>
        <w:color w:val="C3D69B" w:themeColor="accent3" w:themeTint="98" w:themeShade="95"/>
      </w:rPr>
    </w:tblStylePr>
    <w:tblStylePr w:type="lastRow">
      <w:rPr>
        <w:b/>
        <w:color w:val="C3D69B" w:themeColor="accent3" w:themeTint="98" w:themeShade="95"/>
      </w:rPr>
      <w:tcPr>
        <w:tcBorders>
          <w:top w:val="single" w:color="C3D69B" w:sz="4" w:space="0" w:themeColor="accent3" w:themeTint="98"/>
        </w:tcBorders>
      </w:tcPr>
    </w:tblStylePr>
  </w:style>
  <w:style w:type="table" w:styleId="788" w:customStyle="1">
    <w:name w:val="List Table 6 Colorful - Accent 4"/>
    <w:basedOn w:val="651"/>
    <w:uiPriority w:val="99"/>
    <w:pPr>
      <w:spacing w:lineRule="auto" w:line="240"/>
    </w:pPr>
    <w:tblPr>
      <w:tblStyleRowBandSize w:val="1"/>
      <w:tblStyleColBandSize w:val="1"/>
      <w:tblBorders>
        <w:top w:val="single" w:color="B2A1C6" w:sz="4" w:space="0" w:themeColor="accent4" w:themeTint="9A"/>
        <w:bottom w:val="single" w:color="B2A1C6" w:sz="4" w:space="0" w:themeColor="accent4" w:themeTint="9A"/>
      </w:tblBorders>
    </w:tblPr>
    <w:tblStylePr w:type="band1Horz">
      <w:rPr>
        <w:rFonts w:ascii="Arial" w:hAnsi="Arial"/>
        <w:color w:val="B2A1C6" w:themeColor="accent4" w:themeTint="9A" w:themeShade="95"/>
        <w:sz w:val="22"/>
      </w:rPr>
      <w:tcPr>
        <w:shd w:val="clear" w:color="DFD8E7" w:fill="DFD8E7" w:themeFill="accent4" w:themeFillTint="40" w:themeColor="accent4" w:themeTint="40"/>
      </w:tcPr>
    </w:tblStylePr>
    <w:tblStylePr w:type="band1Vert">
      <w:tcPr>
        <w:shd w:val="clear" w:color="DFD8E7" w:fill="DFD8E7" w:themeFill="accent4" w:themeFillTint="40" w:themeColor="accent4" w:themeTint="40"/>
      </w:tcPr>
    </w:tblStylePr>
    <w:tblStylePr w:type="band2Horz">
      <w:rPr>
        <w:rFonts w:ascii="Arial" w:hAnsi="Arial"/>
        <w:color w:val="B2A1C6" w:themeColor="accent4" w:themeTint="9A" w:themeShade="95"/>
        <w:sz w:val="22"/>
      </w:rPr>
    </w:tblStylePr>
    <w:tblStylePr w:type="firstCol">
      <w:rPr>
        <w:b/>
        <w:color w:val="B2A1C6" w:themeColor="accent4" w:themeTint="9A" w:themeShade="95"/>
      </w:rPr>
    </w:tblStylePr>
    <w:tblStylePr w:type="firstRow">
      <w:rPr>
        <w:b/>
        <w:color w:val="B2A1C6" w:themeColor="accent4" w:themeTint="9A" w:themeShade="95"/>
      </w:rPr>
      <w:tcPr>
        <w:tcBorders>
          <w:bottom w:val="single" w:color="B2A1C6" w:sz="4" w:space="0" w:themeColor="accent4" w:themeTint="9A"/>
        </w:tcBorders>
      </w:tcPr>
    </w:tblStylePr>
    <w:tblStylePr w:type="lastCol">
      <w:rPr>
        <w:b/>
        <w:color w:val="B2A1C6" w:themeColor="accent4" w:themeTint="9A" w:themeShade="95"/>
      </w:rPr>
    </w:tblStylePr>
    <w:tblStylePr w:type="lastRow">
      <w:rPr>
        <w:b/>
        <w:color w:val="B2A1C6" w:themeColor="accent4" w:themeTint="9A" w:themeShade="95"/>
      </w:rPr>
      <w:tcPr>
        <w:tcBorders>
          <w:top w:val="single" w:color="B2A1C6" w:sz="4" w:space="0" w:themeColor="accent4" w:themeTint="9A"/>
        </w:tcBorders>
      </w:tcPr>
    </w:tblStylePr>
  </w:style>
  <w:style w:type="table" w:styleId="789" w:customStyle="1">
    <w:name w:val="List Table 6 Colorful - Accent 5"/>
    <w:basedOn w:val="651"/>
    <w:uiPriority w:val="99"/>
    <w:pPr>
      <w:spacing w:lineRule="auto" w:line="240"/>
    </w:pPr>
    <w:tblPr>
      <w:tblStyleRowBandSize w:val="1"/>
      <w:tblStyleColBandSize w:val="1"/>
      <w:tblBorders>
        <w:top w:val="single" w:color="92CCDC" w:sz="4" w:space="0" w:themeColor="accent5" w:themeTint="9A"/>
        <w:bottom w:val="single" w:color="92CCDC" w:sz="4" w:space="0" w:themeColor="accent5" w:themeTint="9A"/>
      </w:tblBorders>
    </w:tblPr>
    <w:tblStylePr w:type="band1Horz">
      <w:rPr>
        <w:rFonts w:ascii="Arial" w:hAnsi="Arial"/>
        <w:color w:val="92CCDC" w:themeColor="accent5" w:themeTint="9A" w:themeShade="95"/>
        <w:sz w:val="22"/>
      </w:rPr>
      <w:tcPr>
        <w:shd w:val="clear" w:color="D1EAF0" w:fill="D1EAF0" w:themeFill="accent5" w:themeFillTint="40" w:themeColor="accent5" w:themeTint="40"/>
      </w:tcPr>
    </w:tblStylePr>
    <w:tblStylePr w:type="band1Vert">
      <w:tcPr>
        <w:shd w:val="clear" w:color="D1EAF0" w:fill="D1EAF0" w:themeFill="accent5" w:themeFillTint="40" w:themeColor="accent5" w:themeTint="40"/>
      </w:tcPr>
    </w:tblStylePr>
    <w:tblStylePr w:type="band2Horz">
      <w:rPr>
        <w:rFonts w:ascii="Arial" w:hAnsi="Arial"/>
        <w:color w:val="92CCDC" w:themeColor="accent5" w:themeTint="9A" w:themeShade="95"/>
        <w:sz w:val="22"/>
      </w:rPr>
    </w:tblStylePr>
    <w:tblStylePr w:type="firstCol">
      <w:rPr>
        <w:b/>
        <w:color w:val="92CCDC" w:themeColor="accent5" w:themeTint="9A" w:themeShade="95"/>
      </w:rPr>
    </w:tblStylePr>
    <w:tblStylePr w:type="firstRow">
      <w:rPr>
        <w:b/>
        <w:color w:val="92CCDC" w:themeColor="accent5" w:themeTint="9A" w:themeShade="95"/>
      </w:rPr>
      <w:tcPr>
        <w:tcBorders>
          <w:bottom w:val="single" w:color="92CCDC" w:sz="4" w:space="0" w:themeColor="accent5" w:themeTint="9A"/>
        </w:tcBorders>
      </w:tcPr>
    </w:tblStylePr>
    <w:tblStylePr w:type="lastCol">
      <w:rPr>
        <w:b/>
        <w:color w:val="92CCDC" w:themeColor="accent5" w:themeTint="9A" w:themeShade="95"/>
      </w:rPr>
    </w:tblStylePr>
    <w:tblStylePr w:type="lastRow">
      <w:rPr>
        <w:b/>
        <w:color w:val="92CCDC" w:themeColor="accent5" w:themeTint="9A" w:themeShade="95"/>
      </w:rPr>
      <w:tcPr>
        <w:tcBorders>
          <w:top w:val="single" w:color="92CCDC" w:sz="4" w:space="0" w:themeColor="accent5" w:themeTint="9A"/>
        </w:tcBorders>
      </w:tcPr>
    </w:tblStylePr>
  </w:style>
  <w:style w:type="table" w:styleId="790" w:customStyle="1">
    <w:name w:val="List Table 6 Colorful - Accent 6"/>
    <w:basedOn w:val="651"/>
    <w:uiPriority w:val="99"/>
    <w:pPr>
      <w:spacing w:lineRule="auto" w:line="240"/>
    </w:pPr>
    <w:tblPr>
      <w:tblStyleRowBandSize w:val="1"/>
      <w:tblStyleColBandSize w:val="1"/>
      <w:tblBorders>
        <w:top w:val="single" w:color="FAC090" w:sz="4" w:space="0" w:themeColor="accent6" w:themeTint="98"/>
        <w:bottom w:val="single" w:color="FAC090" w:sz="4" w:space="0" w:themeColor="accent6" w:themeTint="98"/>
      </w:tblBorders>
    </w:tblPr>
    <w:tblStylePr w:type="band1Horz">
      <w:rPr>
        <w:rFonts w:ascii="Arial" w:hAnsi="Arial"/>
        <w:color w:val="FAC090" w:themeColor="accent6" w:themeTint="98" w:themeShade="95"/>
        <w:sz w:val="22"/>
      </w:rPr>
      <w:tcPr>
        <w:shd w:val="clear" w:color="FDE4D0" w:fill="FDE4D0" w:themeFill="accent6" w:themeFillTint="40" w:themeColor="accent6" w:themeTint="40"/>
      </w:tcPr>
    </w:tblStylePr>
    <w:tblStylePr w:type="band1Vert">
      <w:tcPr>
        <w:shd w:val="clear" w:color="FDE4D0" w:fill="FDE4D0" w:themeFill="accent6" w:themeFillTint="40" w:themeColor="accent6" w:themeTint="40"/>
      </w:tcPr>
    </w:tblStylePr>
    <w:tblStylePr w:type="band2Horz">
      <w:rPr>
        <w:rFonts w:ascii="Arial" w:hAnsi="Arial"/>
        <w:color w:val="FAC090" w:themeColor="accent6" w:themeTint="98" w:themeShade="95"/>
        <w:sz w:val="22"/>
      </w:rPr>
    </w:tblStylePr>
    <w:tblStylePr w:type="firstCol">
      <w:rPr>
        <w:b/>
        <w:color w:val="FAC090" w:themeColor="accent6" w:themeTint="98" w:themeShade="95"/>
      </w:rPr>
    </w:tblStylePr>
    <w:tblStylePr w:type="firstRow">
      <w:rPr>
        <w:b/>
        <w:color w:val="FAC090" w:themeColor="accent6" w:themeTint="98" w:themeShade="95"/>
      </w:rPr>
      <w:tcPr>
        <w:tcBorders>
          <w:bottom w:val="single" w:color="FAC090" w:sz="4" w:space="0" w:themeColor="accent6" w:themeTint="98"/>
        </w:tcBorders>
      </w:tcPr>
    </w:tblStylePr>
    <w:tblStylePr w:type="lastCol">
      <w:rPr>
        <w:b/>
        <w:color w:val="FAC090" w:themeColor="accent6" w:themeTint="98" w:themeShade="95"/>
      </w:rPr>
    </w:tblStylePr>
    <w:tblStylePr w:type="lastRow">
      <w:rPr>
        <w:b/>
        <w:color w:val="FAC090" w:themeColor="accent6" w:themeTint="98" w:themeShade="95"/>
      </w:rPr>
      <w:tcPr>
        <w:tcBorders>
          <w:top w:val="single" w:color="FAC090" w:sz="4" w:space="0" w:themeColor="accent6" w:themeTint="98"/>
        </w:tcBorders>
      </w:tcPr>
    </w:tblStylePr>
  </w:style>
  <w:style w:type="table" w:styleId="791">
    <w:name w:val="List Table 7 Colorful"/>
    <w:basedOn w:val="651"/>
    <w:uiPriority w:val="99"/>
    <w:pPr>
      <w:spacing w:lineRule="auto" w:line="240"/>
    </w:pPr>
    <w:tblPr>
      <w:tblStyleRowBandSize w:val="1"/>
      <w:tblStyleColBandSize w:val="1"/>
      <w:tblBorders>
        <w:right w:val="single" w:color="7F7F7F" w:sz="4" w:space="0" w:themeColor="text1" w:themeTint="80"/>
      </w:tblBorders>
    </w:tblPr>
    <w:tblStylePr w:type="band1Horz">
      <w:rPr>
        <w:rFonts w:ascii="Arial" w:hAnsi="Arial"/>
        <w:color w:val="7F7F7F" w:themeColor="text1" w:themeTint="80" w:themeShade="95"/>
        <w:sz w:val="22"/>
      </w:rPr>
      <w:tcPr>
        <w:shd w:val="clear" w:color="BFBFBF" w:fill="BFBFBF" w:themeFill="text1" w:themeFillTint="40" w:themeColor="text1" w:themeTint="40"/>
      </w:tcPr>
    </w:tblStylePr>
    <w:tblStylePr w:type="band1Vert">
      <w:tcPr>
        <w:shd w:val="clear" w:color="BFBFBF" w:fill="BFBFBF" w:themeFill="text1" w:themeFillTint="40" w:themeColor="text1" w:themeTint="40"/>
      </w:tcPr>
    </w:tblStylePr>
    <w:tblStylePr w:type="band2Horz">
      <w:rPr>
        <w:rFonts w:ascii="Arial" w:hAnsi="Arial"/>
        <w:color w:val="7F7F7F" w:themeColor="text1" w:themeTint="80" w:themeShade="95"/>
        <w:sz w:val="22"/>
      </w:rPr>
    </w:tblStylePr>
    <w:tblStylePr w:type="firstCol">
      <w:rPr>
        <w:rFonts w:ascii="Arial" w:hAnsi="Arial"/>
        <w:i/>
        <w:color w:val="7F7F7F" w:themeColor="text1" w:themeTint="80" w:themeShade="95"/>
        <w:sz w:val="22"/>
      </w:rPr>
      <w:pPr>
        <w:jc w:val="right"/>
      </w:pPr>
      <w:tcPr>
        <w:shd w:val="clear" w:color="FFFFFF" w:fill="auto"/>
        <w:tcBorders>
          <w:left w:val="none" w:color="000000" w:sz="4" w:space="0"/>
          <w:top w:val="none" w:color="000000" w:sz="4" w:space="0"/>
          <w:right w:val="single" w:color="7F7F7F" w:sz="4" w:space="0" w:themeColor="text1" w:themeTint="80"/>
          <w:bottom w:val="none" w:color="000000" w:sz="4" w:space="0"/>
        </w:tcBorders>
      </w:tcPr>
    </w:tblStylePr>
    <w:tblStylePr w:type="firstRow">
      <w:rPr>
        <w:rFonts w:ascii="Arial" w:hAnsi="Arial"/>
        <w:i/>
        <w:color w:val="7F7F7F" w:themeColor="text1" w:themeTint="80" w:themeShade="95"/>
        <w:sz w:val="22"/>
      </w:rPr>
      <w:tcPr>
        <w:shd w:val="clear" w:color="FFFFFF" w:fill="FFFFFF" w:themeFill="light1" w:themeColor="light1"/>
        <w:tcBorders>
          <w:left w:val="none" w:color="000000" w:sz="4" w:space="0"/>
          <w:top w:val="none" w:color="000000" w:sz="4" w:space="0"/>
          <w:right w:val="none" w:color="000000" w:sz="4" w:space="0"/>
          <w:bottom w:val="single" w:color="7F7F7F" w:sz="4" w:space="0" w:themeColor="text1" w:themeTint="80"/>
        </w:tcBorders>
      </w:tcPr>
    </w:tblStylePr>
    <w:tblStylePr w:type="lastCol">
      <w:rPr>
        <w:rFonts w:ascii="Arial" w:hAnsi="Arial"/>
        <w:i/>
        <w:color w:val="7F7F7F" w:themeColor="text1" w:themeTint="80" w:themeShade="95"/>
        <w:sz w:val="22"/>
      </w:rPr>
      <w:tcPr>
        <w:shd w:val="clear" w:color="FFFFFF" w:fill="auto"/>
        <w:tcBorders>
          <w:left w:val="single" w:color="7F7F7F" w:sz="4" w:space="0" w:themeColor="text1" w:themeTint="80"/>
          <w:top w:val="none" w:color="000000" w:sz="4" w:space="0"/>
          <w:right w:val="none" w:color="000000" w:sz="4" w:space="0"/>
          <w:bottom w:val="none" w:color="000000" w:sz="4" w:space="0"/>
        </w:tcBorders>
      </w:tcPr>
    </w:tblStylePr>
    <w:tblStylePr w:type="lastRow">
      <w:rPr>
        <w:rFonts w:ascii="Arial" w:hAnsi="Arial"/>
        <w:i/>
        <w:color w:val="7F7F7F" w:themeColor="text1" w:themeTint="80" w:themeShade="95"/>
        <w:sz w:val="22"/>
      </w:rPr>
      <w:tcPr>
        <w:shd w:val="clear" w:color="FFFFFF" w:fill="FFFFFF" w:themeFill="light1" w:themeColor="light1"/>
        <w:tcBorders>
          <w:left w:val="none" w:color="000000" w:sz="4" w:space="0"/>
          <w:top w:val="single" w:color="7F7F7F" w:sz="4" w:space="0" w:themeColor="text1" w:themeTint="80"/>
          <w:right w:val="none" w:color="000000" w:sz="4" w:space="0"/>
          <w:bottom w:val="none" w:color="000000" w:sz="4" w:space="0"/>
        </w:tcBorders>
      </w:tcPr>
    </w:tblStylePr>
  </w:style>
  <w:style w:type="table" w:styleId="792" w:customStyle="1">
    <w:name w:val="List Table 7 Colorful - Accent 1"/>
    <w:basedOn w:val="651"/>
    <w:uiPriority w:val="99"/>
    <w:pPr>
      <w:spacing w:lineRule="auto" w:line="240"/>
    </w:pPr>
    <w:tblPr>
      <w:tblStyleRowBandSize w:val="1"/>
      <w:tblStyleColBandSize w:val="1"/>
      <w:tblBorders>
        <w:right w:val="single" w:color="4F81BD" w:sz="4" w:space="0" w:themeColor="accent1"/>
      </w:tblBorders>
    </w:tblPr>
    <w:tblStylePr w:type="band1Horz">
      <w:rPr>
        <w:rFonts w:ascii="Arial" w:hAnsi="Arial"/>
        <w:color w:val="2A4A71" w:themeColor="accent1" w:themeShade="95"/>
        <w:sz w:val="22"/>
      </w:rPr>
      <w:tcPr>
        <w:shd w:val="clear" w:color="D2DFEE" w:fill="D2DFEE" w:themeFill="accent1" w:themeFillTint="40" w:themeColor="accent1" w:themeTint="40"/>
      </w:tcPr>
    </w:tblStylePr>
    <w:tblStylePr w:type="band1Vert">
      <w:tcPr>
        <w:shd w:val="clear" w:color="D2DFEE" w:fill="D2DFEE" w:themeFill="accent1" w:themeFillTint="40" w:themeColor="accent1" w:themeTint="40"/>
      </w:tcPr>
    </w:tblStylePr>
    <w:tblStylePr w:type="band2Horz">
      <w:rPr>
        <w:rFonts w:ascii="Arial" w:hAnsi="Arial"/>
        <w:color w:val="2A4A71" w:themeColor="accent1" w:themeShade="95"/>
        <w:sz w:val="22"/>
      </w:rPr>
    </w:tblStylePr>
    <w:tblStylePr w:type="firstCol">
      <w:rPr>
        <w:rFonts w:ascii="Arial" w:hAnsi="Arial"/>
        <w:i/>
        <w:color w:val="2A4A71" w:themeColor="accent1" w:themeShade="95"/>
        <w:sz w:val="22"/>
      </w:rPr>
      <w:pPr>
        <w:jc w:val="right"/>
      </w:pPr>
      <w:tcPr>
        <w:shd w:val="clear" w:color="FFFFFF" w:fill="auto"/>
        <w:tcBorders>
          <w:left w:val="none" w:color="000000" w:sz="4" w:space="0"/>
          <w:top w:val="none" w:color="000000" w:sz="4" w:space="0"/>
          <w:right w:val="single" w:color="4F81BD" w:sz="4" w:space="0" w:themeColor="accent1"/>
          <w:bottom w:val="none" w:color="000000" w:sz="4" w:space="0"/>
        </w:tcBorders>
      </w:tcPr>
    </w:tblStylePr>
    <w:tblStylePr w:type="firstRow">
      <w:rPr>
        <w:rFonts w:ascii="Arial" w:hAnsi="Arial"/>
        <w:i/>
        <w:color w:val="2A4A71" w:themeColor="accent1" w:themeShade="95"/>
        <w:sz w:val="22"/>
      </w:rPr>
      <w:tcPr>
        <w:shd w:val="clear" w:color="FFFFFF" w:fill="FFFFFF" w:themeFill="light1" w:themeColor="light1"/>
        <w:tcBorders>
          <w:left w:val="none" w:color="000000" w:sz="4" w:space="0"/>
          <w:top w:val="none" w:color="000000" w:sz="4" w:space="0"/>
          <w:right w:val="none" w:color="000000" w:sz="4" w:space="0"/>
          <w:bottom w:val="single" w:color="4F81BD" w:sz="4" w:space="0" w:themeColor="accent1"/>
        </w:tcBorders>
      </w:tcPr>
    </w:tblStylePr>
    <w:tblStylePr w:type="lastCol">
      <w:rPr>
        <w:rFonts w:ascii="Arial" w:hAnsi="Arial"/>
        <w:i/>
        <w:color w:val="2A4A71" w:themeColor="accent1" w:themeShade="95"/>
        <w:sz w:val="22"/>
      </w:rPr>
      <w:tcPr>
        <w:shd w:val="clear" w:color="FFFFFF" w:fill="auto"/>
        <w:tcBorders>
          <w:left w:val="single" w:color="4F81BD" w:sz="4" w:space="0" w:themeColor="accent1"/>
          <w:top w:val="none" w:color="000000" w:sz="4" w:space="0"/>
          <w:right w:val="none" w:color="000000" w:sz="4" w:space="0"/>
          <w:bottom w:val="none" w:color="000000" w:sz="4" w:space="0"/>
        </w:tcBorders>
      </w:tcPr>
    </w:tblStylePr>
    <w:tblStylePr w:type="lastRow">
      <w:rPr>
        <w:rFonts w:ascii="Arial" w:hAnsi="Arial"/>
        <w:i/>
        <w:color w:val="2A4A71" w:themeColor="accent1" w:themeShade="95"/>
        <w:sz w:val="22"/>
      </w:rPr>
      <w:tcPr>
        <w:shd w:val="clear" w:color="FFFFFF" w:fill="FFFFFF" w:themeFill="light1" w:themeColor="light1"/>
        <w:tcBorders>
          <w:left w:val="none" w:color="000000" w:sz="4" w:space="0"/>
          <w:top w:val="single" w:color="4F81BD" w:sz="4" w:space="0" w:themeColor="accent1"/>
          <w:right w:val="none" w:color="000000" w:sz="4" w:space="0"/>
          <w:bottom w:val="none" w:color="000000" w:sz="4" w:space="0"/>
        </w:tcBorders>
      </w:tcPr>
    </w:tblStylePr>
  </w:style>
  <w:style w:type="table" w:styleId="793" w:customStyle="1">
    <w:name w:val="List Table 7 Colorful - Accent 2"/>
    <w:basedOn w:val="651"/>
    <w:uiPriority w:val="99"/>
    <w:pPr>
      <w:spacing w:lineRule="auto" w:line="240"/>
    </w:pPr>
    <w:tblPr>
      <w:tblStyleRowBandSize w:val="1"/>
      <w:tblStyleColBandSize w:val="1"/>
      <w:tblBorders>
        <w:right w:val="single" w:color="D99695" w:sz="4" w:space="0" w:themeColor="accent2" w:themeTint="97"/>
      </w:tblBorders>
    </w:tblPr>
    <w:tblStylePr w:type="band1Horz">
      <w:rPr>
        <w:rFonts w:ascii="Arial" w:hAnsi="Arial"/>
        <w:color w:val="D99695" w:themeColor="accent2" w:themeTint="97" w:themeShade="95"/>
        <w:sz w:val="22"/>
      </w:rPr>
      <w:tcPr>
        <w:shd w:val="clear" w:color="EFD2D2" w:fill="EFD2D2" w:themeFill="accent2" w:themeFillTint="40" w:themeColor="accent2" w:themeTint="40"/>
      </w:tcPr>
    </w:tblStylePr>
    <w:tblStylePr w:type="band1Vert">
      <w:tcPr>
        <w:shd w:val="clear" w:color="EFD2D2" w:fill="EFD2D2" w:themeFill="accent2" w:themeFillTint="40" w:themeColor="accent2" w:themeTint="40"/>
      </w:tcPr>
    </w:tblStylePr>
    <w:tblStylePr w:type="band2Horz">
      <w:rPr>
        <w:rFonts w:ascii="Arial" w:hAnsi="Arial"/>
        <w:color w:val="D99695" w:themeColor="accent2" w:themeTint="97" w:themeShade="95"/>
        <w:sz w:val="22"/>
      </w:rPr>
    </w:tblStylePr>
    <w:tblStylePr w:type="firstCol">
      <w:rPr>
        <w:rFonts w:ascii="Arial" w:hAnsi="Arial"/>
        <w:i/>
        <w:color w:val="D99695" w:themeColor="accent2" w:themeTint="97" w:themeShade="95"/>
        <w:sz w:val="22"/>
      </w:rPr>
      <w:pPr>
        <w:jc w:val="right"/>
      </w:pPr>
      <w:tcPr>
        <w:shd w:val="clear" w:color="FFFFFF" w:fill="auto"/>
        <w:tcBorders>
          <w:left w:val="none" w:color="000000" w:sz="4" w:space="0"/>
          <w:top w:val="none" w:color="000000" w:sz="4" w:space="0"/>
          <w:right w:val="single" w:color="D99695" w:sz="4" w:space="0" w:themeColor="accent2" w:themeTint="97"/>
          <w:bottom w:val="none" w:color="000000" w:sz="4" w:space="0"/>
        </w:tcBorders>
      </w:tcPr>
    </w:tblStylePr>
    <w:tblStylePr w:type="firstRow">
      <w:rPr>
        <w:rFonts w:ascii="Arial" w:hAnsi="Arial"/>
        <w:i/>
        <w:color w:val="D99695" w:themeColor="accent2" w:themeTint="97" w:themeShade="95"/>
        <w:sz w:val="22"/>
      </w:rPr>
      <w:tcPr>
        <w:shd w:val="clear" w:color="FFFFFF" w:fill="FFFFFF" w:themeFill="light1" w:themeColor="light1"/>
        <w:tcBorders>
          <w:left w:val="none" w:color="000000" w:sz="4" w:space="0"/>
          <w:top w:val="none" w:color="000000" w:sz="4" w:space="0"/>
          <w:right w:val="none" w:color="000000" w:sz="4" w:space="0"/>
          <w:bottom w:val="single" w:color="D99695" w:sz="4" w:space="0" w:themeColor="accent2" w:themeTint="97"/>
        </w:tcBorders>
      </w:tcPr>
    </w:tblStylePr>
    <w:tblStylePr w:type="lastCol">
      <w:rPr>
        <w:rFonts w:ascii="Arial" w:hAnsi="Arial"/>
        <w:i/>
        <w:color w:val="D99695" w:themeColor="accent2" w:themeTint="97" w:themeShade="95"/>
        <w:sz w:val="22"/>
      </w:rPr>
      <w:tcPr>
        <w:shd w:val="clear" w:color="FFFFFF" w:fill="auto"/>
        <w:tcBorders>
          <w:left w:val="single" w:color="D99695" w:sz="4" w:space="0" w:themeColor="accent2" w:themeTint="97"/>
          <w:top w:val="none" w:color="000000" w:sz="4" w:space="0"/>
          <w:right w:val="none" w:color="000000" w:sz="4" w:space="0"/>
          <w:bottom w:val="none" w:color="000000" w:sz="4" w:space="0"/>
        </w:tcBorders>
      </w:tcPr>
    </w:tblStylePr>
    <w:tblStylePr w:type="lastRow">
      <w:rPr>
        <w:rFonts w:ascii="Arial" w:hAnsi="Arial"/>
        <w:i/>
        <w:color w:val="D99695" w:themeColor="accent2" w:themeTint="97" w:themeShade="95"/>
        <w:sz w:val="22"/>
      </w:rPr>
      <w:tcPr>
        <w:shd w:val="clear" w:color="FFFFFF" w:fill="FFFFFF" w:themeFill="light1" w:themeColor="light1"/>
        <w:tcBorders>
          <w:left w:val="none" w:color="000000" w:sz="4" w:space="0"/>
          <w:top w:val="single" w:color="D99695" w:sz="4" w:space="0" w:themeColor="accent2" w:themeTint="97"/>
          <w:right w:val="none" w:color="000000" w:sz="4" w:space="0"/>
          <w:bottom w:val="none" w:color="000000" w:sz="4" w:space="0"/>
        </w:tcBorders>
      </w:tcPr>
    </w:tblStylePr>
  </w:style>
  <w:style w:type="table" w:styleId="794" w:customStyle="1">
    <w:name w:val="List Table 7 Colorful - Accent 3"/>
    <w:basedOn w:val="651"/>
    <w:uiPriority w:val="99"/>
    <w:pPr>
      <w:spacing w:lineRule="auto" w:line="240"/>
    </w:pPr>
    <w:tblPr>
      <w:tblStyleRowBandSize w:val="1"/>
      <w:tblStyleColBandSize w:val="1"/>
      <w:tblBorders>
        <w:right w:val="single" w:color="C3D69B" w:sz="4" w:space="0" w:themeColor="accent3" w:themeTint="98"/>
      </w:tblBorders>
    </w:tblPr>
    <w:tblStylePr w:type="band1Horz">
      <w:rPr>
        <w:rFonts w:ascii="Arial" w:hAnsi="Arial"/>
        <w:color w:val="C3D69B" w:themeColor="accent3" w:themeTint="98" w:themeShade="95"/>
        <w:sz w:val="22"/>
      </w:rPr>
      <w:tcPr>
        <w:shd w:val="clear" w:color="E5EED5" w:fill="E5EED5" w:themeFill="accent3" w:themeFillTint="40" w:themeColor="accent3" w:themeTint="40"/>
      </w:tcPr>
    </w:tblStylePr>
    <w:tblStylePr w:type="band1Vert">
      <w:tcPr>
        <w:shd w:val="clear" w:color="E5EED5" w:fill="E5EED5" w:themeFill="accent3" w:themeFillTint="40" w:themeColor="accent3" w:themeTint="40"/>
      </w:tcPr>
    </w:tblStylePr>
    <w:tblStylePr w:type="band2Horz">
      <w:rPr>
        <w:rFonts w:ascii="Arial" w:hAnsi="Arial"/>
        <w:color w:val="C3D69B" w:themeColor="accent3" w:themeTint="98" w:themeShade="95"/>
        <w:sz w:val="22"/>
      </w:rPr>
    </w:tblStylePr>
    <w:tblStylePr w:type="firstCol">
      <w:rPr>
        <w:rFonts w:ascii="Arial" w:hAnsi="Arial"/>
        <w:i/>
        <w:color w:val="C3D69B" w:themeColor="accent3" w:themeTint="98" w:themeShade="95"/>
        <w:sz w:val="22"/>
      </w:rPr>
      <w:pPr>
        <w:jc w:val="right"/>
      </w:pPr>
      <w:tcPr>
        <w:shd w:val="clear" w:color="FFFFFF" w:fill="auto"/>
        <w:tcBorders>
          <w:left w:val="none" w:color="000000" w:sz="4" w:space="0"/>
          <w:top w:val="none" w:color="000000" w:sz="4" w:space="0"/>
          <w:right w:val="single" w:color="C3D69B" w:sz="4" w:space="0" w:themeColor="accent3" w:themeTint="98"/>
          <w:bottom w:val="none" w:color="000000" w:sz="4" w:space="0"/>
        </w:tcBorders>
      </w:tcPr>
    </w:tblStylePr>
    <w:tblStylePr w:type="firstRow">
      <w:rPr>
        <w:rFonts w:ascii="Arial" w:hAnsi="Arial"/>
        <w:i/>
        <w:color w:val="C3D69B" w:themeColor="accent3" w:themeTint="98" w:themeShade="95"/>
        <w:sz w:val="22"/>
      </w:rPr>
      <w:tcPr>
        <w:shd w:val="clear" w:color="FFFFFF" w:fill="FFFFFF" w:themeFill="light1" w:themeColor="light1"/>
        <w:tcBorders>
          <w:left w:val="none" w:color="000000" w:sz="4" w:space="0"/>
          <w:top w:val="none" w:color="000000" w:sz="4" w:space="0"/>
          <w:right w:val="none" w:color="000000" w:sz="4" w:space="0"/>
          <w:bottom w:val="single" w:color="C3D69B" w:sz="4" w:space="0" w:themeColor="accent3" w:themeTint="98"/>
        </w:tcBorders>
      </w:tcPr>
    </w:tblStylePr>
    <w:tblStylePr w:type="lastCol">
      <w:rPr>
        <w:rFonts w:ascii="Arial" w:hAnsi="Arial"/>
        <w:i/>
        <w:color w:val="C3D69B" w:themeColor="accent3" w:themeTint="98" w:themeShade="95"/>
        <w:sz w:val="22"/>
      </w:rPr>
      <w:tcPr>
        <w:shd w:val="clear" w:color="FFFFFF" w:fill="auto"/>
        <w:tcBorders>
          <w:left w:val="single" w:color="C3D69B" w:sz="4" w:space="0" w:themeColor="accent3" w:themeTint="98"/>
          <w:top w:val="none" w:color="000000" w:sz="4" w:space="0"/>
          <w:right w:val="none" w:color="000000" w:sz="4" w:space="0"/>
          <w:bottom w:val="none" w:color="000000" w:sz="4" w:space="0"/>
        </w:tcBorders>
      </w:tcPr>
    </w:tblStylePr>
    <w:tblStylePr w:type="lastRow">
      <w:rPr>
        <w:rFonts w:ascii="Arial" w:hAnsi="Arial"/>
        <w:i/>
        <w:color w:val="C3D69B" w:themeColor="accent3" w:themeTint="98" w:themeShade="95"/>
        <w:sz w:val="22"/>
      </w:rPr>
      <w:tcPr>
        <w:shd w:val="clear" w:color="FFFFFF" w:fill="FFFFFF" w:themeFill="light1" w:themeColor="light1"/>
        <w:tcBorders>
          <w:left w:val="none" w:color="000000" w:sz="4" w:space="0"/>
          <w:top w:val="single" w:color="C3D69B" w:sz="4" w:space="0" w:themeColor="accent3" w:themeTint="98"/>
          <w:right w:val="none" w:color="000000" w:sz="4" w:space="0"/>
          <w:bottom w:val="none" w:color="000000" w:sz="4" w:space="0"/>
        </w:tcBorders>
      </w:tcPr>
    </w:tblStylePr>
  </w:style>
  <w:style w:type="table" w:styleId="795" w:customStyle="1">
    <w:name w:val="List Table 7 Colorful - Accent 4"/>
    <w:basedOn w:val="651"/>
    <w:uiPriority w:val="99"/>
    <w:pPr>
      <w:spacing w:lineRule="auto" w:line="240"/>
    </w:pPr>
    <w:tblPr>
      <w:tblStyleRowBandSize w:val="1"/>
      <w:tblStyleColBandSize w:val="1"/>
      <w:tblBorders>
        <w:right w:val="single" w:color="B2A1C6" w:sz="4" w:space="0" w:themeColor="accent4" w:themeTint="9A"/>
      </w:tblBorders>
    </w:tblPr>
    <w:tblStylePr w:type="band1Horz">
      <w:rPr>
        <w:rFonts w:ascii="Arial" w:hAnsi="Arial"/>
        <w:color w:val="B2A1C6" w:themeColor="accent4" w:themeTint="9A" w:themeShade="95"/>
        <w:sz w:val="22"/>
      </w:rPr>
      <w:tcPr>
        <w:shd w:val="clear" w:color="DFD8E7" w:fill="DFD8E7" w:themeFill="accent4" w:themeFillTint="40" w:themeColor="accent4" w:themeTint="40"/>
      </w:tcPr>
    </w:tblStylePr>
    <w:tblStylePr w:type="band1Vert">
      <w:tcPr>
        <w:shd w:val="clear" w:color="DFD8E7" w:fill="DFD8E7" w:themeFill="accent4" w:themeFillTint="40" w:themeColor="accent4" w:themeTint="40"/>
      </w:tcPr>
    </w:tblStylePr>
    <w:tblStylePr w:type="band2Horz">
      <w:rPr>
        <w:rFonts w:ascii="Arial" w:hAnsi="Arial"/>
        <w:color w:val="B2A1C6" w:themeColor="accent4" w:themeTint="9A" w:themeShade="95"/>
        <w:sz w:val="22"/>
      </w:rPr>
    </w:tblStylePr>
    <w:tblStylePr w:type="firstCol">
      <w:rPr>
        <w:rFonts w:ascii="Arial" w:hAnsi="Arial"/>
        <w:i/>
        <w:color w:val="B2A1C6" w:themeColor="accent4" w:themeTint="9A" w:themeShade="95"/>
        <w:sz w:val="22"/>
      </w:rPr>
      <w:pPr>
        <w:jc w:val="right"/>
      </w:pPr>
      <w:tcPr>
        <w:shd w:val="clear" w:color="FFFFFF" w:fill="auto"/>
        <w:tcBorders>
          <w:left w:val="none" w:color="000000" w:sz="4" w:space="0"/>
          <w:top w:val="none" w:color="000000" w:sz="4" w:space="0"/>
          <w:right w:val="single" w:color="B2A1C6" w:sz="4" w:space="0" w:themeColor="accent4" w:themeTint="9A"/>
          <w:bottom w:val="none" w:color="000000" w:sz="4" w:space="0"/>
        </w:tcBorders>
      </w:tcPr>
    </w:tblStylePr>
    <w:tblStylePr w:type="firstRow">
      <w:rPr>
        <w:rFonts w:ascii="Arial" w:hAnsi="Arial"/>
        <w:i/>
        <w:color w:val="B2A1C6" w:themeColor="accent4" w:themeTint="9A" w:themeShade="95"/>
        <w:sz w:val="22"/>
      </w:rPr>
      <w:tcPr>
        <w:shd w:val="clear" w:color="FFFFFF" w:fill="FFFFFF" w:themeFill="light1" w:themeColor="light1"/>
        <w:tcBorders>
          <w:left w:val="none" w:color="000000" w:sz="4" w:space="0"/>
          <w:top w:val="none" w:color="000000" w:sz="4" w:space="0"/>
          <w:right w:val="none" w:color="000000" w:sz="4" w:space="0"/>
          <w:bottom w:val="single" w:color="B2A1C6" w:sz="4" w:space="0" w:themeColor="accent4" w:themeTint="9A"/>
        </w:tcBorders>
      </w:tcPr>
    </w:tblStylePr>
    <w:tblStylePr w:type="lastCol">
      <w:rPr>
        <w:rFonts w:ascii="Arial" w:hAnsi="Arial"/>
        <w:i/>
        <w:color w:val="B2A1C6" w:themeColor="accent4" w:themeTint="9A" w:themeShade="95"/>
        <w:sz w:val="22"/>
      </w:rPr>
      <w:tcPr>
        <w:shd w:val="clear" w:color="FFFFFF" w:fill="auto"/>
        <w:tcBorders>
          <w:left w:val="single" w:color="B2A1C6" w:sz="4" w:space="0" w:themeColor="accent4" w:themeTint="9A"/>
          <w:top w:val="none" w:color="000000" w:sz="4" w:space="0"/>
          <w:right w:val="none" w:color="000000" w:sz="4" w:space="0"/>
          <w:bottom w:val="none" w:color="000000" w:sz="4" w:space="0"/>
        </w:tcBorders>
      </w:tcPr>
    </w:tblStylePr>
    <w:tblStylePr w:type="lastRow">
      <w:rPr>
        <w:rFonts w:ascii="Arial" w:hAnsi="Arial"/>
        <w:i/>
        <w:color w:val="B2A1C6" w:themeColor="accent4" w:themeTint="9A" w:themeShade="95"/>
        <w:sz w:val="22"/>
      </w:rPr>
      <w:tcPr>
        <w:shd w:val="clear" w:color="FFFFFF" w:fill="FFFFFF" w:themeFill="light1" w:themeColor="light1"/>
        <w:tcBorders>
          <w:left w:val="none" w:color="000000" w:sz="4" w:space="0"/>
          <w:top w:val="single" w:color="B2A1C6" w:sz="4" w:space="0" w:themeColor="accent4" w:themeTint="9A"/>
          <w:right w:val="none" w:color="000000" w:sz="4" w:space="0"/>
          <w:bottom w:val="none" w:color="000000" w:sz="4" w:space="0"/>
        </w:tcBorders>
      </w:tcPr>
    </w:tblStylePr>
  </w:style>
  <w:style w:type="table" w:styleId="796" w:customStyle="1">
    <w:name w:val="List Table 7 Colorful - Accent 5"/>
    <w:basedOn w:val="651"/>
    <w:uiPriority w:val="99"/>
    <w:pPr>
      <w:spacing w:lineRule="auto" w:line="240"/>
    </w:pPr>
    <w:tblPr>
      <w:tblStyleRowBandSize w:val="1"/>
      <w:tblStyleColBandSize w:val="1"/>
      <w:tblBorders>
        <w:right w:val="single" w:color="92CCDC" w:sz="4" w:space="0" w:themeColor="accent5" w:themeTint="9A"/>
      </w:tblBorders>
    </w:tblPr>
    <w:tblStylePr w:type="band1Horz">
      <w:rPr>
        <w:rFonts w:ascii="Arial" w:hAnsi="Arial"/>
        <w:color w:val="92CCDC" w:themeColor="accent5" w:themeTint="9A" w:themeShade="95"/>
        <w:sz w:val="22"/>
      </w:rPr>
      <w:tcPr>
        <w:shd w:val="clear" w:color="D1EAF0" w:fill="D1EAF0" w:themeFill="accent5" w:themeFillTint="40" w:themeColor="accent5" w:themeTint="40"/>
      </w:tcPr>
    </w:tblStylePr>
    <w:tblStylePr w:type="band1Vert">
      <w:tcPr>
        <w:shd w:val="clear" w:color="D1EAF0" w:fill="D1EAF0" w:themeFill="accent5" w:themeFillTint="40" w:themeColor="accent5" w:themeTint="40"/>
      </w:tcPr>
    </w:tblStylePr>
    <w:tblStylePr w:type="band2Horz">
      <w:rPr>
        <w:rFonts w:ascii="Arial" w:hAnsi="Arial"/>
        <w:color w:val="92CCDC" w:themeColor="accent5" w:themeTint="9A" w:themeShade="95"/>
        <w:sz w:val="22"/>
      </w:rPr>
    </w:tblStylePr>
    <w:tblStylePr w:type="firstCol">
      <w:rPr>
        <w:rFonts w:ascii="Arial" w:hAnsi="Arial"/>
        <w:i/>
        <w:color w:val="92CCDC" w:themeColor="accent5" w:themeTint="9A" w:themeShade="95"/>
        <w:sz w:val="22"/>
      </w:rPr>
      <w:pPr>
        <w:jc w:val="right"/>
      </w:pPr>
      <w:tcPr>
        <w:shd w:val="clear" w:color="FFFFFF" w:fill="auto"/>
        <w:tcBorders>
          <w:left w:val="none" w:color="000000" w:sz="4" w:space="0"/>
          <w:top w:val="none" w:color="000000" w:sz="4" w:space="0"/>
          <w:right w:val="single" w:color="92CCDC" w:sz="4" w:space="0" w:themeColor="accent5" w:themeTint="9A"/>
          <w:bottom w:val="none" w:color="000000" w:sz="4" w:space="0"/>
        </w:tcBorders>
      </w:tcPr>
    </w:tblStylePr>
    <w:tblStylePr w:type="firstRow">
      <w:rPr>
        <w:rFonts w:ascii="Arial" w:hAnsi="Arial"/>
        <w:i/>
        <w:color w:val="92CCDC" w:themeColor="accent5" w:themeTint="9A" w:themeShade="95"/>
        <w:sz w:val="22"/>
      </w:rPr>
      <w:tcPr>
        <w:shd w:val="clear" w:color="FFFFFF" w:fill="FFFFFF" w:themeFill="light1" w:themeColor="light1"/>
        <w:tcBorders>
          <w:left w:val="none" w:color="000000" w:sz="4" w:space="0"/>
          <w:top w:val="none" w:color="000000" w:sz="4" w:space="0"/>
          <w:right w:val="none" w:color="000000" w:sz="4" w:space="0"/>
          <w:bottom w:val="single" w:color="92CCDC" w:sz="4" w:space="0" w:themeColor="accent5" w:themeTint="9A"/>
        </w:tcBorders>
      </w:tcPr>
    </w:tblStylePr>
    <w:tblStylePr w:type="lastCol">
      <w:rPr>
        <w:rFonts w:ascii="Arial" w:hAnsi="Arial"/>
        <w:i/>
        <w:color w:val="92CCDC" w:themeColor="accent5" w:themeTint="9A" w:themeShade="95"/>
        <w:sz w:val="22"/>
      </w:rPr>
      <w:tcPr>
        <w:shd w:val="clear" w:color="FFFFFF" w:fill="auto"/>
        <w:tcBorders>
          <w:left w:val="single" w:color="92CCDC" w:sz="4" w:space="0" w:themeColor="accent5" w:themeTint="9A"/>
          <w:top w:val="none" w:color="000000" w:sz="4" w:space="0"/>
          <w:right w:val="none" w:color="000000" w:sz="4" w:space="0"/>
          <w:bottom w:val="none" w:color="000000" w:sz="4" w:space="0"/>
        </w:tcBorders>
      </w:tcPr>
    </w:tblStylePr>
    <w:tblStylePr w:type="lastRow">
      <w:rPr>
        <w:rFonts w:ascii="Arial" w:hAnsi="Arial"/>
        <w:i/>
        <w:color w:val="92CCDC" w:themeColor="accent5" w:themeTint="9A" w:themeShade="95"/>
        <w:sz w:val="22"/>
      </w:rPr>
      <w:tcPr>
        <w:shd w:val="clear" w:color="FFFFFF" w:fill="FFFFFF" w:themeFill="light1" w:themeColor="light1"/>
        <w:tcBorders>
          <w:left w:val="none" w:color="000000" w:sz="4" w:space="0"/>
          <w:top w:val="single" w:color="92CCDC" w:sz="4" w:space="0" w:themeColor="accent5" w:themeTint="9A"/>
          <w:right w:val="none" w:color="000000" w:sz="4" w:space="0"/>
          <w:bottom w:val="none" w:color="000000" w:sz="4" w:space="0"/>
        </w:tcBorders>
      </w:tcPr>
    </w:tblStylePr>
  </w:style>
  <w:style w:type="table" w:styleId="797" w:customStyle="1">
    <w:name w:val="List Table 7 Colorful - Accent 6"/>
    <w:basedOn w:val="651"/>
    <w:uiPriority w:val="99"/>
    <w:pPr>
      <w:spacing w:lineRule="auto" w:line="240"/>
    </w:pPr>
    <w:tblPr>
      <w:tblStyleRowBandSize w:val="1"/>
      <w:tblStyleColBandSize w:val="1"/>
      <w:tblBorders>
        <w:right w:val="single" w:color="FAC090" w:sz="4" w:space="0" w:themeColor="accent6" w:themeTint="98"/>
      </w:tblBorders>
    </w:tblPr>
    <w:tblStylePr w:type="band1Horz">
      <w:rPr>
        <w:rFonts w:ascii="Arial" w:hAnsi="Arial"/>
        <w:color w:val="FAC090" w:themeColor="accent6" w:themeTint="98" w:themeShade="95"/>
        <w:sz w:val="22"/>
      </w:rPr>
      <w:tcPr>
        <w:shd w:val="clear" w:color="FDE4D0" w:fill="FDE4D0" w:themeFill="accent6" w:themeFillTint="40" w:themeColor="accent6" w:themeTint="40"/>
      </w:tcPr>
    </w:tblStylePr>
    <w:tblStylePr w:type="band1Vert">
      <w:tcPr>
        <w:shd w:val="clear" w:color="FDE4D0" w:fill="FDE4D0" w:themeFill="accent6" w:themeFillTint="40" w:themeColor="accent6" w:themeTint="40"/>
      </w:tcPr>
    </w:tblStylePr>
    <w:tblStylePr w:type="band2Horz">
      <w:rPr>
        <w:rFonts w:ascii="Arial" w:hAnsi="Arial"/>
        <w:color w:val="FAC090" w:themeColor="accent6" w:themeTint="98" w:themeShade="95"/>
        <w:sz w:val="22"/>
      </w:rPr>
    </w:tblStylePr>
    <w:tblStylePr w:type="firstCol">
      <w:rPr>
        <w:rFonts w:ascii="Arial" w:hAnsi="Arial"/>
        <w:i/>
        <w:color w:val="FAC090" w:themeColor="accent6" w:themeTint="98" w:themeShade="95"/>
        <w:sz w:val="22"/>
      </w:rPr>
      <w:pPr>
        <w:jc w:val="right"/>
      </w:pPr>
      <w:tcPr>
        <w:shd w:val="clear" w:color="FFFFFF" w:fill="auto"/>
        <w:tcBorders>
          <w:left w:val="none" w:color="000000" w:sz="4" w:space="0"/>
          <w:top w:val="none" w:color="000000" w:sz="4" w:space="0"/>
          <w:right w:val="single" w:color="FAC090" w:sz="4" w:space="0" w:themeColor="accent6" w:themeTint="98"/>
          <w:bottom w:val="none" w:color="000000" w:sz="4" w:space="0"/>
        </w:tcBorders>
      </w:tcPr>
    </w:tblStylePr>
    <w:tblStylePr w:type="firstRow">
      <w:rPr>
        <w:rFonts w:ascii="Arial" w:hAnsi="Arial"/>
        <w:i/>
        <w:color w:val="FAC090" w:themeColor="accent6" w:themeTint="98" w:themeShade="95"/>
        <w:sz w:val="22"/>
      </w:rPr>
      <w:tcPr>
        <w:shd w:val="clear" w:color="FFFFFF" w:fill="FFFFFF" w:themeFill="light1" w:themeColor="light1"/>
        <w:tcBorders>
          <w:left w:val="none" w:color="000000" w:sz="4" w:space="0"/>
          <w:top w:val="none" w:color="000000" w:sz="4" w:space="0"/>
          <w:right w:val="none" w:color="000000" w:sz="4" w:space="0"/>
          <w:bottom w:val="single" w:color="FAC090" w:sz="4" w:space="0" w:themeColor="accent6" w:themeTint="98"/>
        </w:tcBorders>
      </w:tcPr>
    </w:tblStylePr>
    <w:tblStylePr w:type="lastCol">
      <w:rPr>
        <w:rFonts w:ascii="Arial" w:hAnsi="Arial"/>
        <w:i/>
        <w:color w:val="FAC090" w:themeColor="accent6" w:themeTint="98" w:themeShade="95"/>
        <w:sz w:val="22"/>
      </w:rPr>
      <w:tcPr>
        <w:shd w:val="clear" w:color="FFFFFF" w:fill="auto"/>
        <w:tcBorders>
          <w:left w:val="single" w:color="FAC090" w:sz="4" w:space="0" w:themeColor="accent6" w:themeTint="98"/>
          <w:top w:val="none" w:color="000000" w:sz="4" w:space="0"/>
          <w:right w:val="none" w:color="000000" w:sz="4" w:space="0"/>
          <w:bottom w:val="none" w:color="000000" w:sz="4" w:space="0"/>
        </w:tcBorders>
      </w:tcPr>
    </w:tblStylePr>
    <w:tblStylePr w:type="lastRow">
      <w:rPr>
        <w:rFonts w:ascii="Arial" w:hAnsi="Arial"/>
        <w:i/>
        <w:color w:val="FAC090" w:themeColor="accent6" w:themeTint="98" w:themeShade="95"/>
        <w:sz w:val="22"/>
      </w:rPr>
      <w:tcPr>
        <w:shd w:val="clear" w:color="FFFFFF" w:fill="FFFFFF" w:themeFill="light1" w:themeColor="light1"/>
        <w:tcBorders>
          <w:left w:val="none" w:color="000000" w:sz="4" w:space="0"/>
          <w:top w:val="single" w:color="FAC090" w:sz="4" w:space="0" w:themeColor="accent6" w:themeTint="98"/>
          <w:right w:val="none" w:color="000000" w:sz="4" w:space="0"/>
          <w:bottom w:val="none" w:color="000000" w:sz="4" w:space="0"/>
        </w:tcBorders>
      </w:tcPr>
    </w:tblStylePr>
  </w:style>
  <w:style w:type="table" w:styleId="798" w:customStyle="1">
    <w:name w:val="Lined - Accent"/>
    <w:basedOn w:val="651"/>
    <w:uiPriority w:val="99"/>
    <w:rPr>
      <w:color w:val="404040"/>
      <w:sz w:val="20"/>
      <w:szCs w:val="20"/>
      <w:lang w:val="de-DE"/>
    </w:rPr>
    <w:pPr>
      <w:spacing w:lineRule="auto" w:line="240"/>
    </w:pPr>
    <w:tblPr>
      <w:tblStyleRowBandSize w:val="1"/>
      <w:tblStyleColBandSize w:val="1"/>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2F2F2" w:fill="F2F2F2" w:themeFill="text1" w:themeFillTint="0D" w:themeColor="text1" w:themeTint="0D"/>
      </w:tcPr>
    </w:tblStylePr>
    <w:tblStylePr w:type="band2Vert">
      <w:rPr>
        <w:rFonts w:ascii="Arial" w:hAnsi="Arial"/>
        <w:color w:val="404040"/>
        <w:sz w:val="22"/>
      </w:rPr>
      <w:tcPr>
        <w:shd w:val="clear" w:color="F2F2F2" w:fill="F2F2F2" w:themeFill="text1" w:themeFillTint="0D" w:themeColor="text1" w:themeTint="0D"/>
      </w:tcPr>
    </w:tblStylePr>
    <w:tblStylePr w:type="firstCol">
      <w:rPr>
        <w:rFonts w:ascii="Arial" w:hAnsi="Arial"/>
        <w:color w:val="F2F2F2"/>
        <w:sz w:val="22"/>
      </w:rPr>
      <w:tcPr>
        <w:shd w:val="clear" w:color="7F7F7F" w:fill="7F7F7F" w:themeFill="text1" w:themeFillTint="80" w:themeColor="text1" w:themeTint="80"/>
      </w:tcPr>
    </w:tblStylePr>
    <w:tblStylePr w:type="firstRow">
      <w:rPr>
        <w:rFonts w:ascii="Arial" w:hAnsi="Arial"/>
        <w:color w:val="F2F2F2"/>
        <w:sz w:val="22"/>
      </w:rPr>
      <w:tcPr>
        <w:shd w:val="clear" w:color="7F7F7F" w:fill="7F7F7F" w:themeFill="text1" w:themeFillTint="80" w:themeColor="text1" w:themeTint="80"/>
      </w:tcPr>
    </w:tblStylePr>
    <w:tblStylePr w:type="lastCol">
      <w:rPr>
        <w:rFonts w:ascii="Arial" w:hAnsi="Arial"/>
        <w:color w:val="F2F2F2"/>
        <w:sz w:val="22"/>
      </w:rPr>
      <w:tcPr>
        <w:shd w:val="clear" w:color="7F7F7F" w:fill="7F7F7F" w:themeFill="text1" w:themeFillTint="80" w:themeColor="text1" w:themeTint="80"/>
      </w:tcPr>
    </w:tblStylePr>
    <w:tblStylePr w:type="lastRow">
      <w:rPr>
        <w:rFonts w:ascii="Arial" w:hAnsi="Arial"/>
        <w:color w:val="F2F2F2"/>
        <w:sz w:val="22"/>
      </w:rPr>
      <w:tcPr>
        <w:shd w:val="clear" w:color="7F7F7F" w:fill="7F7F7F" w:themeFill="text1" w:themeFillTint="80" w:themeColor="text1" w:themeTint="80"/>
      </w:tcPr>
    </w:tblStylePr>
  </w:style>
  <w:style w:type="table" w:styleId="799" w:customStyle="1">
    <w:name w:val="Lined - Accent 1"/>
    <w:basedOn w:val="651"/>
    <w:uiPriority w:val="99"/>
    <w:rPr>
      <w:color w:val="404040"/>
      <w:sz w:val="20"/>
      <w:szCs w:val="20"/>
      <w:lang w:val="de-DE"/>
    </w:rPr>
    <w:pPr>
      <w:spacing w:lineRule="auto" w:line="240"/>
    </w:pPr>
    <w:tblPr>
      <w:tblStyleRowBandSize w:val="1"/>
      <w:tblStyleColBandSize w:val="1"/>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C7D7EA" w:fill="C7D7EA" w:themeFill="accent1" w:themeFillTint="50" w:themeColor="accent1" w:themeTint="50"/>
      </w:tcPr>
    </w:tblStylePr>
    <w:tblStylePr w:type="band2Vert">
      <w:rPr>
        <w:rFonts w:ascii="Arial" w:hAnsi="Arial"/>
        <w:color w:val="404040"/>
        <w:sz w:val="22"/>
      </w:rPr>
      <w:tcPr>
        <w:shd w:val="clear" w:color="C7D7EA" w:fill="C7D7EA" w:themeFill="accent1" w:themeFillTint="50" w:themeColor="accent1" w:themeTint="50"/>
      </w:tcPr>
    </w:tblStylePr>
    <w:tblStylePr w:type="firstCol">
      <w:rPr>
        <w:rFonts w:ascii="Arial" w:hAnsi="Arial"/>
        <w:color w:val="F2F2F2"/>
        <w:sz w:val="22"/>
      </w:rPr>
      <w:tcPr>
        <w:shd w:val="clear" w:color="5D8AC2" w:fill="5D8AC2" w:themeFill="accent1" w:themeFillTint="EA" w:themeColor="accent1" w:themeTint="EA"/>
      </w:tcPr>
    </w:tblStylePr>
    <w:tblStylePr w:type="firstRow">
      <w:rPr>
        <w:rFonts w:ascii="Arial" w:hAnsi="Arial"/>
        <w:color w:val="F2F2F2"/>
        <w:sz w:val="22"/>
      </w:rPr>
      <w:tcPr>
        <w:shd w:val="clear" w:color="5D8AC2" w:fill="5D8AC2" w:themeFill="accent1" w:themeFillTint="EA" w:themeColor="accent1" w:themeTint="EA"/>
      </w:tcPr>
    </w:tblStylePr>
    <w:tblStylePr w:type="lastCol">
      <w:rPr>
        <w:rFonts w:ascii="Arial" w:hAnsi="Arial"/>
        <w:color w:val="F2F2F2"/>
        <w:sz w:val="22"/>
      </w:rPr>
      <w:tcPr>
        <w:shd w:val="clear" w:color="5D8AC2" w:fill="5D8AC2" w:themeFill="accent1" w:themeFillTint="EA" w:themeColor="accent1" w:themeTint="EA"/>
      </w:tcPr>
    </w:tblStylePr>
    <w:tblStylePr w:type="lastRow">
      <w:rPr>
        <w:rFonts w:ascii="Arial" w:hAnsi="Arial"/>
        <w:color w:val="F2F2F2"/>
        <w:sz w:val="22"/>
      </w:rPr>
      <w:tcPr>
        <w:shd w:val="clear" w:color="5D8AC2" w:fill="5D8AC2" w:themeFill="accent1" w:themeFillTint="EA" w:themeColor="accent1" w:themeTint="EA"/>
      </w:tcPr>
    </w:tblStylePr>
  </w:style>
  <w:style w:type="table" w:styleId="800" w:customStyle="1">
    <w:name w:val="Lined - Accent 2"/>
    <w:basedOn w:val="651"/>
    <w:uiPriority w:val="99"/>
    <w:rPr>
      <w:color w:val="404040"/>
      <w:sz w:val="20"/>
      <w:szCs w:val="20"/>
      <w:lang w:val="de-DE"/>
    </w:rPr>
    <w:pPr>
      <w:spacing w:lineRule="auto" w:line="240"/>
    </w:pPr>
    <w:tblPr>
      <w:tblStyleRowBandSize w:val="1"/>
      <w:tblStyleColBandSize w:val="1"/>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2DCDC" w:fill="F2DCDC" w:themeFill="accent2" w:themeFillTint="32" w:themeColor="accent2" w:themeTint="32"/>
      </w:tcPr>
    </w:tblStylePr>
    <w:tblStylePr w:type="band2Vert">
      <w:rPr>
        <w:rFonts w:ascii="Arial" w:hAnsi="Arial"/>
        <w:color w:val="404040"/>
        <w:sz w:val="22"/>
      </w:rPr>
      <w:tcPr>
        <w:shd w:val="clear" w:color="F2DCDC" w:fill="F2DCDC" w:themeFill="accent2" w:themeFillTint="32" w:themeColor="accent2" w:themeTint="32"/>
      </w:tcPr>
    </w:tblStylePr>
    <w:tblStylePr w:type="firstCol">
      <w:rPr>
        <w:rFonts w:ascii="Arial" w:hAnsi="Arial"/>
        <w:color w:val="F2F2F2"/>
        <w:sz w:val="22"/>
      </w:rPr>
      <w:tcPr>
        <w:shd w:val="clear" w:color="D99695" w:fill="D99695" w:themeFill="accent2" w:themeFillTint="97" w:themeColor="accent2" w:themeTint="97"/>
      </w:tcPr>
    </w:tblStylePr>
    <w:tblStylePr w:type="firstRow">
      <w:rPr>
        <w:rFonts w:ascii="Arial" w:hAnsi="Arial"/>
        <w:color w:val="F2F2F2"/>
        <w:sz w:val="22"/>
      </w:rPr>
      <w:tcPr>
        <w:shd w:val="clear" w:color="D99695" w:fill="D99695" w:themeFill="accent2" w:themeFillTint="97" w:themeColor="accent2" w:themeTint="97"/>
      </w:tcPr>
    </w:tblStylePr>
    <w:tblStylePr w:type="lastCol">
      <w:rPr>
        <w:rFonts w:ascii="Arial" w:hAnsi="Arial"/>
        <w:color w:val="F2F2F2"/>
        <w:sz w:val="22"/>
      </w:rPr>
      <w:tcPr>
        <w:shd w:val="clear" w:color="D99695" w:fill="D99695" w:themeFill="accent2" w:themeFillTint="97" w:themeColor="accent2" w:themeTint="97"/>
      </w:tcPr>
    </w:tblStylePr>
    <w:tblStylePr w:type="lastRow">
      <w:rPr>
        <w:rFonts w:ascii="Arial" w:hAnsi="Arial"/>
        <w:color w:val="F2F2F2"/>
        <w:sz w:val="22"/>
      </w:rPr>
      <w:tcPr>
        <w:shd w:val="clear" w:color="D99695" w:fill="D99695" w:themeFill="accent2" w:themeFillTint="97" w:themeColor="accent2" w:themeTint="97"/>
      </w:tcPr>
    </w:tblStylePr>
  </w:style>
  <w:style w:type="table" w:styleId="801" w:customStyle="1">
    <w:name w:val="Lined - Accent 3"/>
    <w:basedOn w:val="651"/>
    <w:uiPriority w:val="99"/>
    <w:rPr>
      <w:color w:val="404040"/>
      <w:sz w:val="20"/>
      <w:szCs w:val="20"/>
      <w:lang w:val="de-DE"/>
    </w:rPr>
    <w:pPr>
      <w:spacing w:lineRule="auto" w:line="240"/>
    </w:pPr>
    <w:tblPr>
      <w:tblStyleRowBandSize w:val="1"/>
      <w:tblStyleColBandSize w:val="1"/>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EAF1DC" w:fill="EAF1DC" w:themeFill="accent3" w:themeFillTint="34" w:themeColor="accent3" w:themeTint="34"/>
      </w:tcPr>
    </w:tblStylePr>
    <w:tblStylePr w:type="band2Vert">
      <w:rPr>
        <w:rFonts w:ascii="Arial" w:hAnsi="Arial"/>
        <w:color w:val="404040"/>
        <w:sz w:val="22"/>
      </w:rPr>
      <w:tcPr>
        <w:shd w:val="clear" w:color="EAF1DC" w:fill="EAF1DC" w:themeFill="accent3" w:themeFillTint="34" w:themeColor="accent3" w:themeTint="34"/>
      </w:tcPr>
    </w:tblStylePr>
    <w:tblStylePr w:type="firstCol">
      <w:rPr>
        <w:rFonts w:ascii="Arial" w:hAnsi="Arial"/>
        <w:color w:val="F2F2F2"/>
        <w:sz w:val="22"/>
      </w:rPr>
      <w:tcPr>
        <w:shd w:val="clear" w:color="9ABB59" w:fill="9ABB59" w:themeFill="accent3" w:themeFillTint="FE" w:themeColor="accent3" w:themeTint="FE"/>
      </w:tcPr>
    </w:tblStylePr>
    <w:tblStylePr w:type="firstRow">
      <w:rPr>
        <w:rFonts w:ascii="Arial" w:hAnsi="Arial"/>
        <w:color w:val="F2F2F2"/>
        <w:sz w:val="22"/>
      </w:rPr>
      <w:tcPr>
        <w:shd w:val="clear" w:color="9ABB59" w:fill="9ABB59" w:themeFill="accent3" w:themeFillTint="FE" w:themeColor="accent3" w:themeTint="FE"/>
      </w:tcPr>
    </w:tblStylePr>
    <w:tblStylePr w:type="lastCol">
      <w:rPr>
        <w:rFonts w:ascii="Arial" w:hAnsi="Arial"/>
        <w:color w:val="F2F2F2"/>
        <w:sz w:val="22"/>
      </w:rPr>
      <w:tcPr>
        <w:shd w:val="clear" w:color="9ABB59" w:fill="9ABB59" w:themeFill="accent3" w:themeFillTint="FE" w:themeColor="accent3" w:themeTint="FE"/>
      </w:tcPr>
    </w:tblStylePr>
    <w:tblStylePr w:type="lastRow">
      <w:rPr>
        <w:rFonts w:ascii="Arial" w:hAnsi="Arial"/>
        <w:color w:val="F2F2F2"/>
        <w:sz w:val="22"/>
      </w:rPr>
      <w:tcPr>
        <w:shd w:val="clear" w:color="9ABB59" w:fill="9ABB59" w:themeFill="accent3" w:themeFillTint="FE" w:themeColor="accent3" w:themeTint="FE"/>
      </w:tcPr>
    </w:tblStylePr>
  </w:style>
  <w:style w:type="table" w:styleId="802" w:customStyle="1">
    <w:name w:val="Lined - Accent 4"/>
    <w:basedOn w:val="651"/>
    <w:uiPriority w:val="99"/>
    <w:rPr>
      <w:color w:val="404040"/>
      <w:sz w:val="20"/>
      <w:szCs w:val="20"/>
      <w:lang w:val="de-DE"/>
    </w:rPr>
    <w:pPr>
      <w:spacing w:lineRule="auto" w:line="240"/>
    </w:pPr>
    <w:tblPr>
      <w:tblStyleRowBandSize w:val="1"/>
      <w:tblStyleColBandSize w:val="1"/>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E5DFEC" w:fill="E5DFEC" w:themeFill="accent4" w:themeFillTint="34" w:themeColor="accent4" w:themeTint="34"/>
      </w:tcPr>
    </w:tblStylePr>
    <w:tblStylePr w:type="band2Vert">
      <w:rPr>
        <w:rFonts w:ascii="Arial" w:hAnsi="Arial"/>
        <w:color w:val="404040"/>
        <w:sz w:val="22"/>
      </w:rPr>
      <w:tcPr>
        <w:shd w:val="clear" w:color="E5DFEC" w:fill="E5DFEC" w:themeFill="accent4" w:themeFillTint="34" w:themeColor="accent4" w:themeTint="34"/>
      </w:tcPr>
    </w:tblStylePr>
    <w:tblStylePr w:type="firstCol">
      <w:rPr>
        <w:rFonts w:ascii="Arial" w:hAnsi="Arial"/>
        <w:color w:val="F2F2F2"/>
        <w:sz w:val="22"/>
      </w:rPr>
      <w:tcPr>
        <w:shd w:val="clear" w:color="B2A1C6" w:fill="B2A1C6" w:themeFill="accent4" w:themeFillTint="9A" w:themeColor="accent4" w:themeTint="9A"/>
      </w:tcPr>
    </w:tblStylePr>
    <w:tblStylePr w:type="firstRow">
      <w:rPr>
        <w:rFonts w:ascii="Arial" w:hAnsi="Arial"/>
        <w:color w:val="F2F2F2"/>
        <w:sz w:val="22"/>
      </w:rPr>
      <w:tcPr>
        <w:shd w:val="clear" w:color="B2A1C6" w:fill="B2A1C6" w:themeFill="accent4" w:themeFillTint="9A" w:themeColor="accent4" w:themeTint="9A"/>
      </w:tcPr>
    </w:tblStylePr>
    <w:tblStylePr w:type="lastCol">
      <w:rPr>
        <w:rFonts w:ascii="Arial" w:hAnsi="Arial"/>
        <w:color w:val="F2F2F2"/>
        <w:sz w:val="22"/>
      </w:rPr>
      <w:tcPr>
        <w:shd w:val="clear" w:color="B2A1C6" w:fill="B2A1C6" w:themeFill="accent4" w:themeFillTint="9A" w:themeColor="accent4" w:themeTint="9A"/>
      </w:tcPr>
    </w:tblStylePr>
    <w:tblStylePr w:type="lastRow">
      <w:rPr>
        <w:rFonts w:ascii="Arial" w:hAnsi="Arial"/>
        <w:color w:val="F2F2F2"/>
        <w:sz w:val="22"/>
      </w:rPr>
      <w:tcPr>
        <w:shd w:val="clear" w:color="B2A1C6" w:fill="B2A1C6" w:themeFill="accent4" w:themeFillTint="9A" w:themeColor="accent4" w:themeTint="9A"/>
      </w:tcPr>
    </w:tblStylePr>
  </w:style>
  <w:style w:type="table" w:styleId="803" w:customStyle="1">
    <w:name w:val="Lined - Accent 5"/>
    <w:basedOn w:val="651"/>
    <w:uiPriority w:val="99"/>
    <w:rPr>
      <w:color w:val="404040"/>
      <w:sz w:val="20"/>
      <w:szCs w:val="20"/>
      <w:lang w:val="de-DE"/>
    </w:rPr>
    <w:pPr>
      <w:spacing w:lineRule="auto" w:line="240"/>
    </w:pPr>
    <w:tblPr>
      <w:tblStyleRowBandSize w:val="1"/>
      <w:tblStyleColBandSize w:val="1"/>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DAEEF3" w:fill="DAEEF3" w:themeFill="accent5" w:themeFillTint="34" w:themeColor="accent5" w:themeTint="34"/>
      </w:tcPr>
    </w:tblStylePr>
    <w:tblStylePr w:type="band2Vert">
      <w:rPr>
        <w:rFonts w:ascii="Arial" w:hAnsi="Arial"/>
        <w:color w:val="404040"/>
        <w:sz w:val="22"/>
      </w:rPr>
      <w:tcPr>
        <w:shd w:val="clear" w:color="DAEEF3" w:fill="DAEEF3" w:themeFill="accent5" w:themeFillTint="34" w:themeColor="accent5" w:themeTint="34"/>
      </w:tcPr>
    </w:tblStylePr>
    <w:tblStylePr w:type="firstCol">
      <w:rPr>
        <w:rFonts w:ascii="Arial" w:hAnsi="Arial"/>
        <w:color w:val="F2F2F2"/>
        <w:sz w:val="22"/>
      </w:rPr>
      <w:tcPr>
        <w:shd w:val="clear" w:color="4BACC6" w:fill="4BACC6" w:themeFill="accent5" w:themeColor="accent5"/>
      </w:tcPr>
    </w:tblStylePr>
    <w:tblStylePr w:type="firstRow">
      <w:rPr>
        <w:rFonts w:ascii="Arial" w:hAnsi="Arial"/>
        <w:color w:val="F2F2F2"/>
        <w:sz w:val="22"/>
      </w:rPr>
      <w:tcPr>
        <w:shd w:val="clear" w:color="4BACC6" w:fill="4BACC6" w:themeFill="accent5" w:themeColor="accent5"/>
      </w:tcPr>
    </w:tblStylePr>
    <w:tblStylePr w:type="lastCol">
      <w:rPr>
        <w:rFonts w:ascii="Arial" w:hAnsi="Arial"/>
        <w:color w:val="F2F2F2"/>
        <w:sz w:val="22"/>
      </w:rPr>
      <w:tcPr>
        <w:shd w:val="clear" w:color="4BACC6" w:fill="4BACC6" w:themeFill="accent5" w:themeColor="accent5"/>
      </w:tcPr>
    </w:tblStylePr>
    <w:tblStylePr w:type="lastRow">
      <w:rPr>
        <w:rFonts w:ascii="Arial" w:hAnsi="Arial"/>
        <w:color w:val="F2F2F2"/>
        <w:sz w:val="22"/>
      </w:rPr>
      <w:tcPr>
        <w:shd w:val="clear" w:color="4BACC6" w:fill="4BACC6" w:themeFill="accent5" w:themeColor="accent5"/>
      </w:tcPr>
    </w:tblStylePr>
  </w:style>
  <w:style w:type="table" w:styleId="804" w:customStyle="1">
    <w:name w:val="Lined - Accent 6"/>
    <w:basedOn w:val="651"/>
    <w:uiPriority w:val="99"/>
    <w:rPr>
      <w:color w:val="404040"/>
      <w:sz w:val="20"/>
      <w:szCs w:val="20"/>
      <w:lang w:val="de-DE"/>
    </w:rPr>
    <w:pPr>
      <w:spacing w:lineRule="auto" w:line="240"/>
    </w:pPr>
    <w:tblPr>
      <w:tblStyleRowBandSize w:val="1"/>
      <w:tblStyleColBandSize w:val="1"/>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DE9D8" w:fill="FDE9D8" w:themeFill="accent6" w:themeFillTint="34" w:themeColor="accent6" w:themeTint="34"/>
      </w:tcPr>
    </w:tblStylePr>
    <w:tblStylePr w:type="band2Vert">
      <w:rPr>
        <w:rFonts w:ascii="Arial" w:hAnsi="Arial"/>
        <w:color w:val="404040"/>
        <w:sz w:val="22"/>
      </w:rPr>
      <w:tcPr>
        <w:shd w:val="clear" w:color="FDE9D8" w:fill="FDE9D8" w:themeFill="accent6" w:themeFillTint="34" w:themeColor="accent6" w:themeTint="34"/>
      </w:tcPr>
    </w:tblStylePr>
    <w:tblStylePr w:type="firstCol">
      <w:rPr>
        <w:rFonts w:ascii="Arial" w:hAnsi="Arial"/>
        <w:color w:val="F2F2F2"/>
        <w:sz w:val="22"/>
      </w:rPr>
      <w:tcPr>
        <w:shd w:val="clear" w:color="F79646" w:fill="F79646" w:themeFill="accent6" w:themeColor="accent6"/>
      </w:tcPr>
    </w:tblStylePr>
    <w:tblStylePr w:type="firstRow">
      <w:rPr>
        <w:rFonts w:ascii="Arial" w:hAnsi="Arial"/>
        <w:color w:val="F2F2F2"/>
        <w:sz w:val="22"/>
      </w:rPr>
      <w:tcPr>
        <w:shd w:val="clear" w:color="F79646" w:fill="F79646" w:themeFill="accent6" w:themeColor="accent6"/>
      </w:tcPr>
    </w:tblStylePr>
    <w:tblStylePr w:type="lastCol">
      <w:rPr>
        <w:rFonts w:ascii="Arial" w:hAnsi="Arial"/>
        <w:color w:val="F2F2F2"/>
        <w:sz w:val="22"/>
      </w:rPr>
      <w:tcPr>
        <w:shd w:val="clear" w:color="F79646" w:fill="F79646" w:themeFill="accent6" w:themeColor="accent6"/>
      </w:tcPr>
    </w:tblStylePr>
    <w:tblStylePr w:type="lastRow">
      <w:rPr>
        <w:rFonts w:ascii="Arial" w:hAnsi="Arial"/>
        <w:color w:val="F2F2F2"/>
        <w:sz w:val="22"/>
      </w:rPr>
      <w:tcPr>
        <w:shd w:val="clear" w:color="F79646" w:fill="F79646" w:themeFill="accent6" w:themeColor="accent6"/>
      </w:tcPr>
    </w:tblStylePr>
  </w:style>
  <w:style w:type="table" w:styleId="805" w:customStyle="1">
    <w:name w:val="Bordered &amp; Lined - Accent"/>
    <w:basedOn w:val="651"/>
    <w:uiPriority w:val="99"/>
    <w:rPr>
      <w:color w:val="404040"/>
      <w:sz w:val="20"/>
      <w:szCs w:val="20"/>
      <w:lang w:val="de-DE"/>
    </w:rPr>
    <w:pPr>
      <w:spacing w:lineRule="auto" w:line="240"/>
    </w:pPr>
    <w:tblPr>
      <w:tblStyleRowBandSize w:val="1"/>
      <w:tblStyleColBandSize w:val="1"/>
      <w:tblBorders>
        <w:left w:val="single" w:color="595959" w:sz="4" w:space="0" w:themeColor="text1" w:themeTint="A6"/>
        <w:top w:val="single" w:color="595959" w:sz="4" w:space="0" w:themeColor="text1" w:themeTint="A6"/>
        <w:right w:val="single" w:color="595959" w:sz="4" w:space="0" w:themeColor="text1" w:themeTint="A6"/>
        <w:bottom w:val="single" w:color="595959" w:sz="4" w:space="0" w:themeColor="text1" w:themeTint="A6"/>
        <w:insideV w:val="single" w:color="595959" w:sz="4" w:space="0" w:themeColor="text1" w:themeTint="A6"/>
        <w:insideH w:val="single" w:color="595959" w:sz="4" w:space="0" w:themeColor="text1" w:themeTint="A6"/>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2F2F2" w:fill="F2F2F2" w:themeFill="text1" w:themeFillTint="0D" w:themeColor="text1" w:themeTint="0D"/>
      </w:tcPr>
    </w:tblStylePr>
    <w:tblStylePr w:type="band2Vert">
      <w:rPr>
        <w:rFonts w:ascii="Arial" w:hAnsi="Arial"/>
        <w:color w:val="404040"/>
        <w:sz w:val="22"/>
      </w:rPr>
      <w:tcPr>
        <w:shd w:val="clear" w:color="F2F2F2" w:fill="F2F2F2" w:themeFill="text1" w:themeFillTint="0D" w:themeColor="text1" w:themeTint="0D"/>
      </w:tcPr>
    </w:tblStylePr>
    <w:tblStylePr w:type="firstCol">
      <w:rPr>
        <w:rFonts w:ascii="Arial" w:hAnsi="Arial"/>
        <w:color w:val="F2F2F2"/>
        <w:sz w:val="22"/>
      </w:rPr>
      <w:tcPr>
        <w:shd w:val="clear" w:color="7F7F7F" w:fill="7F7F7F" w:themeFill="text1" w:themeFillTint="80" w:themeColor="text1" w:themeTint="80"/>
      </w:tcPr>
    </w:tblStylePr>
    <w:tblStylePr w:type="firstRow">
      <w:rPr>
        <w:rFonts w:ascii="Arial" w:hAnsi="Arial"/>
        <w:color w:val="F2F2F2"/>
        <w:sz w:val="22"/>
      </w:rPr>
      <w:tcPr>
        <w:shd w:val="clear" w:color="7F7F7F" w:fill="7F7F7F" w:themeFill="text1" w:themeFillTint="80" w:themeColor="text1" w:themeTint="80"/>
      </w:tcPr>
    </w:tblStylePr>
    <w:tblStylePr w:type="lastCol">
      <w:rPr>
        <w:rFonts w:ascii="Arial" w:hAnsi="Arial"/>
        <w:color w:val="F2F2F2"/>
        <w:sz w:val="22"/>
      </w:rPr>
      <w:tcPr>
        <w:shd w:val="clear" w:color="7F7F7F" w:fill="7F7F7F" w:themeFill="text1" w:themeFillTint="80" w:themeColor="text1" w:themeTint="80"/>
      </w:tcPr>
    </w:tblStylePr>
    <w:tblStylePr w:type="lastRow">
      <w:rPr>
        <w:rFonts w:ascii="Arial" w:hAnsi="Arial"/>
        <w:color w:val="F2F2F2"/>
        <w:sz w:val="22"/>
      </w:rPr>
      <w:tcPr>
        <w:shd w:val="clear" w:color="7F7F7F" w:fill="7F7F7F" w:themeFill="text1" w:themeFillTint="80" w:themeColor="text1" w:themeTint="80"/>
      </w:tcPr>
    </w:tblStylePr>
  </w:style>
  <w:style w:type="table" w:styleId="806" w:customStyle="1">
    <w:name w:val="Bordered &amp; Lined - Accent 1"/>
    <w:basedOn w:val="651"/>
    <w:uiPriority w:val="99"/>
    <w:rPr>
      <w:color w:val="404040"/>
      <w:sz w:val="20"/>
      <w:szCs w:val="20"/>
      <w:lang w:val="de-DE"/>
    </w:rPr>
    <w:pPr>
      <w:spacing w:lineRule="auto" w:line="240"/>
    </w:pPr>
    <w:tblPr>
      <w:tblStyleRowBandSize w:val="1"/>
      <w:tblStyleColBandSize w:val="1"/>
      <w:tblBorders>
        <w:left w:val="single" w:color="2A4A71" w:sz="4" w:space="0" w:themeColor="accent1" w:themeShade="95"/>
        <w:top w:val="single" w:color="2A4A71" w:sz="4" w:space="0" w:themeColor="accent1" w:themeShade="95"/>
        <w:right w:val="single" w:color="2A4A71" w:sz="4" w:space="0" w:themeColor="accent1" w:themeShade="95"/>
        <w:bottom w:val="single" w:color="2A4A71" w:sz="4" w:space="0" w:themeColor="accent1" w:themeShade="95"/>
        <w:insideV w:val="single" w:color="2A4A71" w:sz="4" w:space="0" w:themeColor="accent1" w:themeShade="95"/>
        <w:insideH w:val="single" w:color="2A4A71" w:sz="4" w:space="0" w:themeColor="accent1" w:themeShade="95"/>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C7D7EA" w:fill="C7D7EA" w:themeFill="accent1" w:themeFillTint="50" w:themeColor="accent1" w:themeTint="50"/>
      </w:tcPr>
    </w:tblStylePr>
    <w:tblStylePr w:type="band2Vert">
      <w:rPr>
        <w:rFonts w:ascii="Arial" w:hAnsi="Arial"/>
        <w:color w:val="404040"/>
        <w:sz w:val="22"/>
      </w:rPr>
      <w:tcPr>
        <w:shd w:val="clear" w:color="C7D7EA" w:fill="C7D7EA" w:themeFill="accent1" w:themeFillTint="50" w:themeColor="accent1" w:themeTint="50"/>
      </w:tcPr>
    </w:tblStylePr>
    <w:tblStylePr w:type="firstCol">
      <w:rPr>
        <w:rFonts w:ascii="Arial" w:hAnsi="Arial"/>
        <w:color w:val="F2F2F2"/>
        <w:sz w:val="22"/>
      </w:rPr>
      <w:tcPr>
        <w:shd w:val="clear" w:color="5D8AC2" w:fill="5D8AC2" w:themeFill="accent1" w:themeFillTint="EA" w:themeColor="accent1" w:themeTint="EA"/>
      </w:tcPr>
    </w:tblStylePr>
    <w:tblStylePr w:type="firstRow">
      <w:rPr>
        <w:rFonts w:ascii="Arial" w:hAnsi="Arial"/>
        <w:color w:val="F2F2F2"/>
        <w:sz w:val="22"/>
      </w:rPr>
      <w:tcPr>
        <w:shd w:val="clear" w:color="5D8AC2" w:fill="5D8AC2" w:themeFill="accent1" w:themeFillTint="EA" w:themeColor="accent1" w:themeTint="EA"/>
      </w:tcPr>
    </w:tblStylePr>
    <w:tblStylePr w:type="lastCol">
      <w:rPr>
        <w:rFonts w:ascii="Arial" w:hAnsi="Arial"/>
        <w:color w:val="F2F2F2"/>
        <w:sz w:val="22"/>
      </w:rPr>
      <w:tcPr>
        <w:shd w:val="clear" w:color="5D8AC2" w:fill="5D8AC2" w:themeFill="accent1" w:themeFillTint="EA" w:themeColor="accent1" w:themeTint="EA"/>
      </w:tcPr>
    </w:tblStylePr>
    <w:tblStylePr w:type="lastRow">
      <w:rPr>
        <w:rFonts w:ascii="Arial" w:hAnsi="Arial"/>
        <w:color w:val="F2F2F2"/>
        <w:sz w:val="22"/>
      </w:rPr>
      <w:tcPr>
        <w:shd w:val="clear" w:color="5D8AC2" w:fill="5D8AC2" w:themeFill="accent1" w:themeFillTint="EA" w:themeColor="accent1" w:themeTint="EA"/>
      </w:tcPr>
    </w:tblStylePr>
  </w:style>
  <w:style w:type="table" w:styleId="807" w:customStyle="1">
    <w:name w:val="Bordered &amp; Lined - Accent 2"/>
    <w:basedOn w:val="651"/>
    <w:uiPriority w:val="99"/>
    <w:rPr>
      <w:color w:val="404040"/>
      <w:sz w:val="20"/>
      <w:szCs w:val="20"/>
      <w:lang w:val="de-DE"/>
    </w:rPr>
    <w:pPr>
      <w:spacing w:lineRule="auto" w:line="240"/>
    </w:pPr>
    <w:tblPr>
      <w:tblStyleRowBandSize w:val="1"/>
      <w:tblStyleColBandSize w:val="1"/>
      <w:tblBorders>
        <w:left w:val="single" w:color="732A29" w:sz="4" w:space="0" w:themeColor="accent2" w:themeShade="95"/>
        <w:top w:val="single" w:color="732A29" w:sz="4" w:space="0" w:themeColor="accent2" w:themeShade="95"/>
        <w:right w:val="single" w:color="732A29" w:sz="4" w:space="0" w:themeColor="accent2" w:themeShade="95"/>
        <w:bottom w:val="single" w:color="732A29" w:sz="4" w:space="0" w:themeColor="accent2" w:themeShade="95"/>
        <w:insideV w:val="single" w:color="732A29" w:sz="4" w:space="0" w:themeColor="accent2" w:themeShade="95"/>
        <w:insideH w:val="single" w:color="732A29" w:sz="4" w:space="0" w:themeColor="accent2" w:themeShade="95"/>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2DCDC" w:fill="F2DCDC" w:themeFill="accent2" w:themeFillTint="32" w:themeColor="accent2" w:themeTint="32"/>
      </w:tcPr>
    </w:tblStylePr>
    <w:tblStylePr w:type="band2Vert">
      <w:rPr>
        <w:rFonts w:ascii="Arial" w:hAnsi="Arial"/>
        <w:color w:val="404040"/>
        <w:sz w:val="22"/>
      </w:rPr>
      <w:tcPr>
        <w:shd w:val="clear" w:color="F2DCDC" w:fill="F2DCDC" w:themeFill="accent2" w:themeFillTint="32" w:themeColor="accent2" w:themeTint="32"/>
      </w:tcPr>
    </w:tblStylePr>
    <w:tblStylePr w:type="firstCol">
      <w:rPr>
        <w:rFonts w:ascii="Arial" w:hAnsi="Arial"/>
        <w:color w:val="F2F2F2"/>
        <w:sz w:val="22"/>
      </w:rPr>
      <w:tcPr>
        <w:shd w:val="clear" w:color="D99695" w:fill="D99695" w:themeFill="accent2" w:themeFillTint="97" w:themeColor="accent2" w:themeTint="97"/>
      </w:tcPr>
    </w:tblStylePr>
    <w:tblStylePr w:type="firstRow">
      <w:rPr>
        <w:rFonts w:ascii="Arial" w:hAnsi="Arial"/>
        <w:color w:val="F2F2F2"/>
        <w:sz w:val="22"/>
      </w:rPr>
      <w:tcPr>
        <w:shd w:val="clear" w:color="D99695" w:fill="D99695" w:themeFill="accent2" w:themeFillTint="97" w:themeColor="accent2" w:themeTint="97"/>
      </w:tcPr>
    </w:tblStylePr>
    <w:tblStylePr w:type="lastCol">
      <w:rPr>
        <w:rFonts w:ascii="Arial" w:hAnsi="Arial"/>
        <w:color w:val="F2F2F2"/>
        <w:sz w:val="22"/>
      </w:rPr>
      <w:tcPr>
        <w:shd w:val="clear" w:color="D99695" w:fill="D99695" w:themeFill="accent2" w:themeFillTint="97" w:themeColor="accent2" w:themeTint="97"/>
      </w:tcPr>
    </w:tblStylePr>
    <w:tblStylePr w:type="lastRow">
      <w:rPr>
        <w:rFonts w:ascii="Arial" w:hAnsi="Arial"/>
        <w:color w:val="F2F2F2"/>
        <w:sz w:val="22"/>
      </w:rPr>
      <w:tcPr>
        <w:shd w:val="clear" w:color="D99695" w:fill="D99695" w:themeFill="accent2" w:themeFillTint="97" w:themeColor="accent2" w:themeTint="97"/>
      </w:tcPr>
    </w:tblStylePr>
  </w:style>
  <w:style w:type="table" w:styleId="808" w:customStyle="1">
    <w:name w:val="Bordered &amp; Lined - Accent 3"/>
    <w:basedOn w:val="651"/>
    <w:uiPriority w:val="99"/>
    <w:rPr>
      <w:color w:val="404040"/>
      <w:sz w:val="20"/>
      <w:szCs w:val="20"/>
      <w:lang w:val="de-DE"/>
    </w:rPr>
    <w:pPr>
      <w:spacing w:lineRule="auto" w:line="240"/>
    </w:pPr>
    <w:tblPr>
      <w:tblStyleRowBandSize w:val="1"/>
      <w:tblStyleColBandSize w:val="1"/>
      <w:tblBorders>
        <w:left w:val="single" w:color="5B722E" w:sz="4" w:space="0" w:themeColor="accent3" w:themeShade="95"/>
        <w:top w:val="single" w:color="5B722E" w:sz="4" w:space="0" w:themeColor="accent3" w:themeShade="95"/>
        <w:right w:val="single" w:color="5B722E" w:sz="4" w:space="0" w:themeColor="accent3" w:themeShade="95"/>
        <w:bottom w:val="single" w:color="5B722E" w:sz="4" w:space="0" w:themeColor="accent3" w:themeShade="95"/>
        <w:insideV w:val="single" w:color="5B722E" w:sz="4" w:space="0" w:themeColor="accent3" w:themeShade="95"/>
        <w:insideH w:val="single" w:color="5B722E" w:sz="4" w:space="0" w:themeColor="accent3" w:themeShade="95"/>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EAF1DC" w:fill="EAF1DC" w:themeFill="accent3" w:themeFillTint="34" w:themeColor="accent3" w:themeTint="34"/>
      </w:tcPr>
    </w:tblStylePr>
    <w:tblStylePr w:type="band2Vert">
      <w:rPr>
        <w:rFonts w:ascii="Arial" w:hAnsi="Arial"/>
        <w:color w:val="404040"/>
        <w:sz w:val="22"/>
      </w:rPr>
      <w:tcPr>
        <w:shd w:val="clear" w:color="EAF1DC" w:fill="EAF1DC" w:themeFill="accent3" w:themeFillTint="34" w:themeColor="accent3" w:themeTint="34"/>
      </w:tcPr>
    </w:tblStylePr>
    <w:tblStylePr w:type="firstCol">
      <w:rPr>
        <w:rFonts w:ascii="Arial" w:hAnsi="Arial"/>
        <w:color w:val="F2F2F2"/>
        <w:sz w:val="22"/>
      </w:rPr>
      <w:tcPr>
        <w:shd w:val="clear" w:color="9ABB59" w:fill="9ABB59" w:themeFill="accent3" w:themeFillTint="FE" w:themeColor="accent3" w:themeTint="FE"/>
      </w:tcPr>
    </w:tblStylePr>
    <w:tblStylePr w:type="firstRow">
      <w:rPr>
        <w:rFonts w:ascii="Arial" w:hAnsi="Arial"/>
        <w:color w:val="F2F2F2"/>
        <w:sz w:val="22"/>
      </w:rPr>
      <w:tcPr>
        <w:shd w:val="clear" w:color="9ABB59" w:fill="9ABB59" w:themeFill="accent3" w:themeFillTint="FE" w:themeColor="accent3" w:themeTint="FE"/>
      </w:tcPr>
    </w:tblStylePr>
    <w:tblStylePr w:type="lastCol">
      <w:rPr>
        <w:rFonts w:ascii="Arial" w:hAnsi="Arial"/>
        <w:color w:val="F2F2F2"/>
        <w:sz w:val="22"/>
      </w:rPr>
      <w:tcPr>
        <w:shd w:val="clear" w:color="9ABB59" w:fill="9ABB59" w:themeFill="accent3" w:themeFillTint="FE" w:themeColor="accent3" w:themeTint="FE"/>
      </w:tcPr>
    </w:tblStylePr>
    <w:tblStylePr w:type="lastRow">
      <w:rPr>
        <w:rFonts w:ascii="Arial" w:hAnsi="Arial"/>
        <w:color w:val="F2F2F2"/>
        <w:sz w:val="22"/>
      </w:rPr>
      <w:tcPr>
        <w:shd w:val="clear" w:color="9ABB59" w:fill="9ABB59" w:themeFill="accent3" w:themeFillTint="FE" w:themeColor="accent3" w:themeTint="FE"/>
      </w:tcPr>
    </w:tblStylePr>
  </w:style>
  <w:style w:type="table" w:styleId="809" w:customStyle="1">
    <w:name w:val="Bordered &amp; Lined - Accent 4"/>
    <w:basedOn w:val="651"/>
    <w:uiPriority w:val="99"/>
    <w:rPr>
      <w:color w:val="404040"/>
      <w:sz w:val="20"/>
      <w:szCs w:val="20"/>
      <w:lang w:val="de-DE"/>
    </w:rPr>
    <w:pPr>
      <w:spacing w:lineRule="auto" w:line="240"/>
    </w:pPr>
    <w:tblPr>
      <w:tblStyleRowBandSize w:val="1"/>
      <w:tblStyleColBandSize w:val="1"/>
      <w:tblBorders>
        <w:left w:val="single" w:color="4A395F" w:sz="4" w:space="0" w:themeColor="accent4" w:themeShade="95"/>
        <w:top w:val="single" w:color="4A395F" w:sz="4" w:space="0" w:themeColor="accent4" w:themeShade="95"/>
        <w:right w:val="single" w:color="4A395F" w:sz="4" w:space="0" w:themeColor="accent4" w:themeShade="95"/>
        <w:bottom w:val="single" w:color="4A395F" w:sz="4" w:space="0" w:themeColor="accent4" w:themeShade="95"/>
        <w:insideV w:val="single" w:color="4A395F" w:sz="4" w:space="0" w:themeColor="accent4" w:themeShade="95"/>
        <w:insideH w:val="single" w:color="4A395F" w:sz="4" w:space="0" w:themeColor="accent4" w:themeShade="95"/>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E5DFEC" w:fill="E5DFEC" w:themeFill="accent4" w:themeFillTint="34" w:themeColor="accent4" w:themeTint="34"/>
      </w:tcPr>
    </w:tblStylePr>
    <w:tblStylePr w:type="band2Vert">
      <w:rPr>
        <w:rFonts w:ascii="Arial" w:hAnsi="Arial"/>
        <w:color w:val="404040"/>
        <w:sz w:val="22"/>
      </w:rPr>
      <w:tcPr>
        <w:shd w:val="clear" w:color="E5DFEC" w:fill="E5DFEC" w:themeFill="accent4" w:themeFillTint="34" w:themeColor="accent4" w:themeTint="34"/>
      </w:tcPr>
    </w:tblStylePr>
    <w:tblStylePr w:type="firstCol">
      <w:rPr>
        <w:rFonts w:ascii="Arial" w:hAnsi="Arial"/>
        <w:color w:val="F2F2F2"/>
        <w:sz w:val="22"/>
      </w:rPr>
      <w:tcPr>
        <w:shd w:val="clear" w:color="B2A1C6" w:fill="B2A1C6" w:themeFill="accent4" w:themeFillTint="9A" w:themeColor="accent4" w:themeTint="9A"/>
      </w:tcPr>
    </w:tblStylePr>
    <w:tblStylePr w:type="firstRow">
      <w:rPr>
        <w:rFonts w:ascii="Arial" w:hAnsi="Arial"/>
        <w:color w:val="F2F2F2"/>
        <w:sz w:val="22"/>
      </w:rPr>
      <w:tcPr>
        <w:shd w:val="clear" w:color="B2A1C6" w:fill="B2A1C6" w:themeFill="accent4" w:themeFillTint="9A" w:themeColor="accent4" w:themeTint="9A"/>
      </w:tcPr>
    </w:tblStylePr>
    <w:tblStylePr w:type="lastCol">
      <w:rPr>
        <w:rFonts w:ascii="Arial" w:hAnsi="Arial"/>
        <w:color w:val="F2F2F2"/>
        <w:sz w:val="22"/>
      </w:rPr>
      <w:tcPr>
        <w:shd w:val="clear" w:color="B2A1C6" w:fill="B2A1C6" w:themeFill="accent4" w:themeFillTint="9A" w:themeColor="accent4" w:themeTint="9A"/>
      </w:tcPr>
    </w:tblStylePr>
    <w:tblStylePr w:type="lastRow">
      <w:rPr>
        <w:rFonts w:ascii="Arial" w:hAnsi="Arial"/>
        <w:color w:val="F2F2F2"/>
        <w:sz w:val="22"/>
      </w:rPr>
      <w:tcPr>
        <w:shd w:val="clear" w:color="B2A1C6" w:fill="B2A1C6" w:themeFill="accent4" w:themeFillTint="9A" w:themeColor="accent4" w:themeTint="9A"/>
      </w:tcPr>
    </w:tblStylePr>
  </w:style>
  <w:style w:type="table" w:styleId="810" w:customStyle="1">
    <w:name w:val="Bordered &amp; Lined - Accent 5"/>
    <w:basedOn w:val="651"/>
    <w:uiPriority w:val="99"/>
    <w:rPr>
      <w:color w:val="404040"/>
      <w:sz w:val="20"/>
      <w:szCs w:val="20"/>
      <w:lang w:val="de-DE"/>
    </w:rPr>
    <w:pPr>
      <w:spacing w:lineRule="auto" w:line="240"/>
    </w:pPr>
    <w:tblPr>
      <w:tblStyleRowBandSize w:val="1"/>
      <w:tblStyleColBandSize w:val="1"/>
      <w:tblBorders>
        <w:left w:val="single" w:color="266779" w:sz="4" w:space="0" w:themeColor="accent5" w:themeShade="95"/>
        <w:top w:val="single" w:color="266779" w:sz="4" w:space="0" w:themeColor="accent5" w:themeShade="95"/>
        <w:right w:val="single" w:color="266779" w:sz="4" w:space="0" w:themeColor="accent5" w:themeShade="95"/>
        <w:bottom w:val="single" w:color="266779" w:sz="4" w:space="0" w:themeColor="accent5" w:themeShade="95"/>
        <w:insideV w:val="single" w:color="266779" w:sz="4" w:space="0" w:themeColor="accent5" w:themeShade="95"/>
        <w:insideH w:val="single" w:color="266779" w:sz="4" w:space="0" w:themeColor="accent5" w:themeShade="95"/>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DAEEF3" w:fill="DAEEF3" w:themeFill="accent5" w:themeFillTint="34" w:themeColor="accent5" w:themeTint="34"/>
      </w:tcPr>
    </w:tblStylePr>
    <w:tblStylePr w:type="band2Vert">
      <w:rPr>
        <w:rFonts w:ascii="Arial" w:hAnsi="Arial"/>
        <w:color w:val="404040"/>
        <w:sz w:val="22"/>
      </w:rPr>
      <w:tcPr>
        <w:shd w:val="clear" w:color="DAEEF3" w:fill="DAEEF3" w:themeFill="accent5" w:themeFillTint="34" w:themeColor="accent5" w:themeTint="34"/>
      </w:tcPr>
    </w:tblStylePr>
    <w:tblStylePr w:type="firstCol">
      <w:rPr>
        <w:rFonts w:ascii="Arial" w:hAnsi="Arial"/>
        <w:color w:val="F2F2F2"/>
        <w:sz w:val="22"/>
      </w:rPr>
      <w:tcPr>
        <w:shd w:val="clear" w:color="4BACC6" w:fill="4BACC6" w:themeFill="accent5" w:themeColor="accent5"/>
      </w:tcPr>
    </w:tblStylePr>
    <w:tblStylePr w:type="firstRow">
      <w:rPr>
        <w:rFonts w:ascii="Arial" w:hAnsi="Arial"/>
        <w:color w:val="F2F2F2"/>
        <w:sz w:val="22"/>
      </w:rPr>
      <w:tcPr>
        <w:shd w:val="clear" w:color="4BACC6" w:fill="4BACC6" w:themeFill="accent5" w:themeColor="accent5"/>
      </w:tcPr>
    </w:tblStylePr>
    <w:tblStylePr w:type="lastCol">
      <w:rPr>
        <w:rFonts w:ascii="Arial" w:hAnsi="Arial"/>
        <w:color w:val="F2F2F2"/>
        <w:sz w:val="22"/>
      </w:rPr>
      <w:tcPr>
        <w:shd w:val="clear" w:color="4BACC6" w:fill="4BACC6" w:themeFill="accent5" w:themeColor="accent5"/>
      </w:tcPr>
    </w:tblStylePr>
    <w:tblStylePr w:type="lastRow">
      <w:rPr>
        <w:rFonts w:ascii="Arial" w:hAnsi="Arial"/>
        <w:color w:val="F2F2F2"/>
        <w:sz w:val="22"/>
      </w:rPr>
      <w:tcPr>
        <w:shd w:val="clear" w:color="4BACC6" w:fill="4BACC6" w:themeFill="accent5" w:themeColor="accent5"/>
      </w:tcPr>
    </w:tblStylePr>
  </w:style>
  <w:style w:type="table" w:styleId="811" w:customStyle="1">
    <w:name w:val="Bordered &amp; Lined - Accent 6"/>
    <w:basedOn w:val="651"/>
    <w:uiPriority w:val="99"/>
    <w:rPr>
      <w:color w:val="404040"/>
      <w:sz w:val="20"/>
      <w:szCs w:val="20"/>
      <w:lang w:val="de-DE"/>
    </w:rPr>
    <w:pPr>
      <w:spacing w:lineRule="auto" w:line="240"/>
    </w:pPr>
    <w:tblPr>
      <w:tblStyleRowBandSize w:val="1"/>
      <w:tblStyleColBandSize w:val="1"/>
      <w:tblBorders>
        <w:left w:val="single" w:color="B15407" w:sz="4" w:space="0" w:themeColor="accent6" w:themeShade="95"/>
        <w:top w:val="single" w:color="B15407" w:sz="4" w:space="0" w:themeColor="accent6" w:themeShade="95"/>
        <w:right w:val="single" w:color="B15407" w:sz="4" w:space="0" w:themeColor="accent6" w:themeShade="95"/>
        <w:bottom w:val="single" w:color="B15407" w:sz="4" w:space="0" w:themeColor="accent6" w:themeShade="95"/>
        <w:insideV w:val="single" w:color="B15407" w:sz="4" w:space="0" w:themeColor="accent6" w:themeShade="95"/>
        <w:insideH w:val="single" w:color="B15407" w:sz="4" w:space="0" w:themeColor="accent6" w:themeShade="95"/>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DE9D8" w:fill="FDE9D8" w:themeFill="accent6" w:themeFillTint="34" w:themeColor="accent6" w:themeTint="34"/>
      </w:tcPr>
    </w:tblStylePr>
    <w:tblStylePr w:type="band2Vert">
      <w:rPr>
        <w:rFonts w:ascii="Arial" w:hAnsi="Arial"/>
        <w:color w:val="404040"/>
        <w:sz w:val="22"/>
      </w:rPr>
      <w:tcPr>
        <w:shd w:val="clear" w:color="FDE9D8" w:fill="FDE9D8" w:themeFill="accent6" w:themeFillTint="34" w:themeColor="accent6" w:themeTint="34"/>
      </w:tcPr>
    </w:tblStylePr>
    <w:tblStylePr w:type="firstCol">
      <w:rPr>
        <w:rFonts w:ascii="Arial" w:hAnsi="Arial"/>
        <w:color w:val="F2F2F2"/>
        <w:sz w:val="22"/>
      </w:rPr>
      <w:tcPr>
        <w:shd w:val="clear" w:color="F79646" w:fill="F79646" w:themeFill="accent6" w:themeColor="accent6"/>
      </w:tcPr>
    </w:tblStylePr>
    <w:tblStylePr w:type="firstRow">
      <w:rPr>
        <w:rFonts w:ascii="Arial" w:hAnsi="Arial"/>
        <w:color w:val="F2F2F2"/>
        <w:sz w:val="22"/>
      </w:rPr>
      <w:tcPr>
        <w:shd w:val="clear" w:color="F79646" w:fill="F79646" w:themeFill="accent6" w:themeColor="accent6"/>
      </w:tcPr>
    </w:tblStylePr>
    <w:tblStylePr w:type="lastCol">
      <w:rPr>
        <w:rFonts w:ascii="Arial" w:hAnsi="Arial"/>
        <w:color w:val="F2F2F2"/>
        <w:sz w:val="22"/>
      </w:rPr>
      <w:tcPr>
        <w:shd w:val="clear" w:color="F79646" w:fill="F79646" w:themeFill="accent6" w:themeColor="accent6"/>
      </w:tcPr>
    </w:tblStylePr>
    <w:tblStylePr w:type="lastRow">
      <w:rPr>
        <w:rFonts w:ascii="Arial" w:hAnsi="Arial"/>
        <w:color w:val="F2F2F2"/>
        <w:sz w:val="22"/>
      </w:rPr>
      <w:tcPr>
        <w:shd w:val="clear" w:color="F79646" w:fill="F79646" w:themeFill="accent6" w:themeColor="accent6"/>
      </w:tcPr>
    </w:tblStylePr>
  </w:style>
  <w:style w:type="table" w:styleId="812" w:customStyle="1">
    <w:name w:val="Bordered"/>
    <w:basedOn w:val="651"/>
    <w:uiPriority w:val="99"/>
    <w:pPr>
      <w:spacing w:lineRule="auto" w:line="240"/>
    </w:pPr>
    <w:tblPr>
      <w:tblStyleRowBandSize w:val="1"/>
      <w:tblStyleColBandSize w:val="1"/>
      <w:tblBorders>
        <w:left w:val="single" w:color="D9D9D9" w:sz="4" w:space="0" w:themeColor="text1" w:themeTint="26"/>
        <w:top w:val="single" w:color="D9D9D9" w:sz="4" w:space="0" w:themeColor="text1" w:themeTint="26"/>
        <w:right w:val="single" w:color="D9D9D9" w:sz="4" w:space="0" w:themeColor="text1" w:themeTint="26"/>
        <w:bottom w:val="single" w:color="D9D9D9" w:sz="4" w:space="0" w:themeColor="text1" w:themeTint="26"/>
        <w:insideV w:val="single" w:color="D9D9D9" w:sz="4" w:space="0" w:themeColor="text1" w:themeTint="26"/>
        <w:insideH w:val="single" w:color="D9D9D9" w:sz="4" w:space="0" w:themeColor="text1" w:themeTint="26"/>
      </w:tblBorders>
    </w:tblPr>
    <w:tblStylePr w:type="band1Horz">
      <w:rPr>
        <w:rFonts w:ascii="Arial" w:hAnsi="Arial"/>
        <w:color w:val="404040"/>
        <w:sz w:val="22"/>
      </w:rPr>
      <w:tcPr>
        <w:tcBorders>
          <w:left w:val="single" w:color="D9D9D9" w:sz="4" w:space="0" w:themeColor="text1" w:themeTint="26"/>
          <w:top w:val="single" w:color="D9D9D9" w:sz="4" w:space="0" w:themeColor="text1" w:themeTint="26"/>
          <w:right w:val="single" w:color="D9D9D9" w:sz="4" w:space="0" w:themeColor="text1" w:themeTint="26"/>
          <w:bottom w:val="single" w:color="D9D9D9" w:sz="4" w:space="0" w:themeColor="text1" w:themeTint="26"/>
        </w:tcBorders>
      </w:tcPr>
    </w:tblStylePr>
    <w:tblStylePr w:type="firstCol">
      <w:rPr>
        <w:rFonts w:ascii="Arial" w:hAnsi="Arial"/>
        <w:color w:val="404040"/>
        <w:sz w:val="22"/>
      </w:rPr>
    </w:tblStylePr>
    <w:tblStylePr w:type="firstRow">
      <w:rPr>
        <w:rFonts w:ascii="Arial" w:hAnsi="Arial"/>
        <w:color w:val="404040"/>
        <w:sz w:val="22"/>
      </w:rPr>
      <w:tcPr>
        <w:tcBorders>
          <w:bottom w:val="single" w:color="7F7F7F" w:sz="12" w:space="0" w:themeColor="text1" w:themeTint="80"/>
        </w:tcBorders>
      </w:tcPr>
    </w:tblStylePr>
    <w:tblStylePr w:type="lastCol">
      <w:rPr>
        <w:rFonts w:ascii="Arial" w:hAnsi="Arial"/>
        <w:color w:val="404040"/>
        <w:sz w:val="22"/>
      </w:rPr>
      <w:tcPr>
        <w:tcBorders>
          <w:left w:val="single" w:color="7F7F7F" w:sz="12" w:space="0" w:themeColor="text1" w:themeTint="80"/>
        </w:tcBorders>
      </w:tcPr>
    </w:tblStylePr>
    <w:tblStylePr w:type="lastRow">
      <w:rPr>
        <w:rFonts w:ascii="Arial" w:hAnsi="Arial"/>
        <w:color w:val="404040"/>
        <w:sz w:val="22"/>
      </w:rPr>
      <w:tcPr>
        <w:tcBorders>
          <w:top w:val="single" w:color="7F7F7F" w:sz="12" w:space="0" w:themeColor="text1" w:themeTint="80"/>
        </w:tcBorders>
      </w:tcPr>
    </w:tblStylePr>
  </w:style>
  <w:style w:type="table" w:styleId="813" w:customStyle="1">
    <w:name w:val="Bordered - Accent 1"/>
    <w:basedOn w:val="651"/>
    <w:uiPriority w:val="99"/>
    <w:pPr>
      <w:spacing w:lineRule="auto" w:line="240"/>
    </w:pPr>
    <w:tblPr>
      <w:tblStyleRowBandSize w:val="1"/>
      <w:tblStyleColBandSize w:val="1"/>
      <w:tblBorders>
        <w:left w:val="single" w:color="B7CBE4" w:sz="4" w:space="0" w:themeColor="accent1" w:themeTint="67"/>
        <w:top w:val="single" w:color="B7CBE4" w:sz="4" w:space="0" w:themeColor="accent1" w:themeTint="67"/>
        <w:right w:val="single" w:color="B7CBE4" w:sz="4" w:space="0" w:themeColor="accent1" w:themeTint="67"/>
        <w:bottom w:val="single" w:color="B7CBE4" w:sz="4" w:space="0" w:themeColor="accent1" w:themeTint="67"/>
        <w:insideV w:val="single" w:color="B7CBE4" w:sz="4" w:space="0" w:themeColor="accent1" w:themeTint="67"/>
        <w:insideH w:val="single" w:color="B7CBE4" w:sz="4" w:space="0" w:themeColor="accent1" w:themeTint="67"/>
      </w:tblBorders>
    </w:tblPr>
    <w:tblStylePr w:type="band1Horz">
      <w:rPr>
        <w:rFonts w:ascii="Arial" w:hAnsi="Arial"/>
        <w:color w:val="404040"/>
        <w:sz w:val="22"/>
      </w:rPr>
      <w:tcPr>
        <w:tcBorders>
          <w:left w:val="single" w:color="B7CBE4" w:sz="4" w:space="0" w:themeColor="accent1" w:themeTint="67"/>
          <w:top w:val="single" w:color="B7CBE4" w:sz="4" w:space="0" w:themeColor="accent1" w:themeTint="67"/>
          <w:right w:val="single" w:color="B7CBE4" w:sz="4" w:space="0" w:themeColor="accent1" w:themeTint="67"/>
          <w:bottom w:val="single" w:color="B7CBE4" w:sz="4" w:space="0" w:themeColor="accent1" w:themeTint="67"/>
        </w:tcBorders>
      </w:tcPr>
    </w:tblStylePr>
    <w:tblStylePr w:type="firstCol">
      <w:rPr>
        <w:rFonts w:ascii="Arial" w:hAnsi="Arial"/>
        <w:color w:val="404040"/>
        <w:sz w:val="22"/>
      </w:rPr>
    </w:tblStylePr>
    <w:tblStylePr w:type="firstRow">
      <w:rPr>
        <w:rFonts w:ascii="Arial" w:hAnsi="Arial"/>
        <w:color w:val="404040"/>
        <w:sz w:val="22"/>
      </w:rPr>
      <w:tcPr>
        <w:tcBorders>
          <w:bottom w:val="single" w:color="4F81BD" w:sz="12" w:space="0" w:themeColor="accent1"/>
        </w:tcBorders>
      </w:tcPr>
    </w:tblStylePr>
    <w:tblStylePr w:type="lastCol">
      <w:rPr>
        <w:rFonts w:ascii="Arial" w:hAnsi="Arial"/>
        <w:color w:val="404040"/>
        <w:sz w:val="22"/>
      </w:rPr>
      <w:tcPr>
        <w:tcBorders>
          <w:left w:val="single" w:color="4F81BD" w:sz="12" w:space="0" w:themeColor="accent1"/>
        </w:tcBorders>
      </w:tcPr>
    </w:tblStylePr>
    <w:tblStylePr w:type="lastRow">
      <w:rPr>
        <w:rFonts w:ascii="Arial" w:hAnsi="Arial"/>
        <w:color w:val="404040"/>
        <w:sz w:val="22"/>
      </w:rPr>
      <w:tcPr>
        <w:tcBorders>
          <w:top w:val="single" w:color="4F81BD" w:sz="12" w:space="0" w:themeColor="accent1"/>
        </w:tcBorders>
      </w:tcPr>
    </w:tblStylePr>
  </w:style>
  <w:style w:type="table" w:styleId="814" w:customStyle="1">
    <w:name w:val="Bordered - Accent 2"/>
    <w:basedOn w:val="651"/>
    <w:uiPriority w:val="99"/>
    <w:pPr>
      <w:spacing w:lineRule="auto" w:line="240"/>
    </w:pPr>
    <w:tblPr>
      <w:tblStyleRowBandSize w:val="1"/>
      <w:tblStyleColBandSize w:val="1"/>
      <w:tblBorders>
        <w:left w:val="single" w:color="E5B7B6" w:sz="4" w:space="0" w:themeColor="accent2" w:themeTint="67"/>
        <w:top w:val="single" w:color="E5B7B6" w:sz="4" w:space="0" w:themeColor="accent2" w:themeTint="67"/>
        <w:right w:val="single" w:color="E5B7B6" w:sz="4" w:space="0" w:themeColor="accent2" w:themeTint="67"/>
        <w:bottom w:val="single" w:color="E5B7B6" w:sz="4" w:space="0" w:themeColor="accent2" w:themeTint="67"/>
        <w:insideV w:val="single" w:color="E5B7B6" w:sz="4" w:space="0" w:themeColor="accent2" w:themeTint="67"/>
        <w:insideH w:val="single" w:color="E5B7B6" w:sz="4" w:space="0" w:themeColor="accent2" w:themeTint="67"/>
      </w:tblBorders>
    </w:tblPr>
    <w:tblStylePr w:type="band1Horz">
      <w:rPr>
        <w:rFonts w:ascii="Arial" w:hAnsi="Arial"/>
        <w:color w:val="404040"/>
        <w:sz w:val="22"/>
      </w:rPr>
      <w:tcPr>
        <w:tcBorders>
          <w:left w:val="single" w:color="E5B7B6" w:sz="4" w:space="0" w:themeColor="accent2" w:themeTint="67"/>
          <w:top w:val="single" w:color="E5B7B6" w:sz="4" w:space="0" w:themeColor="accent2" w:themeTint="67"/>
          <w:right w:val="single" w:color="E5B7B6" w:sz="4" w:space="0" w:themeColor="accent2" w:themeTint="67"/>
          <w:bottom w:val="single" w:color="E5B7B6" w:sz="4" w:space="0" w:themeColor="accent2" w:themeTint="67"/>
        </w:tcBorders>
      </w:tcPr>
    </w:tblStylePr>
    <w:tblStylePr w:type="firstCol">
      <w:rPr>
        <w:rFonts w:ascii="Arial" w:hAnsi="Arial"/>
        <w:color w:val="404040"/>
        <w:sz w:val="22"/>
      </w:rPr>
    </w:tblStylePr>
    <w:tblStylePr w:type="firstRow">
      <w:rPr>
        <w:rFonts w:ascii="Arial" w:hAnsi="Arial"/>
        <w:color w:val="404040"/>
        <w:sz w:val="22"/>
      </w:rPr>
      <w:tcPr>
        <w:tcBorders>
          <w:bottom w:val="single" w:color="D99695" w:sz="12" w:space="0" w:themeColor="accent2" w:themeTint="97"/>
        </w:tcBorders>
      </w:tcPr>
    </w:tblStylePr>
    <w:tblStylePr w:type="lastCol">
      <w:rPr>
        <w:rFonts w:ascii="Arial" w:hAnsi="Arial"/>
        <w:color w:val="404040"/>
        <w:sz w:val="22"/>
      </w:rPr>
      <w:tcPr>
        <w:tcBorders>
          <w:left w:val="single" w:color="D99695" w:sz="12" w:space="0" w:themeColor="accent2" w:themeTint="97"/>
        </w:tcBorders>
      </w:tcPr>
    </w:tblStylePr>
    <w:tblStylePr w:type="lastRow">
      <w:rPr>
        <w:rFonts w:ascii="Arial" w:hAnsi="Arial"/>
        <w:color w:val="404040"/>
        <w:sz w:val="22"/>
      </w:rPr>
      <w:tcPr>
        <w:tcBorders>
          <w:top w:val="single" w:color="D99695" w:sz="12" w:space="0" w:themeColor="accent2" w:themeTint="97"/>
        </w:tcBorders>
      </w:tcPr>
    </w:tblStylePr>
  </w:style>
  <w:style w:type="table" w:styleId="815" w:customStyle="1">
    <w:name w:val="Bordered - Accent 3"/>
    <w:basedOn w:val="651"/>
    <w:uiPriority w:val="99"/>
    <w:pPr>
      <w:spacing w:lineRule="auto" w:line="240"/>
    </w:pPr>
    <w:tblPr>
      <w:tblStyleRowBandSize w:val="1"/>
      <w:tblStyleColBandSize w:val="1"/>
      <w:tblBorders>
        <w:left w:val="single" w:color="D6E3BB" w:sz="4" w:space="0" w:themeColor="accent3" w:themeTint="67"/>
        <w:top w:val="single" w:color="D6E3BB" w:sz="4" w:space="0" w:themeColor="accent3" w:themeTint="67"/>
        <w:right w:val="single" w:color="D6E3BB" w:sz="4" w:space="0" w:themeColor="accent3" w:themeTint="67"/>
        <w:bottom w:val="single" w:color="D6E3BB" w:sz="4" w:space="0" w:themeColor="accent3" w:themeTint="67"/>
        <w:insideV w:val="single" w:color="D6E3BB" w:sz="4" w:space="0" w:themeColor="accent3" w:themeTint="67"/>
        <w:insideH w:val="single" w:color="D6E3BB" w:sz="4" w:space="0" w:themeColor="accent3" w:themeTint="67"/>
      </w:tblBorders>
    </w:tblPr>
    <w:tblStylePr w:type="band1Horz">
      <w:rPr>
        <w:rFonts w:ascii="Arial" w:hAnsi="Arial"/>
        <w:color w:val="404040"/>
        <w:sz w:val="22"/>
      </w:rPr>
      <w:tcPr>
        <w:tcBorders>
          <w:left w:val="single" w:color="D6E3BB" w:sz="4" w:space="0" w:themeColor="accent3" w:themeTint="67"/>
          <w:top w:val="single" w:color="D6E3BB" w:sz="4" w:space="0" w:themeColor="accent3" w:themeTint="67"/>
          <w:right w:val="single" w:color="D6E3BB" w:sz="4" w:space="0" w:themeColor="accent3" w:themeTint="67"/>
          <w:bottom w:val="single" w:color="D6E3BB" w:sz="4" w:space="0" w:themeColor="accent3" w:themeTint="67"/>
        </w:tcBorders>
      </w:tcPr>
    </w:tblStylePr>
    <w:tblStylePr w:type="firstCol">
      <w:rPr>
        <w:rFonts w:ascii="Arial" w:hAnsi="Arial"/>
        <w:color w:val="404040"/>
        <w:sz w:val="22"/>
      </w:rPr>
    </w:tblStylePr>
    <w:tblStylePr w:type="firstRow">
      <w:rPr>
        <w:rFonts w:ascii="Arial" w:hAnsi="Arial"/>
        <w:color w:val="404040"/>
        <w:sz w:val="22"/>
      </w:rPr>
      <w:tcPr>
        <w:tcBorders>
          <w:bottom w:val="single" w:color="C3D69B" w:sz="12" w:space="0" w:themeColor="accent3" w:themeTint="98"/>
        </w:tcBorders>
      </w:tcPr>
    </w:tblStylePr>
    <w:tblStylePr w:type="lastCol">
      <w:rPr>
        <w:rFonts w:ascii="Arial" w:hAnsi="Arial"/>
        <w:color w:val="404040"/>
        <w:sz w:val="22"/>
      </w:rPr>
      <w:tcPr>
        <w:tcBorders>
          <w:left w:val="single" w:color="C3D69B" w:sz="12" w:space="0" w:themeColor="accent3" w:themeTint="98"/>
        </w:tcBorders>
      </w:tcPr>
    </w:tblStylePr>
    <w:tblStylePr w:type="lastRow">
      <w:rPr>
        <w:rFonts w:ascii="Arial" w:hAnsi="Arial"/>
        <w:color w:val="404040"/>
        <w:sz w:val="22"/>
      </w:rPr>
      <w:tcPr>
        <w:tcBorders>
          <w:top w:val="single" w:color="C3D69B" w:sz="12" w:space="0" w:themeColor="accent3" w:themeTint="98"/>
        </w:tcBorders>
      </w:tcPr>
    </w:tblStylePr>
  </w:style>
  <w:style w:type="table" w:styleId="816" w:customStyle="1">
    <w:name w:val="Bordered - Accent 4"/>
    <w:basedOn w:val="651"/>
    <w:uiPriority w:val="99"/>
    <w:pPr>
      <w:spacing w:lineRule="auto" w:line="240"/>
    </w:pPr>
    <w:tblPr>
      <w:tblStyleRowBandSize w:val="1"/>
      <w:tblStyleColBandSize w:val="1"/>
      <w:tblBorders>
        <w:left w:val="single" w:color="CBC0D9" w:sz="4" w:space="0" w:themeColor="accent4" w:themeTint="67"/>
        <w:top w:val="single" w:color="CBC0D9" w:sz="4" w:space="0" w:themeColor="accent4" w:themeTint="67"/>
        <w:right w:val="single" w:color="CBC0D9" w:sz="4" w:space="0" w:themeColor="accent4" w:themeTint="67"/>
        <w:bottom w:val="single" w:color="CBC0D9" w:sz="4" w:space="0" w:themeColor="accent4" w:themeTint="67"/>
        <w:insideV w:val="single" w:color="CBC0D9" w:sz="4" w:space="0" w:themeColor="accent4" w:themeTint="67"/>
        <w:insideH w:val="single" w:color="CBC0D9" w:sz="4" w:space="0" w:themeColor="accent4" w:themeTint="67"/>
      </w:tblBorders>
    </w:tblPr>
    <w:tblStylePr w:type="band1Horz">
      <w:rPr>
        <w:rFonts w:ascii="Arial" w:hAnsi="Arial"/>
        <w:color w:val="404040"/>
        <w:sz w:val="22"/>
      </w:rPr>
      <w:tcPr>
        <w:tcBorders>
          <w:left w:val="single" w:color="CBC0D9" w:sz="4" w:space="0" w:themeColor="accent4" w:themeTint="67"/>
          <w:top w:val="single" w:color="CBC0D9" w:sz="4" w:space="0" w:themeColor="accent4" w:themeTint="67"/>
          <w:right w:val="single" w:color="CBC0D9" w:sz="4" w:space="0" w:themeColor="accent4" w:themeTint="67"/>
          <w:bottom w:val="single" w:color="CBC0D9" w:sz="4" w:space="0" w:themeColor="accent4" w:themeTint="67"/>
        </w:tcBorders>
      </w:tcPr>
    </w:tblStylePr>
    <w:tblStylePr w:type="firstCol">
      <w:rPr>
        <w:rFonts w:ascii="Arial" w:hAnsi="Arial"/>
        <w:color w:val="404040"/>
        <w:sz w:val="22"/>
      </w:rPr>
    </w:tblStylePr>
    <w:tblStylePr w:type="firstRow">
      <w:rPr>
        <w:rFonts w:ascii="Arial" w:hAnsi="Arial"/>
        <w:color w:val="404040"/>
        <w:sz w:val="22"/>
      </w:rPr>
      <w:tcPr>
        <w:tcBorders>
          <w:bottom w:val="single" w:color="B2A1C6" w:sz="12" w:space="0" w:themeColor="accent4" w:themeTint="9A"/>
        </w:tcBorders>
      </w:tcPr>
    </w:tblStylePr>
    <w:tblStylePr w:type="lastCol">
      <w:rPr>
        <w:rFonts w:ascii="Arial" w:hAnsi="Arial"/>
        <w:color w:val="404040"/>
        <w:sz w:val="22"/>
      </w:rPr>
      <w:tcPr>
        <w:tcBorders>
          <w:left w:val="single" w:color="B2A1C6" w:sz="12" w:space="0" w:themeColor="accent4" w:themeTint="9A"/>
        </w:tcBorders>
      </w:tcPr>
    </w:tblStylePr>
    <w:tblStylePr w:type="lastRow">
      <w:rPr>
        <w:rFonts w:ascii="Arial" w:hAnsi="Arial"/>
        <w:color w:val="404040"/>
        <w:sz w:val="22"/>
      </w:rPr>
      <w:tcPr>
        <w:tcBorders>
          <w:top w:val="single" w:color="B2A1C6" w:sz="12" w:space="0" w:themeColor="accent4" w:themeTint="9A"/>
        </w:tcBorders>
      </w:tcPr>
    </w:tblStylePr>
  </w:style>
  <w:style w:type="table" w:styleId="817" w:customStyle="1">
    <w:name w:val="Bordered - Accent 5"/>
    <w:basedOn w:val="651"/>
    <w:uiPriority w:val="99"/>
    <w:pPr>
      <w:spacing w:lineRule="auto" w:line="240"/>
    </w:pPr>
    <w:tblPr>
      <w:tblStyleRowBandSize w:val="1"/>
      <w:tblStyleColBandSize w:val="1"/>
      <w:tblBorders>
        <w:left w:val="single" w:color="B6DDE8" w:sz="4" w:space="0" w:themeColor="accent5" w:themeTint="67"/>
        <w:top w:val="single" w:color="B6DDE8" w:sz="4" w:space="0" w:themeColor="accent5" w:themeTint="67"/>
        <w:right w:val="single" w:color="B6DDE8" w:sz="4" w:space="0" w:themeColor="accent5" w:themeTint="67"/>
        <w:bottom w:val="single" w:color="B6DDE8" w:sz="4" w:space="0" w:themeColor="accent5" w:themeTint="67"/>
        <w:insideV w:val="single" w:color="B6DDE8" w:sz="4" w:space="0" w:themeColor="accent5" w:themeTint="67"/>
        <w:insideH w:val="single" w:color="B6DDE8" w:sz="4" w:space="0" w:themeColor="accent5" w:themeTint="67"/>
      </w:tblBorders>
    </w:tblPr>
    <w:tblStylePr w:type="band1Horz">
      <w:rPr>
        <w:rFonts w:ascii="Arial" w:hAnsi="Arial"/>
        <w:color w:val="404040"/>
        <w:sz w:val="22"/>
      </w:rPr>
      <w:tcPr>
        <w:tcBorders>
          <w:left w:val="single" w:color="B6DDE8" w:sz="4" w:space="0" w:themeColor="accent5" w:themeTint="67"/>
          <w:top w:val="single" w:color="B6DDE8" w:sz="4" w:space="0" w:themeColor="accent5" w:themeTint="67"/>
          <w:right w:val="single" w:color="B6DDE8" w:sz="4" w:space="0" w:themeColor="accent5" w:themeTint="67"/>
          <w:bottom w:val="single" w:color="B6DDE8" w:sz="4" w:space="0" w:themeColor="accent5" w:themeTint="67"/>
        </w:tcBorders>
      </w:tcPr>
    </w:tblStylePr>
    <w:tblStylePr w:type="firstCol">
      <w:rPr>
        <w:rFonts w:ascii="Arial" w:hAnsi="Arial"/>
        <w:color w:val="404040"/>
        <w:sz w:val="22"/>
      </w:rPr>
    </w:tblStylePr>
    <w:tblStylePr w:type="firstRow">
      <w:rPr>
        <w:rFonts w:ascii="Arial" w:hAnsi="Arial"/>
        <w:color w:val="404040"/>
        <w:sz w:val="22"/>
      </w:rPr>
      <w:tcPr>
        <w:tcBorders>
          <w:bottom w:val="single" w:color="92CCDC" w:sz="12" w:space="0" w:themeColor="accent5" w:themeTint="9A"/>
        </w:tcBorders>
      </w:tcPr>
    </w:tblStylePr>
    <w:tblStylePr w:type="lastCol">
      <w:rPr>
        <w:rFonts w:ascii="Arial" w:hAnsi="Arial"/>
        <w:color w:val="404040"/>
        <w:sz w:val="22"/>
      </w:rPr>
      <w:tcPr>
        <w:tcBorders>
          <w:left w:val="single" w:color="92CCDC" w:sz="12" w:space="0" w:themeColor="accent5" w:themeTint="9A"/>
        </w:tcBorders>
      </w:tcPr>
    </w:tblStylePr>
    <w:tblStylePr w:type="lastRow">
      <w:rPr>
        <w:rFonts w:ascii="Arial" w:hAnsi="Arial"/>
        <w:color w:val="404040"/>
        <w:sz w:val="22"/>
      </w:rPr>
      <w:tcPr>
        <w:tcBorders>
          <w:top w:val="single" w:color="92CCDC" w:sz="12" w:space="0" w:themeColor="accent5" w:themeTint="9A"/>
        </w:tcBorders>
      </w:tcPr>
    </w:tblStylePr>
  </w:style>
  <w:style w:type="table" w:styleId="818" w:customStyle="1">
    <w:name w:val="Bordered - Accent 6"/>
    <w:basedOn w:val="651"/>
    <w:uiPriority w:val="99"/>
    <w:pPr>
      <w:spacing w:lineRule="auto" w:line="240"/>
    </w:pPr>
    <w:tblPr>
      <w:tblStyleRowBandSize w:val="1"/>
      <w:tblStyleColBandSize w:val="1"/>
      <w:tblBorders>
        <w:left w:val="single" w:color="FBD4B4" w:sz="4" w:space="0" w:themeColor="accent6" w:themeTint="67"/>
        <w:top w:val="single" w:color="FBD4B4" w:sz="4" w:space="0" w:themeColor="accent6" w:themeTint="67"/>
        <w:right w:val="single" w:color="FBD4B4" w:sz="4" w:space="0" w:themeColor="accent6" w:themeTint="67"/>
        <w:bottom w:val="single" w:color="FBD4B4" w:sz="4" w:space="0" w:themeColor="accent6" w:themeTint="67"/>
        <w:insideV w:val="single" w:color="FBD4B4" w:sz="4" w:space="0" w:themeColor="accent6" w:themeTint="67"/>
        <w:insideH w:val="single" w:color="FBD4B4" w:sz="4" w:space="0" w:themeColor="accent6" w:themeTint="67"/>
      </w:tblBorders>
    </w:tblPr>
    <w:tblStylePr w:type="band1Horz">
      <w:rPr>
        <w:rFonts w:ascii="Arial" w:hAnsi="Arial"/>
        <w:color w:val="404040"/>
        <w:sz w:val="22"/>
      </w:rPr>
      <w:tcPr>
        <w:tcBorders>
          <w:left w:val="single" w:color="FBD4B4" w:sz="4" w:space="0" w:themeColor="accent6" w:themeTint="67"/>
          <w:top w:val="single" w:color="FBD4B4" w:sz="4" w:space="0" w:themeColor="accent6" w:themeTint="67"/>
          <w:right w:val="single" w:color="FBD4B4" w:sz="4" w:space="0" w:themeColor="accent6" w:themeTint="67"/>
          <w:bottom w:val="single" w:color="FBD4B4" w:sz="4" w:space="0" w:themeColor="accent6" w:themeTint="67"/>
        </w:tcBorders>
      </w:tcPr>
    </w:tblStylePr>
    <w:tblStylePr w:type="firstCol">
      <w:rPr>
        <w:rFonts w:ascii="Arial" w:hAnsi="Arial"/>
        <w:color w:val="404040"/>
        <w:sz w:val="22"/>
      </w:rPr>
    </w:tblStylePr>
    <w:tblStylePr w:type="firstRow">
      <w:rPr>
        <w:rFonts w:ascii="Arial" w:hAnsi="Arial"/>
        <w:color w:val="404040"/>
        <w:sz w:val="22"/>
      </w:rPr>
      <w:tcPr>
        <w:tcBorders>
          <w:bottom w:val="single" w:color="FAC090" w:sz="12" w:space="0" w:themeColor="accent6" w:themeTint="98"/>
        </w:tcBorders>
      </w:tcPr>
    </w:tblStylePr>
    <w:tblStylePr w:type="lastCol">
      <w:rPr>
        <w:rFonts w:ascii="Arial" w:hAnsi="Arial"/>
        <w:color w:val="404040"/>
        <w:sz w:val="22"/>
      </w:rPr>
      <w:tcPr>
        <w:tcBorders>
          <w:left w:val="single" w:color="FAC090" w:sz="12" w:space="0" w:themeColor="accent6" w:themeTint="98"/>
        </w:tcBorders>
      </w:tcPr>
    </w:tblStylePr>
    <w:tblStylePr w:type="lastRow">
      <w:rPr>
        <w:rFonts w:ascii="Arial" w:hAnsi="Arial"/>
        <w:color w:val="404040"/>
        <w:sz w:val="22"/>
      </w:rPr>
      <w:tcPr>
        <w:tcBorders>
          <w:top w:val="single" w:color="FAC090" w:sz="12" w:space="0" w:themeColor="accent6" w:themeTint="98"/>
        </w:tcBorders>
      </w:tcPr>
    </w:tblStylePr>
  </w:style>
  <w:style w:type="character" w:styleId="819">
    <w:name w:val="Hyperlink"/>
    <w:uiPriority w:val="99"/>
    <w:unhideWhenUsed/>
    <w:rPr>
      <w:color w:val="0000FF" w:themeColor="hyperlink"/>
      <w:u w:val="single"/>
    </w:rPr>
  </w:style>
  <w:style w:type="paragraph" w:styleId="820">
    <w:name w:val="footnote text"/>
    <w:basedOn w:val="640"/>
    <w:link w:val="821"/>
    <w:uiPriority w:val="99"/>
    <w:semiHidden/>
    <w:unhideWhenUsed/>
    <w:rPr>
      <w:sz w:val="18"/>
    </w:rPr>
    <w:pPr>
      <w:spacing w:lineRule="auto" w:line="240" w:after="40"/>
    </w:pPr>
  </w:style>
  <w:style w:type="character" w:styleId="821" w:customStyle="1">
    <w:name w:val="Fußnotentext Zchn"/>
    <w:link w:val="820"/>
    <w:uiPriority w:val="99"/>
    <w:rPr>
      <w:sz w:val="18"/>
    </w:rPr>
  </w:style>
  <w:style w:type="character" w:styleId="822">
    <w:name w:val="footnote reference"/>
    <w:basedOn w:val="650"/>
    <w:uiPriority w:val="99"/>
    <w:unhideWhenUsed/>
    <w:rPr>
      <w:vertAlign w:val="superscript"/>
    </w:rPr>
  </w:style>
  <w:style w:type="paragraph" w:styleId="823">
    <w:name w:val="endnote text"/>
    <w:basedOn w:val="640"/>
    <w:link w:val="824"/>
    <w:uiPriority w:val="99"/>
    <w:semiHidden/>
    <w:unhideWhenUsed/>
    <w:rPr>
      <w:sz w:val="20"/>
    </w:rPr>
    <w:pPr>
      <w:spacing w:lineRule="auto" w:line="240"/>
    </w:pPr>
  </w:style>
  <w:style w:type="character" w:styleId="824" w:customStyle="1">
    <w:name w:val="Endnotentext Zchn"/>
    <w:link w:val="823"/>
    <w:uiPriority w:val="99"/>
    <w:rPr>
      <w:sz w:val="20"/>
    </w:rPr>
  </w:style>
  <w:style w:type="character" w:styleId="825">
    <w:name w:val="endnote reference"/>
    <w:basedOn w:val="650"/>
    <w:uiPriority w:val="99"/>
    <w:semiHidden/>
    <w:unhideWhenUsed/>
    <w:rPr>
      <w:vertAlign w:val="superscript"/>
    </w:rPr>
  </w:style>
  <w:style w:type="paragraph" w:styleId="826">
    <w:name w:val="toc 1"/>
    <w:basedOn w:val="640"/>
    <w:next w:val="640"/>
    <w:uiPriority w:val="39"/>
    <w:unhideWhenUsed/>
    <w:pPr>
      <w:spacing w:after="57"/>
    </w:pPr>
  </w:style>
  <w:style w:type="paragraph" w:styleId="827">
    <w:name w:val="toc 2"/>
    <w:basedOn w:val="640"/>
    <w:next w:val="640"/>
    <w:uiPriority w:val="39"/>
    <w:unhideWhenUsed/>
    <w:pPr>
      <w:ind w:left="283"/>
      <w:spacing w:after="57"/>
    </w:pPr>
  </w:style>
  <w:style w:type="paragraph" w:styleId="828">
    <w:name w:val="toc 3"/>
    <w:basedOn w:val="640"/>
    <w:next w:val="640"/>
    <w:uiPriority w:val="39"/>
    <w:unhideWhenUsed/>
    <w:pPr>
      <w:ind w:left="567"/>
      <w:spacing w:after="57"/>
    </w:pPr>
  </w:style>
  <w:style w:type="paragraph" w:styleId="829">
    <w:name w:val="toc 4"/>
    <w:basedOn w:val="640"/>
    <w:next w:val="640"/>
    <w:uiPriority w:val="39"/>
    <w:unhideWhenUsed/>
    <w:pPr>
      <w:ind w:left="850"/>
      <w:spacing w:after="57"/>
    </w:pPr>
  </w:style>
  <w:style w:type="paragraph" w:styleId="830">
    <w:name w:val="toc 5"/>
    <w:basedOn w:val="640"/>
    <w:next w:val="640"/>
    <w:uiPriority w:val="39"/>
    <w:unhideWhenUsed/>
    <w:pPr>
      <w:ind w:left="1134"/>
      <w:spacing w:after="57"/>
    </w:pPr>
  </w:style>
  <w:style w:type="paragraph" w:styleId="831">
    <w:name w:val="toc 6"/>
    <w:basedOn w:val="640"/>
    <w:next w:val="640"/>
    <w:uiPriority w:val="39"/>
    <w:unhideWhenUsed/>
    <w:pPr>
      <w:ind w:left="1417"/>
      <w:spacing w:after="57"/>
    </w:pPr>
  </w:style>
  <w:style w:type="paragraph" w:styleId="832">
    <w:name w:val="toc 7"/>
    <w:basedOn w:val="640"/>
    <w:next w:val="640"/>
    <w:uiPriority w:val="39"/>
    <w:unhideWhenUsed/>
    <w:pPr>
      <w:ind w:left="1701"/>
      <w:spacing w:after="57"/>
    </w:pPr>
  </w:style>
  <w:style w:type="paragraph" w:styleId="833">
    <w:name w:val="toc 8"/>
    <w:basedOn w:val="640"/>
    <w:next w:val="640"/>
    <w:uiPriority w:val="39"/>
    <w:unhideWhenUsed/>
    <w:pPr>
      <w:ind w:left="1984"/>
      <w:spacing w:after="57"/>
    </w:pPr>
  </w:style>
  <w:style w:type="paragraph" w:styleId="834">
    <w:name w:val="toc 9"/>
    <w:basedOn w:val="640"/>
    <w:next w:val="640"/>
    <w:uiPriority w:val="39"/>
    <w:unhideWhenUsed/>
    <w:pPr>
      <w:ind w:left="2268"/>
      <w:spacing w:after="57"/>
    </w:pPr>
  </w:style>
  <w:style w:type="paragraph" w:styleId="835">
    <w:name w:val="TOC Heading"/>
    <w:qFormat/>
    <w:uiPriority w:val="39"/>
    <w:unhideWhenUsed/>
  </w:style>
  <w:style w:type="paragraph" w:styleId="836">
    <w:name w:val="table of figures"/>
    <w:basedOn w:val="640"/>
    <w:next w:val="640"/>
    <w:uiPriority w:val="99"/>
    <w:unhideWhenUsed/>
  </w:style>
  <w:style w:type="table" w:styleId="837" w:customStyle="1">
    <w:name w:val="Table Normal"/>
    <w:tblPr>
      <w:tblCellMar>
        <w:left w:w="0" w:type="dxa"/>
        <w:top w:w="0" w:type="dxa"/>
        <w:right w:w="0" w:type="dxa"/>
        <w:bottom w:w="0" w:type="dxa"/>
      </w:tblCellMar>
    </w:tblPr>
  </w:style>
  <w:style w:type="paragraph" w:styleId="838">
    <w:name w:val="Title"/>
    <w:basedOn w:val="640"/>
    <w:next w:val="640"/>
    <w:link w:val="681"/>
    <w:qFormat/>
    <w:uiPriority w:val="10"/>
    <w:rPr>
      <w:sz w:val="52"/>
      <w:szCs w:val="52"/>
    </w:rPr>
    <w:pPr>
      <w:keepLines/>
      <w:keepNext/>
      <w:spacing w:after="60"/>
    </w:pPr>
  </w:style>
  <w:style w:type="paragraph" w:styleId="839">
    <w:name w:val="Subtitle"/>
    <w:basedOn w:val="640"/>
    <w:next w:val="640"/>
    <w:link w:val="682"/>
    <w:qFormat/>
    <w:uiPriority w:val="11"/>
    <w:rPr>
      <w:color w:val="666666"/>
      <w:sz w:val="30"/>
      <w:szCs w:val="30"/>
    </w:rPr>
    <w:pPr>
      <w:keepLines/>
      <w:keepNext/>
      <w:spacing w:after="320"/>
    </w:pPr>
  </w:style>
  <w:style w:type="table" w:styleId="840" w:customStyle="1">
    <w:name w:val="StGen0"/>
    <w:basedOn w:val="837"/>
    <w:tblPr>
      <w:tblStyleRowBandSize w:val="1"/>
      <w:tblStyleColBandSize w:val="1"/>
      <w:tblCellMar>
        <w:left w:w="100" w:type="dxa"/>
        <w:top w:w="100" w:type="dxa"/>
        <w:right w:w="100" w:type="dxa"/>
        <w:bottom w:w="100" w:type="dxa"/>
      </w:tblCellMar>
    </w:tblPr>
  </w:style>
  <w:style w:type="character" w:styleId="841">
    <w:name w:val="annotation reference"/>
    <w:basedOn w:val="650"/>
    <w:uiPriority w:val="99"/>
    <w:semiHidden/>
    <w:unhideWhenUsed/>
    <w:rPr>
      <w:sz w:val="16"/>
      <w:szCs w:val="16"/>
    </w:rPr>
  </w:style>
  <w:style w:type="paragraph" w:styleId="842">
    <w:name w:val="annotation text"/>
    <w:basedOn w:val="640"/>
    <w:link w:val="843"/>
    <w:uiPriority w:val="99"/>
    <w:semiHidden/>
    <w:unhideWhenUsed/>
    <w:rPr>
      <w:sz w:val="20"/>
      <w:szCs w:val="20"/>
    </w:rPr>
    <w:pPr>
      <w:spacing w:lineRule="auto" w:line="240"/>
    </w:pPr>
  </w:style>
  <w:style w:type="character" w:styleId="843" w:customStyle="1">
    <w:name w:val="Kommentartext Zchn"/>
    <w:basedOn w:val="650"/>
    <w:link w:val="842"/>
    <w:uiPriority w:val="99"/>
    <w:semiHidden/>
    <w:rPr>
      <w:sz w:val="20"/>
      <w:szCs w:val="20"/>
    </w:rPr>
  </w:style>
  <w:style w:type="paragraph" w:styleId="844">
    <w:name w:val="annotation subject"/>
    <w:basedOn w:val="842"/>
    <w:next w:val="842"/>
    <w:link w:val="845"/>
    <w:uiPriority w:val="99"/>
    <w:semiHidden/>
    <w:unhideWhenUsed/>
    <w:rPr>
      <w:b/>
      <w:bCs/>
    </w:rPr>
  </w:style>
  <w:style w:type="character" w:styleId="845" w:customStyle="1">
    <w:name w:val="Kommentarthema Zchn"/>
    <w:basedOn w:val="843"/>
    <w:link w:val="844"/>
    <w:uiPriority w:val="99"/>
    <w:semiHidden/>
    <w:rPr>
      <w:b/>
      <w:bCs/>
      <w:sz w:val="20"/>
      <w:szCs w:val="20"/>
    </w:rPr>
  </w:style>
  <w:style w:type="paragraph" w:styleId="846">
    <w:name w:val="Balloon Text"/>
    <w:basedOn w:val="640"/>
    <w:link w:val="847"/>
    <w:uiPriority w:val="99"/>
    <w:semiHidden/>
    <w:unhideWhenUsed/>
    <w:rPr>
      <w:rFonts w:ascii="Segoe UI" w:hAnsi="Segoe UI" w:cs="Segoe UI"/>
      <w:sz w:val="18"/>
      <w:szCs w:val="18"/>
    </w:rPr>
    <w:pPr>
      <w:spacing w:lineRule="auto" w:line="240"/>
    </w:pPr>
  </w:style>
  <w:style w:type="character" w:styleId="847" w:customStyle="1">
    <w:name w:val="Sprechblasentext Zchn"/>
    <w:basedOn w:val="650"/>
    <w:link w:val="846"/>
    <w:uiPriority w:val="99"/>
    <w:semiHidden/>
    <w:rPr>
      <w:rFonts w:ascii="Segoe UI" w:hAnsi="Segoe UI" w:cs="Segoe UI"/>
      <w:sz w:val="18"/>
      <w:szCs w:val="18"/>
    </w:rPr>
  </w:style>
  <w:style w:type="paragraph" w:styleId="848">
    <w:name w:val="Revision"/>
    <w:uiPriority w:val="99"/>
    <w:hidden/>
    <w:semiHidden/>
    <w:pPr>
      <w:spacing w:lineRule="auto" w:line="240"/>
    </w:p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customXml" Target="../customXml/item1.xml" /><Relationship Id="rId9" Type="http://schemas.openxmlformats.org/officeDocument/2006/relationships/customXml" Target="../customXml/item2.xml" /><Relationship Id="rId10" Type="http://schemas.openxmlformats.org/officeDocument/2006/relationships/customXml" Target="../customXml/item3.xml" /><Relationship Id="rId11" Type="http://schemas.openxmlformats.org/officeDocument/2006/relationships/customXml" Target="../customXml/item4.xml" /><Relationship Id="rId12" Type="http://schemas.openxmlformats.org/officeDocument/2006/relationships/hyperlink" Target="http://www.tnamse.de" TargetMode="External"/><Relationship Id="rId13" Type="http://schemas.openxmlformats.org/officeDocument/2006/relationships/hyperlink" Target="https://www.ncbi.nlm.nih.gov/clinvar/submitters/507028/" TargetMode="External"/><Relationship Id="rId14" Type="http://schemas.openxmlformats.org/officeDocument/2006/relationships/hyperlink" Target="https://www.ncbi.nlm.nih.gov/clinvar/submitters/500240/" TargetMode="External"/><Relationship Id="rId15" Type="http://schemas.openxmlformats.org/officeDocument/2006/relationships/hyperlink" Target="https://www.ncbi.nlm.nih.gov/clinvar/submitters/505735/" TargetMode="External"/><Relationship Id="rId16" Type="http://schemas.openxmlformats.org/officeDocument/2006/relationships/hyperlink" Target="https://www.ncbi.nlm.nih.gov/clinvar/submitters/506385/" TargetMode="External"/><Relationship Id="rId17" Type="http://schemas.openxmlformats.org/officeDocument/2006/relationships/hyperlink" Target="http://www.tnamse.de" TargetMode="External"/><Relationship Id="rId18" Type="http://schemas.openxmlformats.org/officeDocument/2006/relationships/image" Target="media/image1.png"/><Relationship Id="rId19" Type="http://schemas.openxmlformats.org/officeDocument/2006/relationships/image" Target="media/image2.png"/><Relationship Id="rId20" Type="http://schemas.openxmlformats.org/officeDocument/2006/relationships/image" Target="media/image3.png"/><Relationship Id="rId21" Type="http://schemas.openxmlformats.org/officeDocument/2006/relationships/image" Target="media/image4.png"/><Relationship Id="rId22" Type="http://schemas.openxmlformats.org/officeDocument/2006/relationships/image" Target="media/image5.png"/><Relationship Id="rId23" Type="http://schemas.openxmlformats.org/officeDocument/2006/relationships/image" Target="media/image6.png"/><Relationship Id="rId24" Type="http://schemas.openxmlformats.org/officeDocument/2006/relationships/image" Target="media/image7.jpg"/><Relationship Id="rId25" Type="http://schemas.openxmlformats.org/officeDocument/2006/relationships/image" Target="media/image8.png"/><Relationship Id="rId26" Type="http://schemas.openxmlformats.org/officeDocument/2006/relationships/image" Target="media/image9.png"/><Relationship Id="rId27" Type="http://schemas.openxmlformats.org/officeDocument/2006/relationships/image" Target="media/image10.png"/></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Arial"/>
        <a:cs typeface="Arial"/>
      </a:majorFont>
      <a:minorFont>
        <a:latin typeface="Cambria"/>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spDef>
      <a:spPr bwMode="auto"/>
      <a:bodyPr/>
      <a:lstStyle/>
      <a:style>
        <a:lnRef idx="1">
          <a:schemeClr val="accent1"/>
        </a:lnRef>
        <a:fillRef idx="3">
          <a:schemeClr val="accent1"/>
        </a:fillRef>
        <a:effectRef idx="2">
          <a:schemeClr val="accent1"/>
        </a:effectRef>
        <a:fontRef idx="minor">
          <a:schemeClr val="lt1"/>
        </a:fontRef>
      </a:style>
    </a:spDef>
    <a:lnDef>
      <a:spPr bwMode="auto"/>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xml version="1.0" encoding="UTF-8" standalone="yes"?><Relationships xmlns="http://schemas.openxmlformats.org/package/2006/relationships"><Relationship Id="rId1" Type="http://schemas.openxmlformats.org/officeDocument/2006/relationships/customXmlProps" Target="itemProps4.xml" /></Relationships>
</file>

<file path=customXml/item1.xml><?xml version="1.0" encoding="utf-8"?>
<w:settings xmlns:w="http://schemas.openxmlformats.org/wordprocessingml/2006/main">
  <w:SpecialFormsHighlight w:val="c9c8ff"/>
</w:setting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w:settings xmlns:w="http://schemas.openxmlformats.org/wordprocessingml/2006/main">
  <w:SpecialFormsHighlight w:val="c9c8ff"/>
</w:settings>
</file>

<file path=customXml/item4.xml><?xml version="1.0" encoding="utf-8"?>
<w:settings xmlns:w="http://schemas.openxmlformats.org/wordprocessingml/2006/main">
  <w:SpecialFormsHighlight w:val="c9c8ff"/>
</w:settings>
</file>

<file path=customXml/itemProps1.xml><?xml version="1.0" encoding="utf-8"?>
<ds:datastoreItem xmlns:ds="http://schemas.openxmlformats.org/officeDocument/2006/customXml" ds:itemID="{5D0AEA6B-E499-4EEF-98A3-AFBB261C493E}">
  <ds:schemaRefs>
    <ds:schemaRef ds:uri="http://schemas.onlyoffice.com/settingsCustom"/>
  </ds:schemaRefs>
</ds:datastoreItem>
</file>

<file path=customXml/itemProps2.xml><?xml version="1.0" encoding="utf-8"?>
<ds:datastoreItem xmlns:ds="http://schemas.openxmlformats.org/officeDocument/2006/customXml" ds:itemID="{EA2E47F9-4FBA-4E00-A556-7476EC43F55C}">
  <ds:schemaRefs>
    <ds:schemaRef ds:uri="http://schemas.openxmlformats.org/officeDocument/2006/bibliography"/>
  </ds:schemaRefs>
</ds:datastoreItem>
</file>

<file path=customXml/itemProps3.xml><?xml version="1.0" encoding="utf-8"?>
<ds:datastoreItem xmlns:ds="http://schemas.openxmlformats.org/officeDocument/2006/customXml" ds:itemID="{5D0AEA6B-E499-4EEF-98A3-AFBB261C493E}">
  <ds:schemaRefs>
    <ds:schemaRef ds:uri="http://schemas.openxmlformats.org/wordprocessingml/2006/main"/>
  </ds:schemaRefs>
</ds:datastoreItem>
</file>

<file path=customXml/itemProps4.xml><?xml version="1.0" encoding="utf-8"?>
<ds:datastoreItem xmlns:ds="http://schemas.openxmlformats.org/officeDocument/2006/customXml" ds:itemID="{5D0AEA6B-E499-4EEF-98A3-AFBB261C493E}">
  <ds:schemaRefs>
    <ds:schemaRef ds:uri="http://schemas.openxmlformats.org/wordprocessingml/2006/main"/>
  </ds:schemaRefs>
</ds:datastoreItem>
</file>

<file path=docProps/app.xml><?xml version="1.0" encoding="utf-8"?>
<Properties xmlns="http://schemas.openxmlformats.org/officeDocument/2006/extended-properties" xmlns:vt="http://schemas.openxmlformats.org/officeDocument/2006/docPropsVTypes">
  <Application>ONLYOFFICE/6.4.2.6</Application>
  <Company/>
  <DocSecurity>0</DocSecurity>
  <HyperlinksChanged>false</HyperlinksChanged>
  <LinksUpToDate>false</LinksUpToDate>
  <ScaleCrop>false</ScaleCrop>
  <SharedDoc>false</SharedDoc>
  <Template>Normal.dotm</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Wagner, Matias</dc:creator>
  <cp:lastModifiedBy>Klinkhammer, Hannah (s4haklin@uni-bonn.de)</cp:lastModifiedBy>
  <cp:revision>6</cp:revision>
  <dcterms:created xsi:type="dcterms:W3CDTF">2022-02-18T09:53:00Z</dcterms:created>
  <dcterms:modified xsi:type="dcterms:W3CDTF">2022-02-25T12:09:38Z</dcterms:modified>
</cp:coreProperties>
</file>