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A3E8C" w14:textId="77777777" w:rsidR="001308C0" w:rsidRDefault="00037BCD">
      <w:pPr>
        <w:spacing w:after="240" w:line="360" w:lineRule="auto"/>
        <w:jc w:val="center"/>
        <w:rPr>
          <w:b/>
          <w:color w:val="000000"/>
        </w:rPr>
      </w:pPr>
      <w:r>
        <w:rPr>
          <w:b/>
          <w:color w:val="000000"/>
        </w:rPr>
        <w:t>Supplementary information</w:t>
      </w:r>
    </w:p>
    <w:p w14:paraId="7DBE61BD" w14:textId="77777777" w:rsidR="001308C0" w:rsidRDefault="001308C0">
      <w:pPr>
        <w:spacing w:line="360" w:lineRule="auto"/>
        <w:rPr>
          <w:sz w:val="16"/>
          <w:szCs w:val="16"/>
          <w:vertAlign w:val="superscript"/>
        </w:rPr>
      </w:pPr>
    </w:p>
    <w:p w14:paraId="0BB88A8C" w14:textId="77777777" w:rsidR="001308C0" w:rsidRDefault="001308C0">
      <w:pPr>
        <w:spacing w:after="240" w:line="360" w:lineRule="auto"/>
        <w:jc w:val="center"/>
        <w:rPr>
          <w:b/>
          <w:color w:val="000000"/>
          <w:sz w:val="21"/>
          <w:szCs w:val="21"/>
        </w:rPr>
      </w:pPr>
    </w:p>
    <w:p w14:paraId="41A7CC24" w14:textId="77777777" w:rsidR="001308C0" w:rsidRDefault="00037BCD">
      <w:pPr>
        <w:spacing w:after="240" w:line="360" w:lineRule="auto"/>
        <w:rPr>
          <w:b/>
          <w:color w:val="000000"/>
          <w:sz w:val="22"/>
          <w:szCs w:val="22"/>
        </w:rPr>
      </w:pPr>
      <w:r>
        <w:rPr>
          <w:b/>
          <w:color w:val="000000"/>
          <w:sz w:val="22"/>
          <w:szCs w:val="22"/>
        </w:rPr>
        <w:t>SI-1 Estimation of τ uncertainty</w:t>
      </w:r>
    </w:p>
    <w:p w14:paraId="5D4F4C28" w14:textId="77777777" w:rsidR="001308C0" w:rsidRDefault="00037BCD">
      <w:pPr>
        <w:spacing w:line="360" w:lineRule="auto"/>
        <w:rPr>
          <w:sz w:val="22"/>
          <w:szCs w:val="22"/>
        </w:rPr>
      </w:pPr>
      <w:r>
        <w:rPr>
          <w:sz w:val="22"/>
          <w:szCs w:val="22"/>
        </w:rPr>
        <w:t xml:space="preserve">To account for uncertainty that derived from different ecosystem components, we used different global datasets of </w:t>
      </w:r>
      <w:proofErr w:type="spellStart"/>
      <w:r>
        <w:rPr>
          <w:sz w:val="22"/>
          <w:szCs w:val="22"/>
        </w:rPr>
        <w:t>C</w:t>
      </w:r>
      <w:r>
        <w:rPr>
          <w:sz w:val="22"/>
          <w:szCs w:val="22"/>
          <w:vertAlign w:val="subscript"/>
        </w:rPr>
        <w:t>soil</w:t>
      </w:r>
      <w:proofErr w:type="spellEnd"/>
      <w:r>
        <w:rPr>
          <w:sz w:val="22"/>
          <w:szCs w:val="22"/>
        </w:rPr>
        <w:t xml:space="preserve">, </w:t>
      </w:r>
      <w:proofErr w:type="spellStart"/>
      <w:r>
        <w:rPr>
          <w:sz w:val="22"/>
          <w:szCs w:val="22"/>
        </w:rPr>
        <w:t>C</w:t>
      </w:r>
      <w:r>
        <w:rPr>
          <w:sz w:val="22"/>
          <w:szCs w:val="22"/>
          <w:vertAlign w:val="subscript"/>
        </w:rPr>
        <w:t>veg</w:t>
      </w:r>
      <w:proofErr w:type="spellEnd"/>
      <w:r>
        <w:rPr>
          <w:sz w:val="22"/>
          <w:szCs w:val="22"/>
        </w:rPr>
        <w:t xml:space="preserve"> and GPP/TER (see Methods) which produce an ensemble (144 members) of τ by combining all different components. The large ensemble o</w:t>
      </w:r>
      <w:r>
        <w:rPr>
          <w:sz w:val="22"/>
          <w:szCs w:val="22"/>
        </w:rPr>
        <w:t xml:space="preserve">f τ estimations allow us to estimate the uncertainties that are derived from different data sources of soil, vegetation and carbon fluxes. </w:t>
      </w:r>
    </w:p>
    <w:p w14:paraId="46297485" w14:textId="77777777" w:rsidR="001308C0" w:rsidRDefault="00037BCD">
      <w:pPr>
        <w:spacing w:line="360" w:lineRule="auto"/>
        <w:rPr>
          <w:sz w:val="22"/>
          <w:szCs w:val="22"/>
        </w:rPr>
      </w:pPr>
      <w:r>
        <w:rPr>
          <w:sz w:val="22"/>
          <w:szCs w:val="22"/>
        </w:rPr>
        <w:t>We assessed the uncertainty of τ estimations at grid-cell level (Figure SI-1.1).  The spatial distribution of τ show</w:t>
      </w:r>
      <w:r>
        <w:rPr>
          <w:sz w:val="22"/>
          <w:szCs w:val="22"/>
        </w:rPr>
        <w:t>s a large range of carbon turnover times globally which ranges from 8 years (1</w:t>
      </w:r>
      <w:r>
        <w:rPr>
          <w:sz w:val="22"/>
          <w:szCs w:val="22"/>
          <w:vertAlign w:val="superscript"/>
        </w:rPr>
        <w:t>st</w:t>
      </w:r>
      <w:r>
        <w:rPr>
          <w:sz w:val="22"/>
          <w:szCs w:val="22"/>
        </w:rPr>
        <w:t xml:space="preserve"> percentile) to 1392 years (99</w:t>
      </w:r>
      <w:r>
        <w:rPr>
          <w:sz w:val="22"/>
          <w:szCs w:val="22"/>
          <w:vertAlign w:val="superscript"/>
        </w:rPr>
        <w:t>th</w:t>
      </w:r>
      <w:r>
        <w:rPr>
          <w:sz w:val="22"/>
          <w:szCs w:val="22"/>
        </w:rPr>
        <w:t xml:space="preserve"> percentile). The spatial distribution (Figure SI-1.2) of relative uncertainty (interquartile range/mean) derived from different data sources sh</w:t>
      </w:r>
      <w:r>
        <w:rPr>
          <w:sz w:val="22"/>
          <w:szCs w:val="22"/>
        </w:rPr>
        <w:t>ows large heterogeneity 30% (1</w:t>
      </w:r>
      <w:r>
        <w:rPr>
          <w:sz w:val="22"/>
          <w:szCs w:val="22"/>
          <w:vertAlign w:val="superscript"/>
        </w:rPr>
        <w:t>st</w:t>
      </w:r>
      <w:r>
        <w:rPr>
          <w:sz w:val="22"/>
          <w:szCs w:val="22"/>
        </w:rPr>
        <w:t xml:space="preserve"> percentile) to 179% (99</w:t>
      </w:r>
      <w:r>
        <w:rPr>
          <w:sz w:val="22"/>
          <w:szCs w:val="22"/>
          <w:vertAlign w:val="superscript"/>
        </w:rPr>
        <w:t>th</w:t>
      </w:r>
      <w:r>
        <w:rPr>
          <w:sz w:val="22"/>
          <w:szCs w:val="22"/>
        </w:rPr>
        <w:t xml:space="preserve"> percentile). The relative higher uncertainties in circumpolar regions and arid regions compared with lower latitudes indicate more spread among τ ensemble members whereas there is higher confidence</w:t>
      </w:r>
      <w:r>
        <w:rPr>
          <w:sz w:val="22"/>
          <w:szCs w:val="22"/>
        </w:rPr>
        <w:t xml:space="preserve"> on the estimations of τ in temperate and tropical regions.  </w:t>
      </w:r>
    </w:p>
    <w:p w14:paraId="3F67F1ED" w14:textId="77777777" w:rsidR="001308C0" w:rsidRDefault="00037BCD">
      <w:pPr>
        <w:spacing w:after="240" w:line="360" w:lineRule="auto"/>
        <w:rPr>
          <w:b/>
          <w:color w:val="000000"/>
          <w:sz w:val="21"/>
          <w:szCs w:val="21"/>
        </w:rPr>
      </w:pPr>
      <w:r>
        <w:rPr>
          <w:b/>
          <w:noProof/>
          <w:color w:val="000000"/>
          <w:sz w:val="21"/>
          <w:szCs w:val="21"/>
        </w:rPr>
        <w:drawing>
          <wp:inline distT="0" distB="0" distL="0" distR="0" wp14:anchorId="1C6ACAC8" wp14:editId="47F20930">
            <wp:extent cx="5943600" cy="3839402"/>
            <wp:effectExtent l="0" t="0" r="0" b="0"/>
            <wp:docPr id="27" name="image20.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0.png" descr="Diagram&#10;&#10;Description automatically generated"/>
                    <pic:cNvPicPr preferRelativeResize="0"/>
                  </pic:nvPicPr>
                  <pic:blipFill>
                    <a:blip r:embed="rId5"/>
                    <a:srcRect t="7549" b="10423"/>
                    <a:stretch>
                      <a:fillRect/>
                    </a:stretch>
                  </pic:blipFill>
                  <pic:spPr>
                    <a:xfrm>
                      <a:off x="0" y="0"/>
                      <a:ext cx="5943600" cy="3839402"/>
                    </a:xfrm>
                    <a:prstGeom prst="rect">
                      <a:avLst/>
                    </a:prstGeom>
                    <a:ln/>
                  </pic:spPr>
                </pic:pic>
              </a:graphicData>
            </a:graphic>
          </wp:inline>
        </w:drawing>
      </w:r>
    </w:p>
    <w:p w14:paraId="11B8E240" w14:textId="77777777" w:rsidR="001308C0" w:rsidRDefault="00037BCD">
      <w:pPr>
        <w:pBdr>
          <w:top w:val="nil"/>
          <w:left w:val="nil"/>
          <w:bottom w:val="nil"/>
          <w:right w:val="nil"/>
          <w:between w:val="nil"/>
        </w:pBdr>
        <w:spacing w:after="200"/>
        <w:rPr>
          <w:rFonts w:ascii="Calibri" w:eastAsia="Calibri" w:hAnsi="Calibri" w:cs="Calibri"/>
          <w:i/>
          <w:color w:val="44546A"/>
          <w:sz w:val="20"/>
          <w:szCs w:val="20"/>
        </w:rPr>
      </w:pPr>
      <w:bookmarkStart w:id="0" w:name="_heading=h.30j0zll" w:colFirst="0" w:colLast="0"/>
      <w:bookmarkEnd w:id="0"/>
      <w:r>
        <w:rPr>
          <w:rFonts w:ascii="Calibri" w:eastAsia="Calibri" w:hAnsi="Calibri" w:cs="Calibri"/>
          <w:i/>
          <w:color w:val="000000"/>
          <w:sz w:val="20"/>
          <w:szCs w:val="20"/>
        </w:rPr>
        <w:lastRenderedPageBreak/>
        <w:t xml:space="preserve">Figure SI-1.1: Spatial distribution of ensemble median τ and its relative uncertainty (interquartile range/mean) across different ensemble members. </w:t>
      </w:r>
    </w:p>
    <w:p w14:paraId="7CCC59DC" w14:textId="77777777" w:rsidR="001308C0" w:rsidRDefault="001308C0">
      <w:pPr>
        <w:spacing w:after="240" w:line="360" w:lineRule="auto"/>
        <w:rPr>
          <w:rFonts w:ascii="Calibri" w:eastAsia="Calibri" w:hAnsi="Calibri" w:cs="Calibri"/>
          <w:i/>
          <w:color w:val="000000"/>
          <w:sz w:val="15"/>
          <w:szCs w:val="15"/>
        </w:rPr>
      </w:pPr>
    </w:p>
    <w:p w14:paraId="46A037FF" w14:textId="77777777" w:rsidR="001308C0" w:rsidRDefault="00037BCD">
      <w:pPr>
        <w:spacing w:after="240" w:line="360" w:lineRule="auto"/>
        <w:rPr>
          <w:sz w:val="22"/>
          <w:szCs w:val="22"/>
        </w:rPr>
      </w:pPr>
      <w:r>
        <w:rPr>
          <w:sz w:val="22"/>
          <w:szCs w:val="22"/>
        </w:rPr>
        <w:t xml:space="preserve">To better understand the role of each ecosystem component on the overall uncertainty of τ estimation, we conducted multiway (N-way) ANOVA analysis to test the contribution of variance from different </w:t>
      </w:r>
      <w:proofErr w:type="spellStart"/>
      <w:r>
        <w:rPr>
          <w:sz w:val="22"/>
          <w:szCs w:val="22"/>
        </w:rPr>
        <w:t>C</w:t>
      </w:r>
      <w:r>
        <w:rPr>
          <w:sz w:val="22"/>
          <w:szCs w:val="22"/>
          <w:vertAlign w:val="subscript"/>
        </w:rPr>
        <w:t>soil</w:t>
      </w:r>
      <w:proofErr w:type="spellEnd"/>
      <w:r>
        <w:rPr>
          <w:sz w:val="22"/>
          <w:szCs w:val="22"/>
        </w:rPr>
        <w:t xml:space="preserve">, </w:t>
      </w:r>
      <w:proofErr w:type="spellStart"/>
      <w:r>
        <w:rPr>
          <w:sz w:val="22"/>
          <w:szCs w:val="22"/>
        </w:rPr>
        <w:t>C</w:t>
      </w:r>
      <w:r>
        <w:rPr>
          <w:sz w:val="22"/>
          <w:szCs w:val="22"/>
          <w:vertAlign w:val="subscript"/>
        </w:rPr>
        <w:t>veg</w:t>
      </w:r>
      <w:proofErr w:type="spellEnd"/>
      <w:r>
        <w:rPr>
          <w:sz w:val="22"/>
          <w:szCs w:val="22"/>
        </w:rPr>
        <w:t xml:space="preserve"> and GPP/TER datasets to the mean estimation o</w:t>
      </w:r>
      <w:r>
        <w:rPr>
          <w:sz w:val="22"/>
          <w:szCs w:val="22"/>
        </w:rPr>
        <w:t>f τ. The result (Figure SI-1.2) shows that the overall uncertainty of τ is mainly caused by different representations of carbon stocks (64.3%) and carbon fluxes (34.4%) whereas vegetation only has a minor contribution to the uncertainty (1.3%) globally. Th</w:t>
      </w:r>
      <w:r>
        <w:rPr>
          <w:sz w:val="22"/>
          <w:szCs w:val="22"/>
        </w:rPr>
        <w:t>e result of dominance of variance (Figure SI-1.2) explains the high relative uncertainty in the circumpolar and arid region (Figure SI-1.1) which stems from large spread in the estimations of soil carbon stocks.</w:t>
      </w:r>
    </w:p>
    <w:p w14:paraId="0B90FAD8" w14:textId="77777777" w:rsidR="001308C0" w:rsidRDefault="00037BCD">
      <w:pPr>
        <w:spacing w:after="240" w:line="360" w:lineRule="auto"/>
        <w:rPr>
          <w:sz w:val="20"/>
          <w:szCs w:val="20"/>
        </w:rPr>
      </w:pPr>
      <w:r>
        <w:rPr>
          <w:noProof/>
          <w:sz w:val="20"/>
          <w:szCs w:val="20"/>
        </w:rPr>
        <w:drawing>
          <wp:inline distT="0" distB="0" distL="0" distR="0" wp14:anchorId="2B57488F" wp14:editId="4E8772C9">
            <wp:extent cx="5943600" cy="1937939"/>
            <wp:effectExtent l="0" t="0" r="0" b="0"/>
            <wp:docPr id="29" name="image11.png" descr="A picture containing text, porcelai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picture containing text, porcelain&#10;&#10;Description automatically generated"/>
                    <pic:cNvPicPr preferRelativeResize="0"/>
                  </pic:nvPicPr>
                  <pic:blipFill>
                    <a:blip r:embed="rId6"/>
                    <a:srcRect t="27455" b="29150"/>
                    <a:stretch>
                      <a:fillRect/>
                    </a:stretch>
                  </pic:blipFill>
                  <pic:spPr>
                    <a:xfrm>
                      <a:off x="0" y="0"/>
                      <a:ext cx="5943600" cy="1937939"/>
                    </a:xfrm>
                    <a:prstGeom prst="rect">
                      <a:avLst/>
                    </a:prstGeom>
                    <a:ln/>
                  </pic:spPr>
                </pic:pic>
              </a:graphicData>
            </a:graphic>
          </wp:inline>
        </w:drawing>
      </w:r>
    </w:p>
    <w:p w14:paraId="53F3F5B4" w14:textId="77777777" w:rsidR="001308C0" w:rsidRDefault="00037BCD">
      <w:pPr>
        <w:pBdr>
          <w:top w:val="nil"/>
          <w:left w:val="nil"/>
          <w:bottom w:val="nil"/>
          <w:right w:val="nil"/>
          <w:between w:val="nil"/>
        </w:pBdr>
        <w:spacing w:after="200"/>
        <w:rPr>
          <w:rFonts w:ascii="Calibri" w:eastAsia="Calibri" w:hAnsi="Calibri" w:cs="Calibri"/>
          <w:i/>
          <w:color w:val="44546A"/>
          <w:sz w:val="20"/>
          <w:szCs w:val="20"/>
        </w:rPr>
      </w:pPr>
      <w:r>
        <w:rPr>
          <w:rFonts w:ascii="Calibri" w:eastAsia="Calibri" w:hAnsi="Calibri" w:cs="Calibri"/>
          <w:i/>
          <w:color w:val="000000"/>
          <w:sz w:val="20"/>
          <w:szCs w:val="20"/>
        </w:rPr>
        <w:t xml:space="preserve">Figure SI-1.2: </w:t>
      </w:r>
      <w:r>
        <w:rPr>
          <w:rFonts w:ascii="Calibri" w:eastAsia="Calibri" w:hAnsi="Calibri" w:cs="Calibri"/>
          <w:b/>
          <w:i/>
          <w:color w:val="000000"/>
          <w:sz w:val="20"/>
          <w:szCs w:val="20"/>
        </w:rPr>
        <w:t>Contribution to the τ uncer</w:t>
      </w:r>
      <w:r>
        <w:rPr>
          <w:rFonts w:ascii="Calibri" w:eastAsia="Calibri" w:hAnsi="Calibri" w:cs="Calibri"/>
          <w:b/>
          <w:i/>
          <w:color w:val="000000"/>
          <w:sz w:val="20"/>
          <w:szCs w:val="20"/>
        </w:rPr>
        <w:t>tainty from different ecosystem components.</w:t>
      </w:r>
      <w:r>
        <w:rPr>
          <w:rFonts w:ascii="Calibri" w:eastAsia="Calibri" w:hAnsi="Calibri" w:cs="Calibri"/>
          <w:i/>
          <w:color w:val="000000"/>
          <w:sz w:val="20"/>
          <w:szCs w:val="20"/>
        </w:rPr>
        <w:t xml:space="preserve"> The green, red and blue color indicates the grid cells where the uncertainty is dominated by GPP/TER (64.3 % of total land area), soil carbon (34.4% of total land area) and vegetation carbon (1.3% of total land a</w:t>
      </w:r>
      <w:r>
        <w:rPr>
          <w:rFonts w:ascii="Calibri" w:eastAsia="Calibri" w:hAnsi="Calibri" w:cs="Calibri"/>
          <w:i/>
          <w:color w:val="000000"/>
          <w:sz w:val="20"/>
          <w:szCs w:val="20"/>
        </w:rPr>
        <w:t xml:space="preserve">rea), respectively. </w:t>
      </w:r>
    </w:p>
    <w:p w14:paraId="5125CDEF" w14:textId="77777777" w:rsidR="001308C0" w:rsidRDefault="001308C0">
      <w:pPr>
        <w:spacing w:after="240" w:line="360" w:lineRule="auto"/>
        <w:rPr>
          <w:b/>
          <w:color w:val="000000"/>
          <w:sz w:val="22"/>
          <w:szCs w:val="22"/>
        </w:rPr>
      </w:pPr>
    </w:p>
    <w:p w14:paraId="325A37F8" w14:textId="77777777" w:rsidR="001308C0" w:rsidRDefault="00037BCD">
      <w:pPr>
        <w:spacing w:after="240" w:line="360" w:lineRule="auto"/>
        <w:rPr>
          <w:b/>
          <w:color w:val="000000"/>
          <w:sz w:val="22"/>
          <w:szCs w:val="22"/>
        </w:rPr>
      </w:pPr>
      <w:r>
        <w:rPr>
          <w:b/>
          <w:color w:val="000000"/>
          <w:sz w:val="22"/>
          <w:szCs w:val="22"/>
        </w:rPr>
        <w:t>SI-2 Relationship between τ, carbon stock, TER and climate variables</w:t>
      </w:r>
    </w:p>
    <w:p w14:paraId="4A21FF62" w14:textId="77777777" w:rsidR="001308C0" w:rsidRDefault="00037BCD">
      <w:pPr>
        <w:spacing w:after="240" w:line="360" w:lineRule="auto"/>
        <w:rPr>
          <w:color w:val="000000"/>
          <w:sz w:val="22"/>
          <w:szCs w:val="22"/>
        </w:rPr>
      </w:pPr>
      <w:r>
        <w:rPr>
          <w:color w:val="000000"/>
          <w:sz w:val="22"/>
          <w:szCs w:val="22"/>
        </w:rPr>
        <w:t>Using both ensemble median and site-level data, we assessed the relationship between logarithmic τ, carbon stock, TER and different climate variables by using regres</w:t>
      </w:r>
      <w:r>
        <w:rPr>
          <w:color w:val="000000"/>
          <w:sz w:val="22"/>
          <w:szCs w:val="22"/>
        </w:rPr>
        <w:t>sion models which are shown in Figure SI-2.1 and Figure SI-2.2. The correlation between τ and MAP (r</w:t>
      </w:r>
      <w:r>
        <w:rPr>
          <w:color w:val="000000"/>
          <w:sz w:val="22"/>
          <w:szCs w:val="22"/>
          <w:vertAlign w:val="superscript"/>
        </w:rPr>
        <w:t>2</w:t>
      </w:r>
      <w:r>
        <w:rPr>
          <w:color w:val="000000"/>
          <w:sz w:val="22"/>
          <w:szCs w:val="22"/>
        </w:rPr>
        <w:t xml:space="preserve"> = 0.25) is partially derived from </w:t>
      </w:r>
      <w:r>
        <w:rPr>
          <w:sz w:val="22"/>
          <w:szCs w:val="22"/>
        </w:rPr>
        <w:t>the</w:t>
      </w:r>
      <w:r>
        <w:rPr>
          <w:color w:val="000000"/>
          <w:sz w:val="22"/>
          <w:szCs w:val="22"/>
        </w:rPr>
        <w:t xml:space="preserve"> fact that there is a strong non-linear relationship between TER and 1/ MAP (or a linear relationship between TER and MAP, Figure SI-2.1, 2.2). This result indicates the potentially strong control of precipitation on ecosystem respiration. Different from p</w:t>
      </w:r>
      <w:r>
        <w:rPr>
          <w:color w:val="000000"/>
          <w:sz w:val="22"/>
          <w:szCs w:val="22"/>
        </w:rPr>
        <w:t>recipitation, we find a strong relationship between ecosystem carbon stock and the inverse of PET (r</w:t>
      </w:r>
      <w:r>
        <w:rPr>
          <w:color w:val="000000"/>
          <w:sz w:val="22"/>
          <w:szCs w:val="22"/>
          <w:vertAlign w:val="superscript"/>
        </w:rPr>
        <w:t>2</w:t>
      </w:r>
      <w:r>
        <w:rPr>
          <w:color w:val="000000"/>
          <w:sz w:val="22"/>
          <w:szCs w:val="22"/>
        </w:rPr>
        <w:t xml:space="preserve"> = 0.3, Figure SI-2.1) which partially explains the strong emergent nonlinear relationship between τ and PET. This finding confirms the results from previo</w:t>
      </w:r>
      <w:r>
        <w:rPr>
          <w:color w:val="000000"/>
          <w:sz w:val="22"/>
          <w:szCs w:val="22"/>
        </w:rPr>
        <w:t xml:space="preserve">us studies that </w:t>
      </w:r>
      <w:r>
        <w:rPr>
          <w:color w:val="000000"/>
          <w:sz w:val="22"/>
          <w:szCs w:val="22"/>
        </w:rPr>
        <w:lastRenderedPageBreak/>
        <w:t>moisture can largely influence or even dominate carbon turnover globally (</w:t>
      </w:r>
      <w:proofErr w:type="spellStart"/>
      <w:r>
        <w:rPr>
          <w:color w:val="000000"/>
          <w:sz w:val="22"/>
          <w:szCs w:val="22"/>
        </w:rPr>
        <w:t>Koven</w:t>
      </w:r>
      <w:proofErr w:type="spellEnd"/>
      <w:r>
        <w:rPr>
          <w:color w:val="000000"/>
          <w:sz w:val="22"/>
          <w:szCs w:val="22"/>
        </w:rPr>
        <w:t xml:space="preserve"> et al., 2017; </w:t>
      </w:r>
      <w:proofErr w:type="spellStart"/>
      <w:r>
        <w:rPr>
          <w:color w:val="000000"/>
          <w:sz w:val="22"/>
          <w:szCs w:val="22"/>
        </w:rPr>
        <w:t>Carvalhais</w:t>
      </w:r>
      <w:proofErr w:type="spellEnd"/>
      <w:r>
        <w:rPr>
          <w:color w:val="000000"/>
          <w:sz w:val="22"/>
          <w:szCs w:val="22"/>
        </w:rPr>
        <w:t xml:space="preserve"> et al., 2014). Our results indicate that precipitation (MAP) and evaporative demand (PET), which together determine soil water availabi</w:t>
      </w:r>
      <w:r>
        <w:rPr>
          <w:color w:val="000000"/>
          <w:sz w:val="22"/>
          <w:szCs w:val="22"/>
        </w:rPr>
        <w:t>lity or aridity, have important controls on τ by affecting global carbon stock and TER/GPP. The high resemblance of the scatter patterns between the results that derived from ensemble median data and site-level data confirms the robustness of the τ-climate</w:t>
      </w:r>
      <w:r>
        <w:rPr>
          <w:color w:val="000000"/>
          <w:sz w:val="22"/>
          <w:szCs w:val="22"/>
        </w:rPr>
        <w:t xml:space="preserve"> relationship.</w:t>
      </w:r>
    </w:p>
    <w:p w14:paraId="154F27B9" w14:textId="77777777" w:rsidR="001308C0" w:rsidRDefault="00037BCD">
      <w:pPr>
        <w:keepNext/>
        <w:spacing w:after="240" w:line="360" w:lineRule="auto"/>
        <w:rPr>
          <w:sz w:val="21"/>
          <w:szCs w:val="21"/>
        </w:rPr>
      </w:pPr>
      <w:r>
        <w:rPr>
          <w:noProof/>
          <w:sz w:val="21"/>
          <w:szCs w:val="21"/>
        </w:rPr>
        <w:drawing>
          <wp:inline distT="0" distB="0" distL="0" distR="0" wp14:anchorId="3D4B64E2" wp14:editId="106A001B">
            <wp:extent cx="5943600" cy="2853055"/>
            <wp:effectExtent l="0" t="0" r="0" b="0"/>
            <wp:docPr id="28" name="image13.pn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Graphical user interface, application&#10;&#10;Description automatically generated"/>
                    <pic:cNvPicPr preferRelativeResize="0"/>
                  </pic:nvPicPr>
                  <pic:blipFill>
                    <a:blip r:embed="rId7"/>
                    <a:srcRect/>
                    <a:stretch>
                      <a:fillRect/>
                    </a:stretch>
                  </pic:blipFill>
                  <pic:spPr>
                    <a:xfrm>
                      <a:off x="0" y="0"/>
                      <a:ext cx="5943600" cy="2853055"/>
                    </a:xfrm>
                    <a:prstGeom prst="rect">
                      <a:avLst/>
                    </a:prstGeom>
                    <a:ln/>
                  </pic:spPr>
                </pic:pic>
              </a:graphicData>
            </a:graphic>
          </wp:inline>
        </w:drawing>
      </w:r>
    </w:p>
    <w:p w14:paraId="18B3A4DF" w14:textId="77777777" w:rsidR="001308C0" w:rsidRDefault="00037BCD">
      <w:pPr>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t>Figure SI-2. 1:</w:t>
      </w:r>
      <w:r>
        <w:rPr>
          <w:rFonts w:ascii="Calibri" w:eastAsia="Calibri" w:hAnsi="Calibri" w:cs="Calibri"/>
          <w:b/>
          <w:i/>
          <w:color w:val="44546A"/>
          <w:sz w:val="20"/>
          <w:szCs w:val="20"/>
        </w:rPr>
        <w:t xml:space="preserve"> </w:t>
      </w:r>
      <w:r>
        <w:rPr>
          <w:rFonts w:ascii="Calibri" w:eastAsia="Calibri" w:hAnsi="Calibri" w:cs="Calibri"/>
          <w:i/>
          <w:color w:val="000000"/>
          <w:sz w:val="20"/>
          <w:szCs w:val="20"/>
        </w:rPr>
        <w:t>Global patterns of TER, ecosystem carbon stock and τ with different climate variables at global scale using ensemble median τ estimates. Note that the MAP and PET are inverted (</w:t>
      </w:r>
      <w:proofErr w:type="spellStart"/>
      <w:r>
        <w:rPr>
          <w:rFonts w:ascii="Calibri" w:eastAsia="Calibri" w:hAnsi="Calibri" w:cs="Calibri"/>
          <w:i/>
          <w:color w:val="000000"/>
          <w:sz w:val="20"/>
          <w:szCs w:val="20"/>
        </w:rPr>
        <w:t>invP</w:t>
      </w:r>
      <w:proofErr w:type="spellEnd"/>
      <w:r>
        <w:rPr>
          <w:rFonts w:ascii="Calibri" w:eastAsia="Calibri" w:hAnsi="Calibri" w:cs="Calibri"/>
          <w:i/>
          <w:color w:val="000000"/>
          <w:sz w:val="20"/>
          <w:szCs w:val="20"/>
        </w:rPr>
        <w:t xml:space="preserve"> and </w:t>
      </w:r>
      <w:proofErr w:type="spellStart"/>
      <w:r>
        <w:rPr>
          <w:rFonts w:ascii="Calibri" w:eastAsia="Calibri" w:hAnsi="Calibri" w:cs="Calibri"/>
          <w:i/>
          <w:color w:val="000000"/>
          <w:sz w:val="20"/>
          <w:szCs w:val="20"/>
        </w:rPr>
        <w:t>invPET</w:t>
      </w:r>
      <w:proofErr w:type="spellEnd"/>
      <w:r>
        <w:rPr>
          <w:rFonts w:ascii="Calibri" w:eastAsia="Calibri" w:hAnsi="Calibri" w:cs="Calibri"/>
          <w:i/>
          <w:color w:val="000000"/>
          <w:sz w:val="20"/>
          <w:szCs w:val="20"/>
        </w:rPr>
        <w:t>). The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between each c</w:t>
      </w:r>
      <w:r>
        <w:rPr>
          <w:rFonts w:ascii="Calibri" w:eastAsia="Calibri" w:hAnsi="Calibri" w:cs="Calibri"/>
          <w:i/>
          <w:color w:val="000000"/>
          <w:sz w:val="20"/>
          <w:szCs w:val="20"/>
        </w:rPr>
        <w:t xml:space="preserve">limatic component and τ are given in the title of each subplot.   </w:t>
      </w:r>
    </w:p>
    <w:p w14:paraId="3EC8CF7C" w14:textId="77777777" w:rsidR="001308C0" w:rsidRDefault="001308C0">
      <w:pPr>
        <w:pBdr>
          <w:top w:val="nil"/>
          <w:left w:val="nil"/>
          <w:bottom w:val="nil"/>
          <w:right w:val="nil"/>
          <w:between w:val="nil"/>
        </w:pBdr>
        <w:spacing w:after="200"/>
        <w:rPr>
          <w:rFonts w:ascii="Calibri" w:eastAsia="Calibri" w:hAnsi="Calibri" w:cs="Calibri"/>
          <w:i/>
          <w:color w:val="000000"/>
          <w:sz w:val="15"/>
          <w:szCs w:val="15"/>
        </w:rPr>
      </w:pPr>
    </w:p>
    <w:p w14:paraId="38CCA509" w14:textId="77777777" w:rsidR="001308C0" w:rsidRDefault="00037BCD">
      <w:pPr>
        <w:pBdr>
          <w:top w:val="nil"/>
          <w:left w:val="nil"/>
          <w:bottom w:val="nil"/>
          <w:right w:val="nil"/>
          <w:between w:val="nil"/>
        </w:pBdr>
        <w:spacing w:after="200"/>
        <w:rPr>
          <w:rFonts w:ascii="Calibri" w:eastAsia="Calibri" w:hAnsi="Calibri" w:cs="Calibri"/>
          <w:i/>
          <w:color w:val="000000"/>
          <w:sz w:val="15"/>
          <w:szCs w:val="15"/>
        </w:rPr>
      </w:pPr>
      <w:r>
        <w:rPr>
          <w:rFonts w:ascii="Calibri" w:eastAsia="Calibri" w:hAnsi="Calibri" w:cs="Calibri"/>
          <w:i/>
          <w:noProof/>
          <w:color w:val="000000"/>
          <w:sz w:val="15"/>
          <w:szCs w:val="15"/>
        </w:rPr>
        <w:drawing>
          <wp:inline distT="0" distB="0" distL="0" distR="0" wp14:anchorId="4D92C2A8" wp14:editId="12427F60">
            <wp:extent cx="5943600" cy="2853055"/>
            <wp:effectExtent l="0" t="0" r="0" b="0"/>
            <wp:docPr id="31" name="image19.png" descr="Graphical user interface,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9.png" descr="Graphical user interface, diagram&#10;&#10;Description automatically generated"/>
                    <pic:cNvPicPr preferRelativeResize="0"/>
                  </pic:nvPicPr>
                  <pic:blipFill>
                    <a:blip r:embed="rId8"/>
                    <a:srcRect/>
                    <a:stretch>
                      <a:fillRect/>
                    </a:stretch>
                  </pic:blipFill>
                  <pic:spPr>
                    <a:xfrm>
                      <a:off x="0" y="0"/>
                      <a:ext cx="5943600" cy="2853055"/>
                    </a:xfrm>
                    <a:prstGeom prst="rect">
                      <a:avLst/>
                    </a:prstGeom>
                    <a:ln/>
                  </pic:spPr>
                </pic:pic>
              </a:graphicData>
            </a:graphic>
          </wp:inline>
        </w:drawing>
      </w:r>
    </w:p>
    <w:p w14:paraId="1DE40DB5" w14:textId="77777777" w:rsidR="001308C0" w:rsidRDefault="00037BCD">
      <w:pPr>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lastRenderedPageBreak/>
        <w:t xml:space="preserve">Figure SI-2. 2: The same as Figure SI-2.1 but with site-level τ estimates. The regression is weighted to account for the uneven distribution of observational data points. </w:t>
      </w:r>
    </w:p>
    <w:p w14:paraId="50EE9E83" w14:textId="77777777" w:rsidR="001308C0" w:rsidRDefault="001308C0">
      <w:pPr>
        <w:spacing w:after="240" w:line="360" w:lineRule="auto"/>
        <w:rPr>
          <w:b/>
          <w:color w:val="000000"/>
          <w:sz w:val="21"/>
          <w:szCs w:val="21"/>
        </w:rPr>
      </w:pPr>
    </w:p>
    <w:p w14:paraId="6D43E58C" w14:textId="77777777" w:rsidR="001308C0" w:rsidRDefault="00037BCD">
      <w:pPr>
        <w:spacing w:after="240" w:line="360" w:lineRule="auto"/>
        <w:rPr>
          <w:b/>
          <w:color w:val="000000"/>
          <w:sz w:val="22"/>
          <w:szCs w:val="22"/>
        </w:rPr>
      </w:pPr>
      <w:r>
        <w:rPr>
          <w:b/>
          <w:color w:val="000000"/>
          <w:sz w:val="22"/>
          <w:szCs w:val="22"/>
        </w:rPr>
        <w:t>SI-3 The cause of non-linearity in the τ-temperature relationship</w:t>
      </w:r>
    </w:p>
    <w:p w14:paraId="60CA2385" w14:textId="77777777" w:rsidR="001308C0" w:rsidRDefault="00037BCD">
      <w:pPr>
        <w:spacing w:line="360" w:lineRule="auto"/>
        <w:rPr>
          <w:color w:val="000000"/>
          <w:sz w:val="22"/>
          <w:szCs w:val="22"/>
        </w:rPr>
      </w:pPr>
      <w:r>
        <w:rPr>
          <w:color w:val="000000"/>
          <w:sz w:val="22"/>
          <w:szCs w:val="22"/>
        </w:rPr>
        <w:t xml:space="preserve">We reproduced the results of </w:t>
      </w:r>
      <w:proofErr w:type="spellStart"/>
      <w:r>
        <w:rPr>
          <w:color w:val="000000"/>
          <w:sz w:val="22"/>
          <w:szCs w:val="22"/>
        </w:rPr>
        <w:t>Koven</w:t>
      </w:r>
      <w:proofErr w:type="spellEnd"/>
      <w:r>
        <w:rPr>
          <w:color w:val="000000"/>
          <w:sz w:val="22"/>
          <w:szCs w:val="22"/>
        </w:rPr>
        <w:t xml:space="preserve"> et al. (2017) using the exact same dataset and method in their study to investigate the linearity of the global τ-temperature relationship. In addition to </w:t>
      </w:r>
      <w:r>
        <w:rPr>
          <w:color w:val="000000"/>
          <w:sz w:val="22"/>
          <w:szCs w:val="22"/>
        </w:rPr>
        <w:t xml:space="preserve">the data </w:t>
      </w:r>
      <w:r>
        <w:rPr>
          <w:sz w:val="22"/>
          <w:szCs w:val="22"/>
        </w:rPr>
        <w:t>of the previous</w:t>
      </w:r>
      <w:r>
        <w:rPr>
          <w:color w:val="000000"/>
          <w:sz w:val="22"/>
          <w:szCs w:val="22"/>
        </w:rPr>
        <w:t xml:space="preserve"> study (</w:t>
      </w:r>
      <w:proofErr w:type="spellStart"/>
      <w:r>
        <w:rPr>
          <w:color w:val="000000"/>
          <w:sz w:val="22"/>
          <w:szCs w:val="22"/>
        </w:rPr>
        <w:t>Koven</w:t>
      </w:r>
      <w:proofErr w:type="spellEnd"/>
      <w:r>
        <w:rPr>
          <w:color w:val="000000"/>
          <w:sz w:val="22"/>
          <w:szCs w:val="22"/>
        </w:rPr>
        <w:t xml:space="preserve"> et al., 2017), we used the estimated total soil carbon stock (</w:t>
      </w:r>
      <w:proofErr w:type="spellStart"/>
      <w:r>
        <w:rPr>
          <w:color w:val="000000"/>
          <w:sz w:val="22"/>
          <w:szCs w:val="22"/>
        </w:rPr>
        <w:t>C</w:t>
      </w:r>
      <w:r>
        <w:rPr>
          <w:color w:val="000000"/>
          <w:sz w:val="22"/>
          <w:szCs w:val="22"/>
          <w:vertAlign w:val="subscript"/>
        </w:rPr>
        <w:t>total</w:t>
      </w:r>
      <w:proofErr w:type="spellEnd"/>
      <w:r>
        <w:rPr>
          <w:color w:val="000000"/>
          <w:sz w:val="22"/>
          <w:szCs w:val="22"/>
        </w:rPr>
        <w:t>) of the current study which is the averaged soil carbon stock from three different sources (see Methods) and GPP from FLUXCOM. Four global estimation</w:t>
      </w:r>
      <w:r>
        <w:rPr>
          <w:color w:val="000000"/>
          <w:sz w:val="22"/>
          <w:szCs w:val="22"/>
        </w:rPr>
        <w:t xml:space="preserve">s of τ are obtained by combining each pair of the soil carbon stock and carbon fluxes. Note that we also used the same mask </w:t>
      </w:r>
      <w:r>
        <w:rPr>
          <w:sz w:val="22"/>
          <w:szCs w:val="22"/>
        </w:rPr>
        <w:t>as the previous</w:t>
      </w:r>
      <w:r>
        <w:rPr>
          <w:color w:val="000000"/>
          <w:sz w:val="22"/>
          <w:szCs w:val="22"/>
        </w:rPr>
        <w:t xml:space="preserve"> study to exclude the water dominant region defined by the previous study. By fitting a quadratic regression model be</w:t>
      </w:r>
      <w:r>
        <w:rPr>
          <w:color w:val="000000"/>
          <w:sz w:val="22"/>
          <w:szCs w:val="22"/>
        </w:rPr>
        <w:t>tween logarithmic τ and temperature (log</w:t>
      </w:r>
      <w:r>
        <w:rPr>
          <w:color w:val="000000"/>
          <w:sz w:val="22"/>
          <w:szCs w:val="22"/>
          <w:vertAlign w:val="subscript"/>
        </w:rPr>
        <w:t>10</w:t>
      </w:r>
      <w:r>
        <w:rPr>
          <w:color w:val="000000"/>
          <w:sz w:val="22"/>
          <w:szCs w:val="22"/>
        </w:rPr>
        <w:t>(τ) ~ MAT</w:t>
      </w:r>
      <w:r>
        <w:rPr>
          <w:color w:val="000000"/>
          <w:sz w:val="22"/>
          <w:szCs w:val="22"/>
          <w:vertAlign w:val="superscript"/>
        </w:rPr>
        <w:t>2</w:t>
      </w:r>
      <w:r>
        <w:rPr>
          <w:color w:val="000000"/>
          <w:sz w:val="22"/>
          <w:szCs w:val="22"/>
        </w:rPr>
        <w:t>+MAT), the results show that we are able to reproduce the results from previous study and the Q</w:t>
      </w:r>
      <w:r>
        <w:rPr>
          <w:color w:val="000000"/>
          <w:sz w:val="22"/>
          <w:szCs w:val="22"/>
          <w:vertAlign w:val="subscript"/>
        </w:rPr>
        <w:t>10</w:t>
      </w:r>
      <w:r>
        <w:rPr>
          <w:color w:val="000000"/>
          <w:sz w:val="22"/>
          <w:szCs w:val="22"/>
        </w:rPr>
        <w:t xml:space="preserve"> values that are estimated by the quadratic function range from 1.00 to 5.30 (Figure SI-3.1, Table SI-3.1).</w:t>
      </w:r>
      <w:r>
        <w:rPr>
          <w:color w:val="000000"/>
          <w:sz w:val="22"/>
          <w:szCs w:val="22"/>
        </w:rPr>
        <w:t xml:space="preserve"> The quadratic function is obviously better than the linear function shown by the higher R2 and lower RMSE and AIC (Table SI-3. 1). We found similar patterns for all the four global estimations of τ that used different combinations of datasets. </w:t>
      </w:r>
    </w:p>
    <w:p w14:paraId="45C1824D" w14:textId="77777777" w:rsidR="001308C0" w:rsidRDefault="001308C0">
      <w:pPr>
        <w:spacing w:line="360" w:lineRule="auto"/>
        <w:rPr>
          <w:color w:val="000000"/>
          <w:sz w:val="22"/>
          <w:szCs w:val="22"/>
        </w:rPr>
      </w:pPr>
    </w:p>
    <w:p w14:paraId="2BB0ADC6" w14:textId="77777777" w:rsidR="001308C0" w:rsidRDefault="00037BCD">
      <w:pPr>
        <w:spacing w:line="360" w:lineRule="auto"/>
        <w:rPr>
          <w:color w:val="000000"/>
          <w:sz w:val="22"/>
          <w:szCs w:val="22"/>
        </w:rPr>
      </w:pPr>
      <w:r>
        <w:rPr>
          <w:color w:val="000000"/>
          <w:sz w:val="22"/>
          <w:szCs w:val="22"/>
        </w:rPr>
        <w:t xml:space="preserve">However, </w:t>
      </w:r>
      <w:r>
        <w:rPr>
          <w:color w:val="000000"/>
          <w:sz w:val="22"/>
          <w:szCs w:val="22"/>
        </w:rPr>
        <w:t xml:space="preserve">the pattern of the τ-temperature relationship changed significantly after we included hydrometeorological variables including precipitation (MAP), potential evapotranspiration (PET) and </w:t>
      </w:r>
      <w:r>
        <w:rPr>
          <w:sz w:val="22"/>
          <w:szCs w:val="22"/>
        </w:rPr>
        <w:t>peatland</w:t>
      </w:r>
      <w:r>
        <w:rPr>
          <w:color w:val="000000"/>
          <w:sz w:val="22"/>
          <w:szCs w:val="22"/>
        </w:rPr>
        <w:t xml:space="preserve"> fraction (PSF) into the quadratic regression model between lo</w:t>
      </w:r>
      <w:r>
        <w:rPr>
          <w:color w:val="000000"/>
          <w:sz w:val="22"/>
          <w:szCs w:val="22"/>
        </w:rPr>
        <w:t>garithmic τ and temperature (log</w:t>
      </w:r>
      <w:r>
        <w:rPr>
          <w:color w:val="000000"/>
          <w:sz w:val="22"/>
          <w:szCs w:val="22"/>
          <w:vertAlign w:val="subscript"/>
        </w:rPr>
        <w:t>10</w:t>
      </w:r>
      <w:r>
        <w:rPr>
          <w:color w:val="000000"/>
          <w:sz w:val="22"/>
          <w:szCs w:val="22"/>
        </w:rPr>
        <w:t>(τ) ~ MAT</w:t>
      </w:r>
      <w:r>
        <w:rPr>
          <w:color w:val="000000"/>
          <w:sz w:val="22"/>
          <w:szCs w:val="22"/>
          <w:vertAlign w:val="superscript"/>
        </w:rPr>
        <w:t>2</w:t>
      </w:r>
      <w:r>
        <w:rPr>
          <w:color w:val="000000"/>
          <w:sz w:val="22"/>
          <w:szCs w:val="22"/>
        </w:rPr>
        <w:t>+MAT+1/MAP+1/PET+PSF). The results (Figure SI-3.2) show a substantial reduction in the non-linearity by controlling hydrometeorological effect as shown by the little difference in R</w:t>
      </w:r>
      <w:r>
        <w:rPr>
          <w:color w:val="000000"/>
          <w:sz w:val="22"/>
          <w:szCs w:val="22"/>
          <w:vertAlign w:val="superscript"/>
        </w:rPr>
        <w:t>2</w:t>
      </w:r>
      <w:r>
        <w:rPr>
          <w:color w:val="000000"/>
          <w:sz w:val="22"/>
          <w:szCs w:val="22"/>
        </w:rPr>
        <w:t>, RMSE between linear and quad</w:t>
      </w:r>
      <w:r>
        <w:rPr>
          <w:color w:val="000000"/>
          <w:sz w:val="22"/>
          <w:szCs w:val="22"/>
        </w:rPr>
        <w:t>ratic fitting (Table SI-3.2). The range of the estimated Q</w:t>
      </w:r>
      <w:r>
        <w:rPr>
          <w:color w:val="000000"/>
          <w:sz w:val="22"/>
          <w:szCs w:val="22"/>
          <w:vertAlign w:val="subscript"/>
        </w:rPr>
        <w:t>10</w:t>
      </w:r>
      <w:r>
        <w:rPr>
          <w:color w:val="000000"/>
          <w:sz w:val="22"/>
          <w:szCs w:val="22"/>
        </w:rPr>
        <w:t xml:space="preserve"> values using </w:t>
      </w:r>
      <w:proofErr w:type="spellStart"/>
      <w:r>
        <w:rPr>
          <w:color w:val="000000"/>
          <w:sz w:val="22"/>
          <w:szCs w:val="22"/>
        </w:rPr>
        <w:t>Koven’s</w:t>
      </w:r>
      <w:proofErr w:type="spellEnd"/>
      <w:r>
        <w:rPr>
          <w:color w:val="000000"/>
          <w:sz w:val="22"/>
          <w:szCs w:val="22"/>
        </w:rPr>
        <w:t xml:space="preserve"> original data reduced to 1.09 to 2.56 and much reduced non-linearity for the other three combinations of data (Q</w:t>
      </w:r>
      <w:r>
        <w:rPr>
          <w:color w:val="000000"/>
          <w:sz w:val="22"/>
          <w:szCs w:val="22"/>
          <w:vertAlign w:val="subscript"/>
        </w:rPr>
        <w:t>10</w:t>
      </w:r>
      <w:r>
        <w:rPr>
          <w:color w:val="000000"/>
          <w:sz w:val="22"/>
          <w:szCs w:val="22"/>
        </w:rPr>
        <w:t xml:space="preserve"> values ranges from 1.4 to 1.9). </w:t>
      </w:r>
    </w:p>
    <w:p w14:paraId="34074AB0" w14:textId="77777777" w:rsidR="001308C0" w:rsidRDefault="001308C0">
      <w:pPr>
        <w:spacing w:line="360" w:lineRule="auto"/>
        <w:rPr>
          <w:color w:val="000000"/>
          <w:sz w:val="22"/>
          <w:szCs w:val="22"/>
        </w:rPr>
      </w:pPr>
    </w:p>
    <w:p w14:paraId="16C91FE7" w14:textId="77777777" w:rsidR="001308C0" w:rsidRDefault="00037BCD">
      <w:pPr>
        <w:spacing w:line="360" w:lineRule="auto"/>
        <w:rPr>
          <w:color w:val="000000"/>
          <w:sz w:val="22"/>
          <w:szCs w:val="22"/>
        </w:rPr>
      </w:pPr>
      <w:r>
        <w:rPr>
          <w:color w:val="000000"/>
          <w:sz w:val="22"/>
          <w:szCs w:val="22"/>
        </w:rPr>
        <w:t xml:space="preserve">We also </w:t>
      </w:r>
      <w:r>
        <w:rPr>
          <w:sz w:val="22"/>
          <w:szCs w:val="22"/>
        </w:rPr>
        <w:t>used a site-level</w:t>
      </w:r>
      <w:r>
        <w:rPr>
          <w:color w:val="000000"/>
          <w:sz w:val="22"/>
          <w:szCs w:val="22"/>
        </w:rPr>
        <w:t xml:space="preserve"> τ database to investigate the non-linearity between τ and temperature. Similar to the results that derived from gridded datasets as previously showed, the hydrometeorological effect on the non-li</w:t>
      </w:r>
      <w:r>
        <w:rPr>
          <w:color w:val="000000"/>
          <w:sz w:val="22"/>
          <w:szCs w:val="22"/>
        </w:rPr>
        <w:t>nearity can be also found at site-level that the range of the estimated Q</w:t>
      </w:r>
      <w:r>
        <w:rPr>
          <w:color w:val="000000"/>
          <w:sz w:val="22"/>
          <w:szCs w:val="22"/>
          <w:vertAlign w:val="subscript"/>
        </w:rPr>
        <w:t>10</w:t>
      </w:r>
      <w:r>
        <w:rPr>
          <w:color w:val="000000"/>
          <w:sz w:val="22"/>
          <w:szCs w:val="22"/>
        </w:rPr>
        <w:t xml:space="preserve"> values is reduced, although not as much as that using gridded datasets (Table SI-3.3, Table SI-3.4). It is worth to note that the number of site-level observations are much less (N</w:t>
      </w:r>
      <w:r>
        <w:rPr>
          <w:color w:val="000000"/>
          <w:sz w:val="22"/>
          <w:szCs w:val="22"/>
        </w:rPr>
        <w:t xml:space="preserve">=230) than the gridded datasets and the spatial distribution are highly heterogeneous since there are more observations in the lower latitudes than in the higher latitudes. We therefore retrieved the data points from the global gridded dataset at the same </w:t>
      </w:r>
      <w:r>
        <w:rPr>
          <w:color w:val="000000"/>
          <w:sz w:val="22"/>
          <w:szCs w:val="22"/>
        </w:rPr>
        <w:t xml:space="preserve">geographical location </w:t>
      </w:r>
      <w:r>
        <w:rPr>
          <w:color w:val="000000"/>
          <w:sz w:val="22"/>
          <w:szCs w:val="22"/>
        </w:rPr>
        <w:lastRenderedPageBreak/>
        <w:t>as the site-level data (site-grid dataset, hereafter) to investigate the effect of spatial heterogeneity to the non-linearity. The results show that the spatial distribution of site-level data contributed significantly to the non-line</w:t>
      </w:r>
      <w:r>
        <w:rPr>
          <w:color w:val="000000"/>
          <w:sz w:val="22"/>
          <w:szCs w:val="22"/>
        </w:rPr>
        <w:t>arity of the τ-MAT relationship shown by the very similar results that derived from site-level data and site-grid data. We thus concluded that although hydrometeorological effect on the non-linearity can be also found at site-level the magnitude is much le</w:t>
      </w:r>
      <w:r>
        <w:rPr>
          <w:color w:val="000000"/>
          <w:sz w:val="22"/>
          <w:szCs w:val="22"/>
        </w:rPr>
        <w:t xml:space="preserve">ss due to the limited spatial representativeness of the data. </w:t>
      </w:r>
    </w:p>
    <w:p w14:paraId="3CD98BDA" w14:textId="77777777" w:rsidR="001308C0" w:rsidRDefault="001308C0">
      <w:pPr>
        <w:spacing w:line="360" w:lineRule="auto"/>
        <w:rPr>
          <w:color w:val="000000"/>
          <w:sz w:val="22"/>
          <w:szCs w:val="22"/>
        </w:rPr>
      </w:pPr>
    </w:p>
    <w:p w14:paraId="00D7071C" w14:textId="77777777" w:rsidR="001308C0" w:rsidRDefault="00037BCD">
      <w:pPr>
        <w:spacing w:line="360" w:lineRule="auto"/>
        <w:rPr>
          <w:color w:val="000000"/>
          <w:sz w:val="22"/>
          <w:szCs w:val="22"/>
        </w:rPr>
      </w:pPr>
      <w:r>
        <w:rPr>
          <w:color w:val="000000"/>
          <w:sz w:val="22"/>
          <w:szCs w:val="22"/>
        </w:rPr>
        <w:t>By including hydrometeorological variables into the global fitting, we show a much-reduced non-linearity of the τ-temperature relationship and therefore much constrained Q</w:t>
      </w:r>
      <w:r>
        <w:rPr>
          <w:color w:val="000000"/>
          <w:sz w:val="22"/>
          <w:szCs w:val="22"/>
          <w:vertAlign w:val="subscript"/>
        </w:rPr>
        <w:t>10</w:t>
      </w:r>
      <w:r>
        <w:rPr>
          <w:color w:val="000000"/>
          <w:sz w:val="22"/>
          <w:szCs w:val="22"/>
        </w:rPr>
        <w:t xml:space="preserve"> values. The </w:t>
      </w:r>
      <w:r>
        <w:rPr>
          <w:sz w:val="22"/>
          <w:szCs w:val="22"/>
        </w:rPr>
        <w:t>statis</w:t>
      </w:r>
      <w:r>
        <w:rPr>
          <w:sz w:val="22"/>
          <w:szCs w:val="22"/>
        </w:rPr>
        <w:t>tical</w:t>
      </w:r>
      <w:r>
        <w:rPr>
          <w:color w:val="000000"/>
          <w:sz w:val="22"/>
          <w:szCs w:val="22"/>
        </w:rPr>
        <w:t xml:space="preserve"> results indicate that the response of log</w:t>
      </w:r>
      <w:r>
        <w:rPr>
          <w:color w:val="000000"/>
          <w:sz w:val="22"/>
          <w:szCs w:val="22"/>
          <w:vertAlign w:val="subscript"/>
        </w:rPr>
        <w:t>10</w:t>
      </w:r>
      <w:r>
        <w:rPr>
          <w:color w:val="000000"/>
          <w:sz w:val="22"/>
          <w:szCs w:val="22"/>
        </w:rPr>
        <w:t>(τ) to temperature is adjusted to a linear function from a second order polynomial function when hydrometeorological variables are controlled (Figure SI-3.2, Table SI-3.2). In conclusion, our results show th</w:t>
      </w:r>
      <w:r>
        <w:rPr>
          <w:color w:val="000000"/>
          <w:sz w:val="22"/>
          <w:szCs w:val="22"/>
        </w:rPr>
        <w:t>at the non-linearity in the τ-temperature relationship is caused by hydrometeorological variables and the response of log</w:t>
      </w:r>
      <w:r>
        <w:rPr>
          <w:color w:val="000000"/>
          <w:sz w:val="22"/>
          <w:szCs w:val="22"/>
          <w:vertAlign w:val="subscript"/>
        </w:rPr>
        <w:t>10</w:t>
      </w:r>
      <w:r>
        <w:rPr>
          <w:color w:val="000000"/>
          <w:sz w:val="22"/>
          <w:szCs w:val="22"/>
        </w:rPr>
        <w:t xml:space="preserve">(τ) to temperature can be better represented by a linear function. </w:t>
      </w:r>
    </w:p>
    <w:p w14:paraId="543879A3" w14:textId="77777777" w:rsidR="001308C0" w:rsidRDefault="00037BCD">
      <w:pPr>
        <w:spacing w:line="360" w:lineRule="auto"/>
        <w:rPr>
          <w:sz w:val="20"/>
          <w:szCs w:val="20"/>
        </w:rPr>
      </w:pPr>
      <w:r>
        <w:rPr>
          <w:noProof/>
          <w:sz w:val="20"/>
          <w:szCs w:val="20"/>
        </w:rPr>
        <w:drawing>
          <wp:inline distT="0" distB="0" distL="0" distR="0" wp14:anchorId="1C1D3F46" wp14:editId="29111927">
            <wp:extent cx="5943600" cy="3568065"/>
            <wp:effectExtent l="0" t="0" r="0" b="0"/>
            <wp:docPr id="30" name="image10.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Chart&#10;&#10;Description automatically generated"/>
                    <pic:cNvPicPr preferRelativeResize="0"/>
                  </pic:nvPicPr>
                  <pic:blipFill>
                    <a:blip r:embed="rId9"/>
                    <a:srcRect/>
                    <a:stretch>
                      <a:fillRect/>
                    </a:stretch>
                  </pic:blipFill>
                  <pic:spPr>
                    <a:xfrm>
                      <a:off x="0" y="0"/>
                      <a:ext cx="5943600" cy="3568065"/>
                    </a:xfrm>
                    <a:prstGeom prst="rect">
                      <a:avLst/>
                    </a:prstGeom>
                    <a:ln/>
                  </pic:spPr>
                </pic:pic>
              </a:graphicData>
            </a:graphic>
          </wp:inline>
        </w:drawing>
      </w:r>
    </w:p>
    <w:p w14:paraId="159F5276" w14:textId="77777777" w:rsidR="001308C0" w:rsidRDefault="001308C0">
      <w:pPr>
        <w:keepNext/>
        <w:spacing w:line="360" w:lineRule="auto"/>
        <w:rPr>
          <w:sz w:val="21"/>
          <w:szCs w:val="21"/>
        </w:rPr>
      </w:pPr>
    </w:p>
    <w:p w14:paraId="1C2B3B8E" w14:textId="77777777" w:rsidR="001308C0" w:rsidRDefault="00037BCD">
      <w:pPr>
        <w:pBdr>
          <w:top w:val="nil"/>
          <w:left w:val="nil"/>
          <w:bottom w:val="nil"/>
          <w:right w:val="nil"/>
          <w:between w:val="nil"/>
        </w:pBdr>
        <w:spacing w:after="200"/>
        <w:rPr>
          <w:rFonts w:ascii="Calibri" w:eastAsia="Calibri" w:hAnsi="Calibri" w:cs="Calibri"/>
          <w:i/>
          <w:color w:val="000000"/>
          <w:sz w:val="20"/>
          <w:szCs w:val="20"/>
        </w:rPr>
      </w:pPr>
      <w:bookmarkStart w:id="1" w:name="_heading=h.1fob9te" w:colFirst="0" w:colLast="0"/>
      <w:bookmarkEnd w:id="1"/>
      <w:r>
        <w:rPr>
          <w:rFonts w:ascii="Calibri" w:eastAsia="Calibri" w:hAnsi="Calibri" w:cs="Calibri"/>
          <w:i/>
          <w:color w:val="000000"/>
          <w:sz w:val="20"/>
          <w:szCs w:val="20"/>
        </w:rPr>
        <w:t xml:space="preserve">Figure SI-3. 1:  </w:t>
      </w:r>
      <w:r>
        <w:rPr>
          <w:rFonts w:ascii="Calibri" w:eastAsia="Calibri" w:hAnsi="Calibri" w:cs="Calibri"/>
          <w:b/>
          <w:i/>
          <w:color w:val="000000"/>
          <w:sz w:val="20"/>
          <w:szCs w:val="20"/>
        </w:rPr>
        <w:t>Comparison between fittings of log (τ) as a f</w:t>
      </w:r>
      <w:r>
        <w:rPr>
          <w:rFonts w:ascii="Calibri" w:eastAsia="Calibri" w:hAnsi="Calibri" w:cs="Calibri"/>
          <w:b/>
          <w:i/>
          <w:color w:val="000000"/>
          <w:sz w:val="20"/>
          <w:szCs w:val="20"/>
        </w:rPr>
        <w:t>unction of temperature with linear and quadratic models and corresponding Q</w:t>
      </w:r>
      <w:r>
        <w:rPr>
          <w:rFonts w:ascii="Calibri" w:eastAsia="Calibri" w:hAnsi="Calibri" w:cs="Calibri"/>
          <w:b/>
          <w:i/>
          <w:color w:val="000000"/>
          <w:sz w:val="20"/>
          <w:szCs w:val="20"/>
          <w:vertAlign w:val="subscript"/>
        </w:rPr>
        <w:t>10</w:t>
      </w:r>
      <w:r>
        <w:rPr>
          <w:rFonts w:ascii="Calibri" w:eastAsia="Calibri" w:hAnsi="Calibri" w:cs="Calibri"/>
          <w:b/>
          <w:i/>
          <w:color w:val="000000"/>
          <w:sz w:val="20"/>
          <w:szCs w:val="20"/>
        </w:rPr>
        <w:t xml:space="preserve"> values on global scale.</w:t>
      </w:r>
      <w:r>
        <w:rPr>
          <w:rFonts w:ascii="Calibri" w:eastAsia="Calibri" w:hAnsi="Calibri" w:cs="Calibri"/>
          <w:i/>
          <w:color w:val="000000"/>
          <w:sz w:val="20"/>
          <w:szCs w:val="20"/>
        </w:rPr>
        <w:t xml:space="preserve"> Solid red lines represent quadratic fitting </w:t>
      </w:r>
      <w:r>
        <w:rPr>
          <w:rFonts w:ascii="Calibri" w:eastAsia="Calibri" w:hAnsi="Calibri" w:cs="Calibri"/>
          <w:i/>
          <w:sz w:val="20"/>
          <w:szCs w:val="20"/>
        </w:rPr>
        <w:t>curves</w:t>
      </w:r>
      <w:r>
        <w:rPr>
          <w:rFonts w:ascii="Calibri" w:eastAsia="Calibri" w:hAnsi="Calibri" w:cs="Calibri"/>
          <w:i/>
          <w:color w:val="000000"/>
          <w:sz w:val="20"/>
          <w:szCs w:val="20"/>
        </w:rPr>
        <w:t xml:space="preserve"> (log10(τ) ~ MAT</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+MAT) while green lines represent linear fit (log10(τ) ~ MAT). The density plot of observational data is overlaid. The </w:t>
      </w:r>
      <w:r>
        <w:rPr>
          <w:rFonts w:ascii="Calibri" w:eastAsia="Calibri" w:hAnsi="Calibri" w:cs="Calibri"/>
          <w:i/>
          <w:sz w:val="20"/>
          <w:szCs w:val="20"/>
        </w:rPr>
        <w:t>embedded</w:t>
      </w:r>
      <w:r>
        <w:rPr>
          <w:rFonts w:ascii="Calibri" w:eastAsia="Calibri" w:hAnsi="Calibri" w:cs="Calibri"/>
          <w:i/>
          <w:color w:val="000000"/>
          <w:sz w:val="20"/>
          <w:szCs w:val="20"/>
        </w:rPr>
        <w:t xml:space="preserve"> smaller figure at the lower left corner is Q</w:t>
      </w:r>
      <w:r>
        <w:rPr>
          <w:rFonts w:ascii="Calibri" w:eastAsia="Calibri" w:hAnsi="Calibri" w:cs="Calibri"/>
          <w:i/>
          <w:color w:val="000000"/>
          <w:sz w:val="20"/>
          <w:szCs w:val="20"/>
          <w:vertAlign w:val="subscript"/>
        </w:rPr>
        <w:t>10</w:t>
      </w:r>
      <w:r>
        <w:rPr>
          <w:rFonts w:ascii="Calibri" w:eastAsia="Calibri" w:hAnsi="Calibri" w:cs="Calibri"/>
          <w:i/>
          <w:color w:val="000000"/>
          <w:sz w:val="20"/>
          <w:szCs w:val="20"/>
        </w:rPr>
        <w:t xml:space="preserve"> values (derived from quadratic fitting) against temperature. Different data is us</w:t>
      </w:r>
      <w:r>
        <w:rPr>
          <w:rFonts w:ascii="Calibri" w:eastAsia="Calibri" w:hAnsi="Calibri" w:cs="Calibri"/>
          <w:i/>
          <w:color w:val="000000"/>
          <w:sz w:val="20"/>
          <w:szCs w:val="20"/>
        </w:rPr>
        <w:t xml:space="preserve">ed to estimate τ with two different carbon </w:t>
      </w:r>
      <w:r>
        <w:rPr>
          <w:rFonts w:ascii="Calibri" w:eastAsia="Calibri" w:hAnsi="Calibri" w:cs="Calibri"/>
          <w:i/>
          <w:sz w:val="20"/>
          <w:szCs w:val="20"/>
        </w:rPr>
        <w:t>stocks</w:t>
      </w:r>
      <w:r>
        <w:rPr>
          <w:rFonts w:ascii="Calibri" w:eastAsia="Calibri" w:hAnsi="Calibri" w:cs="Calibri"/>
          <w:i/>
          <w:color w:val="000000"/>
          <w:sz w:val="20"/>
          <w:szCs w:val="20"/>
        </w:rPr>
        <w:t xml:space="preserve">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total</w:t>
      </w:r>
      <w:proofErr w:type="spellEnd"/>
      <w:r>
        <w:rPr>
          <w:rFonts w:ascii="Calibri" w:eastAsia="Calibri" w:hAnsi="Calibri" w:cs="Calibri"/>
          <w:i/>
          <w:color w:val="000000"/>
          <w:sz w:val="20"/>
          <w:szCs w:val="20"/>
        </w:rPr>
        <w:t xml:space="preserve"> and C</w:t>
      </w:r>
      <w:r>
        <w:rPr>
          <w:rFonts w:ascii="Calibri" w:eastAsia="Calibri" w:hAnsi="Calibri" w:cs="Calibri"/>
          <w:i/>
          <w:color w:val="000000"/>
          <w:sz w:val="20"/>
          <w:szCs w:val="20"/>
          <w:vertAlign w:val="subscript"/>
        </w:rPr>
        <w:t>HWSD</w:t>
      </w:r>
      <w:r>
        <w:rPr>
          <w:rFonts w:ascii="Calibri" w:eastAsia="Calibri" w:hAnsi="Calibri" w:cs="Calibri"/>
          <w:i/>
          <w:color w:val="000000"/>
          <w:sz w:val="20"/>
          <w:szCs w:val="20"/>
        </w:rPr>
        <w:t>) and two carbon flux products (GPP</w:t>
      </w:r>
      <w:r>
        <w:rPr>
          <w:rFonts w:ascii="Calibri" w:eastAsia="Calibri" w:hAnsi="Calibri" w:cs="Calibri"/>
          <w:i/>
          <w:color w:val="000000"/>
          <w:sz w:val="20"/>
          <w:szCs w:val="20"/>
          <w:vertAlign w:val="subscript"/>
        </w:rPr>
        <w:t>MODIS</w:t>
      </w:r>
      <w:r>
        <w:rPr>
          <w:rFonts w:ascii="Calibri" w:eastAsia="Calibri" w:hAnsi="Calibri" w:cs="Calibri"/>
          <w:i/>
          <w:color w:val="000000"/>
          <w:sz w:val="20"/>
          <w:szCs w:val="20"/>
        </w:rPr>
        <w:t xml:space="preserve"> and GPP</w:t>
      </w:r>
      <w:r>
        <w:rPr>
          <w:rFonts w:ascii="Calibri" w:eastAsia="Calibri" w:hAnsi="Calibri" w:cs="Calibri"/>
          <w:i/>
          <w:color w:val="000000"/>
          <w:sz w:val="20"/>
          <w:szCs w:val="20"/>
          <w:vertAlign w:val="subscript"/>
        </w:rPr>
        <w:t>FLUXCOM</w:t>
      </w:r>
      <w:r>
        <w:rPr>
          <w:rFonts w:ascii="Calibri" w:eastAsia="Calibri" w:hAnsi="Calibri" w:cs="Calibri"/>
          <w:i/>
          <w:color w:val="000000"/>
          <w:sz w:val="20"/>
          <w:szCs w:val="20"/>
        </w:rPr>
        <w:t xml:space="preserve">). </w:t>
      </w:r>
    </w:p>
    <w:p w14:paraId="41988363" w14:textId="77777777" w:rsidR="001308C0" w:rsidRDefault="001308C0">
      <w:pPr>
        <w:pBdr>
          <w:top w:val="nil"/>
          <w:left w:val="nil"/>
          <w:bottom w:val="nil"/>
          <w:right w:val="nil"/>
          <w:between w:val="nil"/>
        </w:pBdr>
        <w:spacing w:before="280" w:after="280" w:line="360" w:lineRule="auto"/>
        <w:rPr>
          <w:color w:val="000000"/>
          <w:sz w:val="16"/>
          <w:szCs w:val="16"/>
        </w:rPr>
      </w:pPr>
    </w:p>
    <w:p w14:paraId="12F54DC6" w14:textId="77777777" w:rsidR="001308C0" w:rsidRDefault="00037BCD">
      <w:pPr>
        <w:keepNext/>
        <w:spacing w:line="360" w:lineRule="auto"/>
        <w:rPr>
          <w:sz w:val="21"/>
          <w:szCs w:val="21"/>
        </w:rPr>
      </w:pPr>
      <w:r>
        <w:rPr>
          <w:noProof/>
          <w:sz w:val="21"/>
          <w:szCs w:val="21"/>
        </w:rPr>
        <w:drawing>
          <wp:inline distT="0" distB="0" distL="0" distR="0" wp14:anchorId="0FFEB3E7" wp14:editId="39486A61">
            <wp:extent cx="5943600" cy="3568065"/>
            <wp:effectExtent l="0" t="0" r="0" b="0"/>
            <wp:docPr id="33" name="image17.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png" descr="A picture containing chart&#10;&#10;Description automatically generated"/>
                    <pic:cNvPicPr preferRelativeResize="0"/>
                  </pic:nvPicPr>
                  <pic:blipFill>
                    <a:blip r:embed="rId10"/>
                    <a:srcRect/>
                    <a:stretch>
                      <a:fillRect/>
                    </a:stretch>
                  </pic:blipFill>
                  <pic:spPr>
                    <a:xfrm>
                      <a:off x="0" y="0"/>
                      <a:ext cx="5943600" cy="3568065"/>
                    </a:xfrm>
                    <a:prstGeom prst="rect">
                      <a:avLst/>
                    </a:prstGeom>
                    <a:ln/>
                  </pic:spPr>
                </pic:pic>
              </a:graphicData>
            </a:graphic>
          </wp:inline>
        </w:drawing>
      </w:r>
    </w:p>
    <w:p w14:paraId="67B5727A" w14:textId="77777777" w:rsidR="001308C0" w:rsidRDefault="00037BCD">
      <w:pPr>
        <w:pBdr>
          <w:top w:val="nil"/>
          <w:left w:val="nil"/>
          <w:bottom w:val="nil"/>
          <w:right w:val="nil"/>
          <w:between w:val="nil"/>
        </w:pBdr>
        <w:spacing w:after="200"/>
        <w:rPr>
          <w:rFonts w:ascii="Calibri" w:eastAsia="Calibri" w:hAnsi="Calibri" w:cs="Calibri"/>
          <w:i/>
          <w:color w:val="000000"/>
          <w:sz w:val="20"/>
          <w:szCs w:val="20"/>
        </w:rPr>
      </w:pPr>
      <w:bookmarkStart w:id="2" w:name="_heading=h.3znysh7" w:colFirst="0" w:colLast="0"/>
      <w:bookmarkEnd w:id="2"/>
      <w:r>
        <w:rPr>
          <w:rFonts w:ascii="Calibri" w:eastAsia="Calibri" w:hAnsi="Calibri" w:cs="Calibri"/>
          <w:i/>
          <w:color w:val="000000"/>
          <w:sz w:val="20"/>
          <w:szCs w:val="20"/>
        </w:rPr>
        <w:t xml:space="preserve">Figure SI-3. 2:  </w:t>
      </w:r>
      <w:r>
        <w:rPr>
          <w:rFonts w:ascii="Calibri" w:eastAsia="Calibri" w:hAnsi="Calibri" w:cs="Calibri"/>
          <w:b/>
          <w:i/>
          <w:color w:val="000000"/>
          <w:sz w:val="20"/>
          <w:szCs w:val="20"/>
        </w:rPr>
        <w:t xml:space="preserve">The adjusted response of log (τ) to MAT </w:t>
      </w:r>
      <w:r>
        <w:rPr>
          <w:rFonts w:ascii="Calibri" w:eastAsia="Calibri" w:hAnsi="Calibri" w:cs="Calibri"/>
          <w:b/>
          <w:i/>
          <w:sz w:val="20"/>
          <w:szCs w:val="20"/>
        </w:rPr>
        <w:t>when the hydrometeorological</w:t>
      </w:r>
      <w:r>
        <w:rPr>
          <w:rFonts w:ascii="Calibri" w:eastAsia="Calibri" w:hAnsi="Calibri" w:cs="Calibri"/>
          <w:b/>
          <w:i/>
          <w:color w:val="000000"/>
          <w:sz w:val="20"/>
          <w:szCs w:val="20"/>
        </w:rPr>
        <w:t xml:space="preserve"> effect is controlled in multiple regression models. </w:t>
      </w:r>
      <w:r>
        <w:rPr>
          <w:rFonts w:ascii="Calibri" w:eastAsia="Calibri" w:hAnsi="Calibri" w:cs="Calibri"/>
          <w:i/>
          <w:color w:val="000000"/>
          <w:sz w:val="20"/>
          <w:szCs w:val="20"/>
        </w:rPr>
        <w:t>Solid red lines represent quadratic fitting curve (log10(τ) ~ MAT</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+MAT+1/MAP+1/PET+PSF) while green lines represent linear fit (log10(τ) ~ MAT+1/MAP+1/PET+PSF). The density plot of observational data is </w:t>
      </w:r>
      <w:r>
        <w:rPr>
          <w:rFonts w:ascii="Calibri" w:eastAsia="Calibri" w:hAnsi="Calibri" w:cs="Calibri"/>
          <w:i/>
          <w:color w:val="000000"/>
          <w:sz w:val="20"/>
          <w:szCs w:val="20"/>
        </w:rPr>
        <w:t xml:space="preserve">overlaid. The </w:t>
      </w:r>
      <w:r>
        <w:rPr>
          <w:rFonts w:ascii="Calibri" w:eastAsia="Calibri" w:hAnsi="Calibri" w:cs="Calibri"/>
          <w:i/>
          <w:sz w:val="20"/>
          <w:szCs w:val="20"/>
        </w:rPr>
        <w:t>embedded</w:t>
      </w:r>
      <w:r>
        <w:rPr>
          <w:rFonts w:ascii="Calibri" w:eastAsia="Calibri" w:hAnsi="Calibri" w:cs="Calibri"/>
          <w:i/>
          <w:color w:val="000000"/>
          <w:sz w:val="20"/>
          <w:szCs w:val="20"/>
        </w:rPr>
        <w:t xml:space="preserve"> smaller figure at the lower left corner is Q</w:t>
      </w:r>
      <w:r>
        <w:rPr>
          <w:rFonts w:ascii="Calibri" w:eastAsia="Calibri" w:hAnsi="Calibri" w:cs="Calibri"/>
          <w:i/>
          <w:color w:val="000000"/>
          <w:sz w:val="20"/>
          <w:szCs w:val="20"/>
          <w:vertAlign w:val="subscript"/>
        </w:rPr>
        <w:t>10</w:t>
      </w:r>
      <w:r>
        <w:rPr>
          <w:rFonts w:ascii="Calibri" w:eastAsia="Calibri" w:hAnsi="Calibri" w:cs="Calibri"/>
          <w:i/>
          <w:color w:val="000000"/>
          <w:sz w:val="20"/>
          <w:szCs w:val="20"/>
        </w:rPr>
        <w:t xml:space="preserve"> values (derived from quadratic fitting) against temperature. Different data is used to estimate τ with two different carbon </w:t>
      </w:r>
      <w:r>
        <w:rPr>
          <w:rFonts w:ascii="Calibri" w:eastAsia="Calibri" w:hAnsi="Calibri" w:cs="Calibri"/>
          <w:i/>
          <w:sz w:val="20"/>
          <w:szCs w:val="20"/>
        </w:rPr>
        <w:t>stocks</w:t>
      </w:r>
      <w:r>
        <w:rPr>
          <w:rFonts w:ascii="Calibri" w:eastAsia="Calibri" w:hAnsi="Calibri" w:cs="Calibri"/>
          <w:i/>
          <w:color w:val="000000"/>
          <w:sz w:val="20"/>
          <w:szCs w:val="20"/>
        </w:rPr>
        <w:t xml:space="preserve">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total</w:t>
      </w:r>
      <w:proofErr w:type="spellEnd"/>
      <w:r>
        <w:rPr>
          <w:rFonts w:ascii="Calibri" w:eastAsia="Calibri" w:hAnsi="Calibri" w:cs="Calibri"/>
          <w:i/>
          <w:color w:val="000000"/>
          <w:sz w:val="20"/>
          <w:szCs w:val="20"/>
        </w:rPr>
        <w:t xml:space="preserve"> and C</w:t>
      </w:r>
      <w:r>
        <w:rPr>
          <w:rFonts w:ascii="Calibri" w:eastAsia="Calibri" w:hAnsi="Calibri" w:cs="Calibri"/>
          <w:i/>
          <w:color w:val="000000"/>
          <w:sz w:val="20"/>
          <w:szCs w:val="20"/>
          <w:vertAlign w:val="subscript"/>
        </w:rPr>
        <w:t>HWSD</w:t>
      </w:r>
      <w:r>
        <w:rPr>
          <w:rFonts w:ascii="Calibri" w:eastAsia="Calibri" w:hAnsi="Calibri" w:cs="Calibri"/>
          <w:i/>
          <w:color w:val="000000"/>
          <w:sz w:val="20"/>
          <w:szCs w:val="20"/>
        </w:rPr>
        <w:t>) and two carbon flux products (GPP</w:t>
      </w:r>
      <w:r>
        <w:rPr>
          <w:rFonts w:ascii="Calibri" w:eastAsia="Calibri" w:hAnsi="Calibri" w:cs="Calibri"/>
          <w:i/>
          <w:color w:val="000000"/>
          <w:sz w:val="20"/>
          <w:szCs w:val="20"/>
          <w:vertAlign w:val="subscript"/>
        </w:rPr>
        <w:t>MODIS</w:t>
      </w:r>
      <w:r>
        <w:rPr>
          <w:rFonts w:ascii="Calibri" w:eastAsia="Calibri" w:hAnsi="Calibri" w:cs="Calibri"/>
          <w:i/>
          <w:color w:val="000000"/>
          <w:sz w:val="20"/>
          <w:szCs w:val="20"/>
        </w:rPr>
        <w:t xml:space="preserve"> and GPP</w:t>
      </w:r>
      <w:r>
        <w:rPr>
          <w:rFonts w:ascii="Calibri" w:eastAsia="Calibri" w:hAnsi="Calibri" w:cs="Calibri"/>
          <w:i/>
          <w:color w:val="000000"/>
          <w:sz w:val="20"/>
          <w:szCs w:val="20"/>
          <w:vertAlign w:val="subscript"/>
        </w:rPr>
        <w:t>FLUXCOM</w:t>
      </w:r>
      <w:r>
        <w:rPr>
          <w:rFonts w:ascii="Calibri" w:eastAsia="Calibri" w:hAnsi="Calibri" w:cs="Calibri"/>
          <w:i/>
          <w:color w:val="000000"/>
          <w:sz w:val="20"/>
          <w:szCs w:val="20"/>
        </w:rPr>
        <w:t xml:space="preserve">).    </w:t>
      </w:r>
    </w:p>
    <w:p w14:paraId="36F5B273" w14:textId="77777777" w:rsidR="001308C0" w:rsidRDefault="001308C0">
      <w:pPr>
        <w:spacing w:line="360" w:lineRule="auto"/>
        <w:rPr>
          <w:sz w:val="20"/>
          <w:szCs w:val="20"/>
        </w:rPr>
      </w:pPr>
    </w:p>
    <w:p w14:paraId="0ACBB07C" w14:textId="77777777" w:rsidR="001308C0" w:rsidRDefault="001308C0">
      <w:pPr>
        <w:spacing w:after="240" w:line="360" w:lineRule="auto"/>
        <w:rPr>
          <w:b/>
          <w:color w:val="074080"/>
          <w:sz w:val="21"/>
          <w:szCs w:val="21"/>
        </w:rPr>
      </w:pPr>
    </w:p>
    <w:p w14:paraId="433E3C32" w14:textId="77777777" w:rsidR="001308C0" w:rsidRDefault="00037BCD">
      <w:pPr>
        <w:keepNext/>
        <w:pBdr>
          <w:top w:val="nil"/>
          <w:left w:val="nil"/>
          <w:bottom w:val="nil"/>
          <w:right w:val="nil"/>
          <w:between w:val="nil"/>
        </w:pBdr>
        <w:spacing w:after="200"/>
        <w:rPr>
          <w:rFonts w:ascii="Calibri" w:eastAsia="Calibri" w:hAnsi="Calibri" w:cs="Calibri"/>
          <w:i/>
          <w:color w:val="000000"/>
          <w:sz w:val="20"/>
          <w:szCs w:val="20"/>
        </w:rPr>
      </w:pPr>
      <w:bookmarkStart w:id="3" w:name="_heading=h.2et92p0" w:colFirst="0" w:colLast="0"/>
      <w:bookmarkEnd w:id="3"/>
      <w:r>
        <w:rPr>
          <w:rFonts w:ascii="Calibri" w:eastAsia="Calibri" w:hAnsi="Calibri" w:cs="Calibri"/>
          <w:i/>
          <w:color w:val="000000"/>
          <w:sz w:val="20"/>
          <w:szCs w:val="20"/>
        </w:rPr>
        <w:t>Table SI-3. 1: Statistics associated with Figure SI-3.1.</w:t>
      </w:r>
    </w:p>
    <w:tbl>
      <w:tblPr>
        <w:tblStyle w:val="a"/>
        <w:tblW w:w="10853"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9"/>
        <w:gridCol w:w="580"/>
        <w:gridCol w:w="718"/>
        <w:gridCol w:w="537"/>
        <w:gridCol w:w="717"/>
        <w:gridCol w:w="537"/>
        <w:gridCol w:w="717"/>
        <w:gridCol w:w="626"/>
        <w:gridCol w:w="717"/>
        <w:gridCol w:w="537"/>
        <w:gridCol w:w="717"/>
        <w:gridCol w:w="537"/>
        <w:gridCol w:w="717"/>
        <w:gridCol w:w="806"/>
        <w:gridCol w:w="626"/>
        <w:gridCol w:w="610"/>
        <w:gridCol w:w="15"/>
      </w:tblGrid>
      <w:tr w:rsidR="001308C0" w14:paraId="42CFA40C" w14:textId="77777777" w:rsidTr="001308C0">
        <w:trPr>
          <w:cnfStyle w:val="100000000000" w:firstRow="1" w:lastRow="0" w:firstColumn="0" w:lastColumn="0" w:oddVBand="0" w:evenVBand="0" w:oddHBand="0" w:evenHBand="0" w:firstRowFirstColumn="0" w:firstRowLastColumn="0" w:lastRowFirstColumn="0" w:lastRowLastColumn="0"/>
          <w:trHeight w:val="362"/>
        </w:trPr>
        <w:tc>
          <w:tcPr>
            <w:cnfStyle w:val="001000000100" w:firstRow="0" w:lastRow="0" w:firstColumn="1" w:lastColumn="0" w:oddVBand="0" w:evenVBand="0" w:oddHBand="0" w:evenHBand="0" w:firstRowFirstColumn="1" w:firstRowLastColumn="0" w:lastRowFirstColumn="0" w:lastRowLastColumn="0"/>
            <w:tcW w:w="1139" w:type="dxa"/>
          </w:tcPr>
          <w:p w14:paraId="45981804" w14:textId="77777777" w:rsidR="001308C0" w:rsidRDefault="001308C0">
            <w:pPr>
              <w:spacing w:line="360" w:lineRule="auto"/>
              <w:rPr>
                <w:color w:val="000000"/>
                <w:sz w:val="11"/>
                <w:szCs w:val="11"/>
              </w:rPr>
            </w:pPr>
          </w:p>
        </w:tc>
        <w:tc>
          <w:tcPr>
            <w:tcW w:w="1298" w:type="dxa"/>
            <w:gridSpan w:val="2"/>
          </w:tcPr>
          <w:p w14:paraId="76DE20B9"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RMSE</w:t>
            </w:r>
          </w:p>
        </w:tc>
        <w:tc>
          <w:tcPr>
            <w:tcW w:w="1254" w:type="dxa"/>
            <w:gridSpan w:val="2"/>
          </w:tcPr>
          <w:p w14:paraId="429A6027"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R</w:t>
            </w:r>
            <w:r>
              <w:rPr>
                <w:color w:val="000000"/>
                <w:sz w:val="11"/>
                <w:szCs w:val="11"/>
                <w:vertAlign w:val="superscript"/>
              </w:rPr>
              <w:t>2</w:t>
            </w:r>
          </w:p>
        </w:tc>
        <w:tc>
          <w:tcPr>
            <w:tcW w:w="1254" w:type="dxa"/>
            <w:gridSpan w:val="2"/>
          </w:tcPr>
          <w:p w14:paraId="37679741"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AIC</w:t>
            </w:r>
          </w:p>
        </w:tc>
        <w:tc>
          <w:tcPr>
            <w:tcW w:w="1343" w:type="dxa"/>
            <w:gridSpan w:val="2"/>
          </w:tcPr>
          <w:p w14:paraId="1C225F59"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P1(coefficient of x</w:t>
            </w:r>
            <w:r>
              <w:rPr>
                <w:color w:val="000000"/>
                <w:sz w:val="11"/>
                <w:szCs w:val="11"/>
                <w:vertAlign w:val="superscript"/>
              </w:rPr>
              <w:t>2</w:t>
            </w:r>
            <w:r>
              <w:rPr>
                <w:color w:val="000000"/>
                <w:sz w:val="11"/>
                <w:szCs w:val="11"/>
              </w:rPr>
              <w:t>)</w:t>
            </w:r>
          </w:p>
        </w:tc>
        <w:tc>
          <w:tcPr>
            <w:tcW w:w="1254" w:type="dxa"/>
            <w:gridSpan w:val="2"/>
          </w:tcPr>
          <w:p w14:paraId="6DB09ECA"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P2(coefficient of x)</w:t>
            </w:r>
          </w:p>
        </w:tc>
        <w:tc>
          <w:tcPr>
            <w:tcW w:w="1254" w:type="dxa"/>
            <w:gridSpan w:val="2"/>
          </w:tcPr>
          <w:p w14:paraId="2BC893D6"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P3(intercept)</w:t>
            </w:r>
          </w:p>
        </w:tc>
        <w:tc>
          <w:tcPr>
            <w:tcW w:w="2057" w:type="dxa"/>
            <w:gridSpan w:val="4"/>
          </w:tcPr>
          <w:p w14:paraId="48DC344F"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Q10 values</w:t>
            </w:r>
          </w:p>
        </w:tc>
      </w:tr>
      <w:tr w:rsidR="001308C0" w14:paraId="4E91A4D2" w14:textId="77777777" w:rsidTr="001308C0">
        <w:trPr>
          <w:gridAfter w:val="1"/>
          <w:cnfStyle w:val="000000100000" w:firstRow="0" w:lastRow="0" w:firstColumn="0" w:lastColumn="0" w:oddVBand="0" w:evenVBand="0" w:oddHBand="1" w:evenHBand="0" w:firstRowFirstColumn="0" w:firstRowLastColumn="0" w:lastRowFirstColumn="0" w:lastRowLastColumn="0"/>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32D54909" w14:textId="77777777" w:rsidR="001308C0" w:rsidRDefault="001308C0">
            <w:pPr>
              <w:spacing w:line="360" w:lineRule="auto"/>
              <w:rPr>
                <w:color w:val="000000"/>
                <w:sz w:val="11"/>
                <w:szCs w:val="11"/>
              </w:rPr>
            </w:pPr>
          </w:p>
        </w:tc>
        <w:tc>
          <w:tcPr>
            <w:tcW w:w="580" w:type="dxa"/>
          </w:tcPr>
          <w:p w14:paraId="3B5FAE98"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8" w:type="dxa"/>
          </w:tcPr>
          <w:p w14:paraId="60B9CC44"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52DE3EB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3319EA6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044209B3" w14:textId="77777777" w:rsidR="001308C0" w:rsidRDefault="00037BCD">
            <w:pPr>
              <w:spacing w:line="360" w:lineRule="auto"/>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747AC5C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626" w:type="dxa"/>
          </w:tcPr>
          <w:p w14:paraId="25036F5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0FD4229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5840ED7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4DE23DC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7B67DAF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5A475AD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806" w:type="dxa"/>
          </w:tcPr>
          <w:p w14:paraId="7E74DDB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50</w:t>
            </w:r>
            <w:r>
              <w:rPr>
                <w:color w:val="000000"/>
                <w:sz w:val="11"/>
                <w:szCs w:val="11"/>
                <w:vertAlign w:val="superscript"/>
              </w:rPr>
              <w:t>th</w:t>
            </w:r>
            <w:r>
              <w:rPr>
                <w:color w:val="000000"/>
                <w:sz w:val="11"/>
                <w:szCs w:val="11"/>
              </w:rPr>
              <w:t>(median)</w:t>
            </w:r>
          </w:p>
        </w:tc>
        <w:tc>
          <w:tcPr>
            <w:tcW w:w="626" w:type="dxa"/>
          </w:tcPr>
          <w:p w14:paraId="646AC01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w:t>
            </w:r>
            <w:r>
              <w:rPr>
                <w:color w:val="000000"/>
                <w:sz w:val="11"/>
                <w:szCs w:val="11"/>
                <w:vertAlign w:val="superscript"/>
              </w:rPr>
              <w:t>th</w:t>
            </w:r>
          </w:p>
        </w:tc>
        <w:tc>
          <w:tcPr>
            <w:tcW w:w="610" w:type="dxa"/>
          </w:tcPr>
          <w:p w14:paraId="6E585A6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99</w:t>
            </w:r>
            <w:r>
              <w:rPr>
                <w:color w:val="000000"/>
                <w:sz w:val="11"/>
                <w:szCs w:val="11"/>
                <w:vertAlign w:val="superscript"/>
              </w:rPr>
              <w:t>th</w:t>
            </w:r>
          </w:p>
        </w:tc>
      </w:tr>
      <w:tr w:rsidR="001308C0" w14:paraId="75AE11A7" w14:textId="77777777" w:rsidTr="001308C0">
        <w:trPr>
          <w:gridAfter w:val="1"/>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446CE022" w14:textId="77777777" w:rsidR="001308C0" w:rsidRDefault="00037BCD">
            <w:pPr>
              <w:spacing w:line="360" w:lineRule="auto"/>
              <w:rPr>
                <w:color w:val="000000"/>
                <w:sz w:val="11"/>
                <w:szCs w:val="11"/>
              </w:rPr>
            </w:pPr>
            <w:r>
              <w:rPr>
                <w:color w:val="000000"/>
                <w:sz w:val="11"/>
                <w:szCs w:val="11"/>
              </w:rPr>
              <w:t>C</w:t>
            </w:r>
            <w:r>
              <w:rPr>
                <w:color w:val="000000"/>
                <w:sz w:val="11"/>
                <w:szCs w:val="11"/>
                <w:vertAlign w:val="subscript"/>
              </w:rPr>
              <w:t>HWSD</w:t>
            </w:r>
            <w:r>
              <w:rPr>
                <w:color w:val="000000"/>
                <w:sz w:val="11"/>
                <w:szCs w:val="11"/>
              </w:rPr>
              <w:t>+NPP</w:t>
            </w:r>
            <w:r>
              <w:rPr>
                <w:color w:val="000000"/>
                <w:sz w:val="11"/>
                <w:szCs w:val="11"/>
                <w:vertAlign w:val="subscript"/>
              </w:rPr>
              <w:t>MODIS</w:t>
            </w:r>
          </w:p>
        </w:tc>
        <w:tc>
          <w:tcPr>
            <w:tcW w:w="580" w:type="dxa"/>
            <w:vAlign w:val="bottom"/>
          </w:tcPr>
          <w:p w14:paraId="1FDF5C02" w14:textId="77777777" w:rsidR="001308C0" w:rsidRDefault="00037BCD">
            <w:pPr>
              <w:spacing w:line="360" w:lineRule="auto"/>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0.296</w:t>
            </w:r>
          </w:p>
        </w:tc>
        <w:tc>
          <w:tcPr>
            <w:tcW w:w="718" w:type="dxa"/>
            <w:vAlign w:val="bottom"/>
          </w:tcPr>
          <w:p w14:paraId="56D98288"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0.266</w:t>
            </w:r>
          </w:p>
        </w:tc>
        <w:tc>
          <w:tcPr>
            <w:tcW w:w="537" w:type="dxa"/>
            <w:vAlign w:val="bottom"/>
          </w:tcPr>
          <w:p w14:paraId="71717205"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0.655</w:t>
            </w:r>
          </w:p>
        </w:tc>
        <w:tc>
          <w:tcPr>
            <w:tcW w:w="717" w:type="dxa"/>
            <w:vAlign w:val="bottom"/>
          </w:tcPr>
          <w:p w14:paraId="2830291F"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0.732</w:t>
            </w:r>
          </w:p>
        </w:tc>
        <w:tc>
          <w:tcPr>
            <w:tcW w:w="537" w:type="dxa"/>
            <w:vAlign w:val="bottom"/>
          </w:tcPr>
          <w:p w14:paraId="5AA6551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-79459</w:t>
            </w:r>
          </w:p>
        </w:tc>
        <w:tc>
          <w:tcPr>
            <w:tcW w:w="717" w:type="dxa"/>
            <w:vAlign w:val="bottom"/>
          </w:tcPr>
          <w:p w14:paraId="3A1C24FC"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-84830</w:t>
            </w:r>
          </w:p>
        </w:tc>
        <w:tc>
          <w:tcPr>
            <w:tcW w:w="626" w:type="dxa"/>
            <w:vAlign w:val="bottom"/>
          </w:tcPr>
          <w:p w14:paraId="64C39D2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3F70D78E"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0.001</w:t>
            </w:r>
          </w:p>
        </w:tc>
        <w:tc>
          <w:tcPr>
            <w:tcW w:w="537" w:type="dxa"/>
            <w:vAlign w:val="bottom"/>
          </w:tcPr>
          <w:p w14:paraId="670A3C2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-0.029</w:t>
            </w:r>
          </w:p>
        </w:tc>
        <w:tc>
          <w:tcPr>
            <w:tcW w:w="717" w:type="dxa"/>
            <w:vAlign w:val="bottom"/>
          </w:tcPr>
          <w:p w14:paraId="0EB173C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-0.039</w:t>
            </w:r>
          </w:p>
        </w:tc>
        <w:tc>
          <w:tcPr>
            <w:tcW w:w="537" w:type="dxa"/>
            <w:vAlign w:val="bottom"/>
          </w:tcPr>
          <w:p w14:paraId="48B3CFE5"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1.677</w:t>
            </w:r>
          </w:p>
        </w:tc>
        <w:tc>
          <w:tcPr>
            <w:tcW w:w="717" w:type="dxa"/>
            <w:vAlign w:val="bottom"/>
          </w:tcPr>
          <w:p w14:paraId="353B50EB"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1.578</w:t>
            </w:r>
          </w:p>
        </w:tc>
        <w:tc>
          <w:tcPr>
            <w:tcW w:w="806" w:type="dxa"/>
            <w:vAlign w:val="bottom"/>
          </w:tcPr>
          <w:p w14:paraId="3F9C2136"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2.302</w:t>
            </w:r>
          </w:p>
        </w:tc>
        <w:tc>
          <w:tcPr>
            <w:tcW w:w="626" w:type="dxa"/>
            <w:vAlign w:val="bottom"/>
          </w:tcPr>
          <w:p w14:paraId="63B2E64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1.001</w:t>
            </w:r>
          </w:p>
        </w:tc>
        <w:tc>
          <w:tcPr>
            <w:tcW w:w="610" w:type="dxa"/>
            <w:vAlign w:val="bottom"/>
          </w:tcPr>
          <w:p w14:paraId="61397E45"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5.296</w:t>
            </w:r>
          </w:p>
        </w:tc>
      </w:tr>
      <w:tr w:rsidR="001308C0" w14:paraId="11BA407B" w14:textId="77777777" w:rsidTr="001308C0">
        <w:trPr>
          <w:gridAfter w:val="1"/>
          <w:cnfStyle w:val="000000100000" w:firstRow="0" w:lastRow="0" w:firstColumn="0" w:lastColumn="0" w:oddVBand="0" w:evenVBand="0" w:oddHBand="1" w:evenHBand="0" w:firstRowFirstColumn="0" w:firstRowLastColumn="0" w:lastRowFirstColumn="0" w:lastRowLastColumn="0"/>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31E825C9" w14:textId="77777777" w:rsidR="001308C0" w:rsidRDefault="00037BCD">
            <w:pPr>
              <w:spacing w:line="360" w:lineRule="auto"/>
              <w:rPr>
                <w:color w:val="000000"/>
                <w:sz w:val="11"/>
                <w:szCs w:val="11"/>
              </w:rPr>
            </w:pPr>
            <w:proofErr w:type="spellStart"/>
            <w:r>
              <w:rPr>
                <w:color w:val="000000"/>
                <w:sz w:val="11"/>
                <w:szCs w:val="11"/>
              </w:rPr>
              <w:t>C</w:t>
            </w:r>
            <w:r>
              <w:rPr>
                <w:color w:val="000000"/>
                <w:sz w:val="11"/>
                <w:szCs w:val="11"/>
                <w:vertAlign w:val="subscript"/>
              </w:rPr>
              <w:t>total</w:t>
            </w:r>
            <w:r>
              <w:rPr>
                <w:color w:val="000000"/>
                <w:sz w:val="11"/>
                <w:szCs w:val="11"/>
              </w:rPr>
              <w:t>+GPP</w:t>
            </w:r>
            <w:r>
              <w:rPr>
                <w:color w:val="000000"/>
                <w:sz w:val="11"/>
                <w:szCs w:val="11"/>
                <w:vertAlign w:val="subscript"/>
              </w:rPr>
              <w:t>FlUXCOM</w:t>
            </w:r>
            <w:proofErr w:type="spellEnd"/>
          </w:p>
        </w:tc>
        <w:tc>
          <w:tcPr>
            <w:tcW w:w="580" w:type="dxa"/>
            <w:vAlign w:val="bottom"/>
          </w:tcPr>
          <w:p w14:paraId="31FE5C1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0.255</w:t>
            </w:r>
          </w:p>
        </w:tc>
        <w:tc>
          <w:tcPr>
            <w:tcW w:w="718" w:type="dxa"/>
            <w:vAlign w:val="bottom"/>
          </w:tcPr>
          <w:p w14:paraId="061F066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0.245</w:t>
            </w:r>
          </w:p>
        </w:tc>
        <w:tc>
          <w:tcPr>
            <w:tcW w:w="537" w:type="dxa"/>
            <w:vAlign w:val="bottom"/>
          </w:tcPr>
          <w:p w14:paraId="6F44FAB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0.815</w:t>
            </w:r>
          </w:p>
        </w:tc>
        <w:tc>
          <w:tcPr>
            <w:tcW w:w="717" w:type="dxa"/>
            <w:vAlign w:val="bottom"/>
          </w:tcPr>
          <w:p w14:paraId="4453879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0.833</w:t>
            </w:r>
          </w:p>
        </w:tc>
        <w:tc>
          <w:tcPr>
            <w:tcW w:w="537" w:type="dxa"/>
            <w:vAlign w:val="bottom"/>
          </w:tcPr>
          <w:p w14:paraId="5385736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-79288</w:t>
            </w:r>
          </w:p>
        </w:tc>
        <w:tc>
          <w:tcPr>
            <w:tcW w:w="717" w:type="dxa"/>
            <w:vAlign w:val="bottom"/>
          </w:tcPr>
          <w:p w14:paraId="41A96EE4"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-82809</w:t>
            </w:r>
          </w:p>
        </w:tc>
        <w:tc>
          <w:tcPr>
            <w:tcW w:w="626" w:type="dxa"/>
            <w:vAlign w:val="bottom"/>
          </w:tcPr>
          <w:p w14:paraId="1C10025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2D35769A"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0.000</w:t>
            </w:r>
          </w:p>
        </w:tc>
        <w:tc>
          <w:tcPr>
            <w:tcW w:w="537" w:type="dxa"/>
            <w:vAlign w:val="bottom"/>
          </w:tcPr>
          <w:p w14:paraId="7713CCF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-0.039</w:t>
            </w:r>
          </w:p>
        </w:tc>
        <w:tc>
          <w:tcPr>
            <w:tcW w:w="717" w:type="dxa"/>
            <w:vAlign w:val="bottom"/>
          </w:tcPr>
          <w:p w14:paraId="4DABAD9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-0.045</w:t>
            </w:r>
          </w:p>
        </w:tc>
        <w:tc>
          <w:tcPr>
            <w:tcW w:w="537" w:type="dxa"/>
            <w:vAlign w:val="bottom"/>
          </w:tcPr>
          <w:p w14:paraId="4E30911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1.762</w:t>
            </w:r>
          </w:p>
        </w:tc>
        <w:tc>
          <w:tcPr>
            <w:tcW w:w="717" w:type="dxa"/>
            <w:vAlign w:val="bottom"/>
          </w:tcPr>
          <w:p w14:paraId="383B018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1.700</w:t>
            </w:r>
          </w:p>
        </w:tc>
        <w:tc>
          <w:tcPr>
            <w:tcW w:w="806" w:type="dxa"/>
            <w:vAlign w:val="bottom"/>
          </w:tcPr>
          <w:p w14:paraId="4AB5D67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2.712</w:t>
            </w:r>
          </w:p>
        </w:tc>
        <w:tc>
          <w:tcPr>
            <w:tcW w:w="626" w:type="dxa"/>
            <w:vAlign w:val="bottom"/>
          </w:tcPr>
          <w:p w14:paraId="3CF208F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1.556</w:t>
            </w:r>
          </w:p>
        </w:tc>
        <w:tc>
          <w:tcPr>
            <w:tcW w:w="610" w:type="dxa"/>
            <w:vAlign w:val="bottom"/>
          </w:tcPr>
          <w:p w14:paraId="2C4FF01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4.729</w:t>
            </w:r>
          </w:p>
        </w:tc>
      </w:tr>
      <w:tr w:rsidR="001308C0" w14:paraId="43F6EC00" w14:textId="77777777" w:rsidTr="001308C0">
        <w:trPr>
          <w:gridAfter w:val="1"/>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314862E9" w14:textId="77777777" w:rsidR="001308C0" w:rsidRDefault="00037BCD">
            <w:pPr>
              <w:spacing w:line="360" w:lineRule="auto"/>
              <w:rPr>
                <w:color w:val="000000"/>
                <w:sz w:val="11"/>
                <w:szCs w:val="11"/>
              </w:rPr>
            </w:pPr>
            <w:proofErr w:type="spellStart"/>
            <w:r>
              <w:rPr>
                <w:color w:val="000000"/>
                <w:sz w:val="11"/>
                <w:szCs w:val="11"/>
              </w:rPr>
              <w:t>C</w:t>
            </w:r>
            <w:r>
              <w:rPr>
                <w:color w:val="000000"/>
                <w:sz w:val="11"/>
                <w:szCs w:val="11"/>
                <w:vertAlign w:val="subscript"/>
              </w:rPr>
              <w:t>total</w:t>
            </w:r>
            <w:r>
              <w:rPr>
                <w:color w:val="000000"/>
                <w:sz w:val="11"/>
                <w:szCs w:val="11"/>
              </w:rPr>
              <w:t>+NPP</w:t>
            </w:r>
            <w:r>
              <w:rPr>
                <w:color w:val="000000"/>
                <w:sz w:val="11"/>
                <w:szCs w:val="11"/>
                <w:vertAlign w:val="subscript"/>
              </w:rPr>
              <w:t>MODIS</w:t>
            </w:r>
            <w:proofErr w:type="spellEnd"/>
          </w:p>
        </w:tc>
        <w:tc>
          <w:tcPr>
            <w:tcW w:w="580" w:type="dxa"/>
            <w:vAlign w:val="bottom"/>
          </w:tcPr>
          <w:p w14:paraId="41074F46"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0.253</w:t>
            </w:r>
          </w:p>
        </w:tc>
        <w:tc>
          <w:tcPr>
            <w:tcW w:w="718" w:type="dxa"/>
            <w:vAlign w:val="bottom"/>
          </w:tcPr>
          <w:p w14:paraId="507906F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0.233</w:t>
            </w:r>
          </w:p>
        </w:tc>
        <w:tc>
          <w:tcPr>
            <w:tcW w:w="537" w:type="dxa"/>
            <w:vAlign w:val="bottom"/>
          </w:tcPr>
          <w:p w14:paraId="4E0D506E"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0.777</w:t>
            </w:r>
          </w:p>
        </w:tc>
        <w:tc>
          <w:tcPr>
            <w:tcW w:w="717" w:type="dxa"/>
            <w:vAlign w:val="bottom"/>
          </w:tcPr>
          <w:p w14:paraId="6FD35ADC"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0.818</w:t>
            </w:r>
          </w:p>
        </w:tc>
        <w:tc>
          <w:tcPr>
            <w:tcW w:w="537" w:type="dxa"/>
            <w:vAlign w:val="bottom"/>
          </w:tcPr>
          <w:p w14:paraId="1A518E0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-82123</w:t>
            </w:r>
          </w:p>
        </w:tc>
        <w:tc>
          <w:tcPr>
            <w:tcW w:w="717" w:type="dxa"/>
            <w:vAlign w:val="bottom"/>
          </w:tcPr>
          <w:p w14:paraId="45C26FCB"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-88186</w:t>
            </w:r>
          </w:p>
        </w:tc>
        <w:tc>
          <w:tcPr>
            <w:tcW w:w="626" w:type="dxa"/>
            <w:vAlign w:val="bottom"/>
          </w:tcPr>
          <w:p w14:paraId="4F47A30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0A451231"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0.001</w:t>
            </w:r>
          </w:p>
        </w:tc>
        <w:tc>
          <w:tcPr>
            <w:tcW w:w="537" w:type="dxa"/>
            <w:vAlign w:val="bottom"/>
          </w:tcPr>
          <w:p w14:paraId="16D79774"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-0.034</w:t>
            </w:r>
          </w:p>
        </w:tc>
        <w:tc>
          <w:tcPr>
            <w:tcW w:w="717" w:type="dxa"/>
            <w:vAlign w:val="bottom"/>
          </w:tcPr>
          <w:p w14:paraId="67D9F2B6"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-0.042</w:t>
            </w:r>
          </w:p>
        </w:tc>
        <w:tc>
          <w:tcPr>
            <w:tcW w:w="537" w:type="dxa"/>
            <w:vAlign w:val="bottom"/>
          </w:tcPr>
          <w:p w14:paraId="2F412B73"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1.956</w:t>
            </w:r>
          </w:p>
        </w:tc>
        <w:tc>
          <w:tcPr>
            <w:tcW w:w="717" w:type="dxa"/>
            <w:vAlign w:val="bottom"/>
          </w:tcPr>
          <w:p w14:paraId="722CB3D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1.869</w:t>
            </w:r>
          </w:p>
        </w:tc>
        <w:tc>
          <w:tcPr>
            <w:tcW w:w="806" w:type="dxa"/>
            <w:vAlign w:val="bottom"/>
          </w:tcPr>
          <w:p w14:paraId="37FD245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2.516</w:t>
            </w:r>
          </w:p>
        </w:tc>
        <w:tc>
          <w:tcPr>
            <w:tcW w:w="626" w:type="dxa"/>
            <w:vAlign w:val="bottom"/>
          </w:tcPr>
          <w:p w14:paraId="0568E00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1.188</w:t>
            </w:r>
          </w:p>
        </w:tc>
        <w:tc>
          <w:tcPr>
            <w:tcW w:w="610" w:type="dxa"/>
            <w:vAlign w:val="bottom"/>
          </w:tcPr>
          <w:p w14:paraId="236710A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5.332</w:t>
            </w:r>
          </w:p>
        </w:tc>
      </w:tr>
      <w:tr w:rsidR="001308C0" w14:paraId="583FBD68" w14:textId="77777777" w:rsidTr="001308C0">
        <w:trPr>
          <w:gridAfter w:val="1"/>
          <w:cnfStyle w:val="000000100000" w:firstRow="0" w:lastRow="0" w:firstColumn="0" w:lastColumn="0" w:oddVBand="0" w:evenVBand="0" w:oddHBand="1" w:evenHBand="0" w:firstRowFirstColumn="0" w:firstRowLastColumn="0" w:lastRowFirstColumn="0" w:lastRowLastColumn="0"/>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72C89636" w14:textId="77777777" w:rsidR="001308C0" w:rsidRDefault="00037BCD">
            <w:pPr>
              <w:spacing w:line="360" w:lineRule="auto"/>
              <w:rPr>
                <w:color w:val="000000"/>
                <w:sz w:val="11"/>
                <w:szCs w:val="11"/>
              </w:rPr>
            </w:pPr>
            <w:proofErr w:type="spellStart"/>
            <w:r>
              <w:rPr>
                <w:color w:val="000000"/>
                <w:sz w:val="11"/>
                <w:szCs w:val="11"/>
              </w:rPr>
              <w:t>C</w:t>
            </w:r>
            <w:r>
              <w:rPr>
                <w:color w:val="000000"/>
                <w:sz w:val="11"/>
                <w:szCs w:val="11"/>
                <w:vertAlign w:val="subscript"/>
              </w:rPr>
              <w:t>HWSD</w:t>
            </w:r>
            <w:r>
              <w:rPr>
                <w:color w:val="000000"/>
                <w:sz w:val="11"/>
                <w:szCs w:val="11"/>
              </w:rPr>
              <w:t>+GPP</w:t>
            </w:r>
            <w:r>
              <w:rPr>
                <w:color w:val="000000"/>
                <w:sz w:val="11"/>
                <w:szCs w:val="11"/>
                <w:vertAlign w:val="subscript"/>
              </w:rPr>
              <w:t>FlUXCOM</w:t>
            </w:r>
            <w:proofErr w:type="spellEnd"/>
          </w:p>
        </w:tc>
        <w:tc>
          <w:tcPr>
            <w:tcW w:w="580" w:type="dxa"/>
            <w:vAlign w:val="bottom"/>
          </w:tcPr>
          <w:p w14:paraId="14378A22"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0.295</w:t>
            </w:r>
          </w:p>
        </w:tc>
        <w:tc>
          <w:tcPr>
            <w:tcW w:w="718" w:type="dxa"/>
            <w:vAlign w:val="bottom"/>
          </w:tcPr>
          <w:p w14:paraId="31BAFF3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0.277</w:t>
            </w:r>
          </w:p>
        </w:tc>
        <w:tc>
          <w:tcPr>
            <w:tcW w:w="537" w:type="dxa"/>
            <w:vAlign w:val="bottom"/>
          </w:tcPr>
          <w:p w14:paraId="6DDD91A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0.722</w:t>
            </w:r>
          </w:p>
        </w:tc>
        <w:tc>
          <w:tcPr>
            <w:tcW w:w="717" w:type="dxa"/>
            <w:vAlign w:val="bottom"/>
          </w:tcPr>
          <w:p w14:paraId="682AC2F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0.763</w:t>
            </w:r>
          </w:p>
        </w:tc>
        <w:tc>
          <w:tcPr>
            <w:tcW w:w="537" w:type="dxa"/>
            <w:vAlign w:val="bottom"/>
          </w:tcPr>
          <w:p w14:paraId="4B862FD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-72966</w:t>
            </w:r>
          </w:p>
        </w:tc>
        <w:tc>
          <w:tcPr>
            <w:tcW w:w="717" w:type="dxa"/>
            <w:vAlign w:val="bottom"/>
          </w:tcPr>
          <w:p w14:paraId="75E6D24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-76246</w:t>
            </w:r>
          </w:p>
        </w:tc>
        <w:tc>
          <w:tcPr>
            <w:tcW w:w="626" w:type="dxa"/>
            <w:vAlign w:val="bottom"/>
          </w:tcPr>
          <w:p w14:paraId="331CDE7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758EF60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0.001</w:t>
            </w:r>
          </w:p>
        </w:tc>
        <w:tc>
          <w:tcPr>
            <w:tcW w:w="537" w:type="dxa"/>
            <w:vAlign w:val="bottom"/>
          </w:tcPr>
          <w:p w14:paraId="0882893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-0.035</w:t>
            </w:r>
          </w:p>
        </w:tc>
        <w:tc>
          <w:tcPr>
            <w:tcW w:w="717" w:type="dxa"/>
            <w:vAlign w:val="bottom"/>
          </w:tcPr>
          <w:p w14:paraId="12D624C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-0.043</w:t>
            </w:r>
          </w:p>
        </w:tc>
        <w:tc>
          <w:tcPr>
            <w:tcW w:w="537" w:type="dxa"/>
            <w:vAlign w:val="bottom"/>
          </w:tcPr>
          <w:p w14:paraId="3C4E739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1.489</w:t>
            </w:r>
          </w:p>
        </w:tc>
        <w:tc>
          <w:tcPr>
            <w:tcW w:w="717" w:type="dxa"/>
            <w:vAlign w:val="bottom"/>
          </w:tcPr>
          <w:p w14:paraId="28B5144A"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1.412</w:t>
            </w:r>
          </w:p>
        </w:tc>
        <w:tc>
          <w:tcPr>
            <w:tcW w:w="806" w:type="dxa"/>
            <w:vAlign w:val="bottom"/>
          </w:tcPr>
          <w:p w14:paraId="45D829B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2.545</w:t>
            </w:r>
          </w:p>
        </w:tc>
        <w:tc>
          <w:tcPr>
            <w:tcW w:w="626" w:type="dxa"/>
            <w:vAlign w:val="bottom"/>
          </w:tcPr>
          <w:p w14:paraId="10C4E1E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1.261</w:t>
            </w:r>
          </w:p>
        </w:tc>
        <w:tc>
          <w:tcPr>
            <w:tcW w:w="610" w:type="dxa"/>
            <w:vAlign w:val="bottom"/>
          </w:tcPr>
          <w:p w14:paraId="6C1AB93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5.133</w:t>
            </w:r>
          </w:p>
        </w:tc>
      </w:tr>
    </w:tbl>
    <w:p w14:paraId="20521D91" w14:textId="77777777" w:rsidR="001308C0" w:rsidRDefault="001308C0">
      <w:pPr>
        <w:spacing w:after="240" w:line="360" w:lineRule="auto"/>
        <w:rPr>
          <w:b/>
          <w:color w:val="074080"/>
          <w:sz w:val="21"/>
          <w:szCs w:val="21"/>
        </w:rPr>
      </w:pPr>
    </w:p>
    <w:p w14:paraId="094514E7" w14:textId="77777777" w:rsidR="001308C0" w:rsidRDefault="001308C0">
      <w:pPr>
        <w:spacing w:after="240" w:line="360" w:lineRule="auto"/>
        <w:rPr>
          <w:b/>
          <w:color w:val="074080"/>
          <w:sz w:val="21"/>
          <w:szCs w:val="21"/>
        </w:rPr>
      </w:pPr>
    </w:p>
    <w:p w14:paraId="3A3F9180" w14:textId="77777777" w:rsidR="001308C0" w:rsidRDefault="001308C0">
      <w:pPr>
        <w:spacing w:after="240" w:line="360" w:lineRule="auto"/>
        <w:rPr>
          <w:b/>
          <w:color w:val="074080"/>
          <w:sz w:val="21"/>
          <w:szCs w:val="21"/>
        </w:rPr>
      </w:pPr>
    </w:p>
    <w:p w14:paraId="33BD9C17" w14:textId="77777777" w:rsidR="001308C0" w:rsidRDefault="00037BCD">
      <w:pPr>
        <w:keepNext/>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t>Table SI-3. 2: Statistics associated with Figure SI-3.2.</w:t>
      </w:r>
    </w:p>
    <w:p w14:paraId="0C19E7DD" w14:textId="77777777" w:rsidR="001308C0" w:rsidRDefault="001308C0"/>
    <w:tbl>
      <w:tblPr>
        <w:tblStyle w:val="a0"/>
        <w:tblW w:w="10853"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9"/>
        <w:gridCol w:w="580"/>
        <w:gridCol w:w="718"/>
        <w:gridCol w:w="537"/>
        <w:gridCol w:w="717"/>
        <w:gridCol w:w="537"/>
        <w:gridCol w:w="717"/>
        <w:gridCol w:w="626"/>
        <w:gridCol w:w="717"/>
        <w:gridCol w:w="537"/>
        <w:gridCol w:w="717"/>
        <w:gridCol w:w="537"/>
        <w:gridCol w:w="717"/>
        <w:gridCol w:w="806"/>
        <w:gridCol w:w="626"/>
        <w:gridCol w:w="610"/>
        <w:gridCol w:w="15"/>
      </w:tblGrid>
      <w:tr w:rsidR="001308C0" w14:paraId="7147CCC3" w14:textId="77777777" w:rsidTr="001308C0">
        <w:trPr>
          <w:cnfStyle w:val="100000000000" w:firstRow="1" w:lastRow="0" w:firstColumn="0" w:lastColumn="0" w:oddVBand="0" w:evenVBand="0" w:oddHBand="0" w:evenHBand="0" w:firstRowFirstColumn="0" w:firstRowLastColumn="0" w:lastRowFirstColumn="0" w:lastRowLastColumn="0"/>
          <w:trHeight w:val="362"/>
        </w:trPr>
        <w:tc>
          <w:tcPr>
            <w:cnfStyle w:val="001000000100" w:firstRow="0" w:lastRow="0" w:firstColumn="1" w:lastColumn="0" w:oddVBand="0" w:evenVBand="0" w:oddHBand="0" w:evenHBand="0" w:firstRowFirstColumn="1" w:firstRowLastColumn="0" w:lastRowFirstColumn="0" w:lastRowLastColumn="0"/>
            <w:tcW w:w="1139" w:type="dxa"/>
          </w:tcPr>
          <w:p w14:paraId="58E0C407" w14:textId="77777777" w:rsidR="001308C0" w:rsidRDefault="001308C0">
            <w:pPr>
              <w:spacing w:line="360" w:lineRule="auto"/>
              <w:rPr>
                <w:color w:val="000000"/>
                <w:sz w:val="11"/>
                <w:szCs w:val="11"/>
              </w:rPr>
            </w:pPr>
          </w:p>
        </w:tc>
        <w:tc>
          <w:tcPr>
            <w:tcW w:w="1298" w:type="dxa"/>
            <w:gridSpan w:val="2"/>
          </w:tcPr>
          <w:p w14:paraId="41CD29F8"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RMSE</w:t>
            </w:r>
          </w:p>
        </w:tc>
        <w:tc>
          <w:tcPr>
            <w:tcW w:w="1254" w:type="dxa"/>
            <w:gridSpan w:val="2"/>
          </w:tcPr>
          <w:p w14:paraId="76CFD85F"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R</w:t>
            </w:r>
            <w:r>
              <w:rPr>
                <w:color w:val="000000"/>
                <w:sz w:val="11"/>
                <w:szCs w:val="11"/>
                <w:vertAlign w:val="superscript"/>
              </w:rPr>
              <w:t>2</w:t>
            </w:r>
          </w:p>
        </w:tc>
        <w:tc>
          <w:tcPr>
            <w:tcW w:w="1254" w:type="dxa"/>
            <w:gridSpan w:val="2"/>
          </w:tcPr>
          <w:p w14:paraId="1EACA714"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AIC</w:t>
            </w:r>
          </w:p>
        </w:tc>
        <w:tc>
          <w:tcPr>
            <w:tcW w:w="1343" w:type="dxa"/>
            <w:gridSpan w:val="2"/>
          </w:tcPr>
          <w:p w14:paraId="609279C3"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P1(coefficient of x</w:t>
            </w:r>
            <w:r>
              <w:rPr>
                <w:color w:val="000000"/>
                <w:sz w:val="11"/>
                <w:szCs w:val="11"/>
                <w:vertAlign w:val="superscript"/>
              </w:rPr>
              <w:t>2</w:t>
            </w:r>
            <w:r>
              <w:rPr>
                <w:color w:val="000000"/>
                <w:sz w:val="11"/>
                <w:szCs w:val="11"/>
              </w:rPr>
              <w:t>)</w:t>
            </w:r>
          </w:p>
        </w:tc>
        <w:tc>
          <w:tcPr>
            <w:tcW w:w="1254" w:type="dxa"/>
            <w:gridSpan w:val="2"/>
          </w:tcPr>
          <w:p w14:paraId="6E562353"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P2(coefficient of x)</w:t>
            </w:r>
          </w:p>
        </w:tc>
        <w:tc>
          <w:tcPr>
            <w:tcW w:w="1254" w:type="dxa"/>
            <w:gridSpan w:val="2"/>
          </w:tcPr>
          <w:p w14:paraId="79962029"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P3(intercept)</w:t>
            </w:r>
          </w:p>
        </w:tc>
        <w:tc>
          <w:tcPr>
            <w:tcW w:w="2057" w:type="dxa"/>
            <w:gridSpan w:val="4"/>
          </w:tcPr>
          <w:p w14:paraId="0F5CAC39"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Q10 values</w:t>
            </w:r>
          </w:p>
        </w:tc>
      </w:tr>
      <w:tr w:rsidR="001308C0" w14:paraId="6BC05BC7" w14:textId="77777777" w:rsidTr="001308C0">
        <w:trPr>
          <w:gridAfter w:val="1"/>
          <w:cnfStyle w:val="000000100000" w:firstRow="0" w:lastRow="0" w:firstColumn="0" w:lastColumn="0" w:oddVBand="0" w:evenVBand="0" w:oddHBand="1" w:evenHBand="0" w:firstRowFirstColumn="0" w:firstRowLastColumn="0" w:lastRowFirstColumn="0" w:lastRowLastColumn="0"/>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6A874EAC" w14:textId="77777777" w:rsidR="001308C0" w:rsidRDefault="001308C0">
            <w:pPr>
              <w:spacing w:line="360" w:lineRule="auto"/>
              <w:rPr>
                <w:color w:val="000000"/>
                <w:sz w:val="11"/>
                <w:szCs w:val="11"/>
              </w:rPr>
            </w:pPr>
          </w:p>
        </w:tc>
        <w:tc>
          <w:tcPr>
            <w:tcW w:w="580" w:type="dxa"/>
          </w:tcPr>
          <w:p w14:paraId="63E203C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8" w:type="dxa"/>
          </w:tcPr>
          <w:p w14:paraId="70B9088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0589AF5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0E1947C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7AE41BBF" w14:textId="77777777" w:rsidR="001308C0" w:rsidRDefault="00037BCD">
            <w:pPr>
              <w:spacing w:line="360" w:lineRule="auto"/>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1C0968E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626" w:type="dxa"/>
          </w:tcPr>
          <w:p w14:paraId="3009F26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08A64C9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6ED5F70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2172B92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537" w:type="dxa"/>
          </w:tcPr>
          <w:p w14:paraId="4935354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Linear</w:t>
            </w:r>
          </w:p>
        </w:tc>
        <w:tc>
          <w:tcPr>
            <w:tcW w:w="717" w:type="dxa"/>
          </w:tcPr>
          <w:p w14:paraId="1949BC2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Quadratic</w:t>
            </w:r>
          </w:p>
        </w:tc>
        <w:tc>
          <w:tcPr>
            <w:tcW w:w="806" w:type="dxa"/>
          </w:tcPr>
          <w:p w14:paraId="3CC442C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50</w:t>
            </w:r>
            <w:r>
              <w:rPr>
                <w:color w:val="000000"/>
                <w:sz w:val="11"/>
                <w:szCs w:val="11"/>
                <w:vertAlign w:val="superscript"/>
              </w:rPr>
              <w:t>th</w:t>
            </w:r>
            <w:r>
              <w:rPr>
                <w:color w:val="000000"/>
                <w:sz w:val="11"/>
                <w:szCs w:val="11"/>
              </w:rPr>
              <w:t>(median)</w:t>
            </w:r>
          </w:p>
        </w:tc>
        <w:tc>
          <w:tcPr>
            <w:tcW w:w="626" w:type="dxa"/>
          </w:tcPr>
          <w:p w14:paraId="50432DA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w:t>
            </w:r>
            <w:r>
              <w:rPr>
                <w:color w:val="000000"/>
                <w:sz w:val="11"/>
                <w:szCs w:val="11"/>
                <w:vertAlign w:val="superscript"/>
              </w:rPr>
              <w:t>th</w:t>
            </w:r>
          </w:p>
        </w:tc>
        <w:tc>
          <w:tcPr>
            <w:tcW w:w="610" w:type="dxa"/>
          </w:tcPr>
          <w:p w14:paraId="3C3C2E1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99</w:t>
            </w:r>
            <w:r>
              <w:rPr>
                <w:color w:val="000000"/>
                <w:sz w:val="11"/>
                <w:szCs w:val="11"/>
                <w:vertAlign w:val="superscript"/>
              </w:rPr>
              <w:t>th</w:t>
            </w:r>
          </w:p>
        </w:tc>
      </w:tr>
      <w:tr w:rsidR="001308C0" w14:paraId="03CCCFB9" w14:textId="77777777" w:rsidTr="001308C0">
        <w:trPr>
          <w:gridAfter w:val="1"/>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4D8DC911" w14:textId="77777777" w:rsidR="001308C0" w:rsidRDefault="00037BCD">
            <w:pPr>
              <w:spacing w:line="360" w:lineRule="auto"/>
              <w:rPr>
                <w:color w:val="000000"/>
                <w:sz w:val="11"/>
                <w:szCs w:val="11"/>
              </w:rPr>
            </w:pPr>
            <w:r>
              <w:rPr>
                <w:color w:val="000000"/>
                <w:sz w:val="11"/>
                <w:szCs w:val="11"/>
              </w:rPr>
              <w:t>C</w:t>
            </w:r>
            <w:r>
              <w:rPr>
                <w:color w:val="000000"/>
                <w:sz w:val="11"/>
                <w:szCs w:val="11"/>
                <w:vertAlign w:val="subscript"/>
              </w:rPr>
              <w:t>HWSD</w:t>
            </w:r>
            <w:r>
              <w:rPr>
                <w:color w:val="000000"/>
                <w:sz w:val="11"/>
                <w:szCs w:val="11"/>
              </w:rPr>
              <w:t>+NPP</w:t>
            </w:r>
            <w:r>
              <w:rPr>
                <w:color w:val="000000"/>
                <w:sz w:val="11"/>
                <w:szCs w:val="11"/>
                <w:vertAlign w:val="subscript"/>
              </w:rPr>
              <w:t>MODIS</w:t>
            </w:r>
          </w:p>
        </w:tc>
        <w:tc>
          <w:tcPr>
            <w:tcW w:w="580" w:type="dxa"/>
            <w:vAlign w:val="bottom"/>
          </w:tcPr>
          <w:p w14:paraId="5367810B" w14:textId="77777777" w:rsidR="001308C0" w:rsidRDefault="00037BCD">
            <w:pPr>
              <w:spacing w:line="360" w:lineRule="auto"/>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0.263</w:t>
            </w:r>
          </w:p>
        </w:tc>
        <w:tc>
          <w:tcPr>
            <w:tcW w:w="718" w:type="dxa"/>
            <w:vAlign w:val="bottom"/>
          </w:tcPr>
          <w:p w14:paraId="44CE641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0.256</w:t>
            </w:r>
          </w:p>
        </w:tc>
        <w:tc>
          <w:tcPr>
            <w:tcW w:w="537" w:type="dxa"/>
            <w:vAlign w:val="bottom"/>
          </w:tcPr>
          <w:p w14:paraId="3CE322DF"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0.785</w:t>
            </w:r>
          </w:p>
        </w:tc>
        <w:tc>
          <w:tcPr>
            <w:tcW w:w="717" w:type="dxa"/>
            <w:vAlign w:val="bottom"/>
          </w:tcPr>
          <w:p w14:paraId="70BD8E4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0.781</w:t>
            </w:r>
          </w:p>
        </w:tc>
        <w:tc>
          <w:tcPr>
            <w:tcW w:w="537" w:type="dxa"/>
            <w:vAlign w:val="bottom"/>
          </w:tcPr>
          <w:p w14:paraId="33089F73"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-77022</w:t>
            </w:r>
          </w:p>
        </w:tc>
        <w:tc>
          <w:tcPr>
            <w:tcW w:w="717" w:type="dxa"/>
            <w:vAlign w:val="bottom"/>
          </w:tcPr>
          <w:p w14:paraId="6CD9CE46"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-82059</w:t>
            </w:r>
          </w:p>
        </w:tc>
        <w:tc>
          <w:tcPr>
            <w:tcW w:w="626" w:type="dxa"/>
            <w:vAlign w:val="bottom"/>
          </w:tcPr>
          <w:p w14:paraId="7ACB48E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63B93204"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0.000</w:t>
            </w:r>
          </w:p>
        </w:tc>
        <w:tc>
          <w:tcPr>
            <w:tcW w:w="537" w:type="dxa"/>
            <w:vAlign w:val="bottom"/>
          </w:tcPr>
          <w:p w14:paraId="52C0AAC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-0.014</w:t>
            </w:r>
          </w:p>
        </w:tc>
        <w:tc>
          <w:tcPr>
            <w:tcW w:w="717" w:type="dxa"/>
            <w:vAlign w:val="bottom"/>
          </w:tcPr>
          <w:p w14:paraId="446480A4"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-0.023</w:t>
            </w:r>
          </w:p>
        </w:tc>
        <w:tc>
          <w:tcPr>
            <w:tcW w:w="537" w:type="dxa"/>
            <w:vAlign w:val="bottom"/>
          </w:tcPr>
          <w:p w14:paraId="5EA7E014"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1.179</w:t>
            </w:r>
          </w:p>
        </w:tc>
        <w:tc>
          <w:tcPr>
            <w:tcW w:w="717" w:type="dxa"/>
            <w:vAlign w:val="bottom"/>
          </w:tcPr>
          <w:p w14:paraId="694C4A9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1.275</w:t>
            </w:r>
          </w:p>
        </w:tc>
        <w:tc>
          <w:tcPr>
            <w:tcW w:w="806" w:type="dxa"/>
            <w:vAlign w:val="bottom"/>
          </w:tcPr>
          <w:p w14:paraId="2ED5545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1.669</w:t>
            </w:r>
          </w:p>
        </w:tc>
        <w:tc>
          <w:tcPr>
            <w:tcW w:w="626" w:type="dxa"/>
            <w:vAlign w:val="bottom"/>
          </w:tcPr>
          <w:p w14:paraId="4911B29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1.088</w:t>
            </w:r>
          </w:p>
        </w:tc>
        <w:tc>
          <w:tcPr>
            <w:tcW w:w="610" w:type="dxa"/>
            <w:vAlign w:val="bottom"/>
          </w:tcPr>
          <w:p w14:paraId="46FD705F"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2.561</w:t>
            </w:r>
          </w:p>
        </w:tc>
      </w:tr>
      <w:tr w:rsidR="001308C0" w14:paraId="347B3871" w14:textId="77777777" w:rsidTr="001308C0">
        <w:trPr>
          <w:gridAfter w:val="1"/>
          <w:cnfStyle w:val="000000100000" w:firstRow="0" w:lastRow="0" w:firstColumn="0" w:lastColumn="0" w:oddVBand="0" w:evenVBand="0" w:oddHBand="1" w:evenHBand="0" w:firstRowFirstColumn="0" w:firstRowLastColumn="0" w:lastRowFirstColumn="0" w:lastRowLastColumn="0"/>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63498C33" w14:textId="77777777" w:rsidR="001308C0" w:rsidRDefault="00037BCD">
            <w:pPr>
              <w:spacing w:line="360" w:lineRule="auto"/>
              <w:rPr>
                <w:color w:val="000000"/>
                <w:sz w:val="11"/>
                <w:szCs w:val="11"/>
              </w:rPr>
            </w:pPr>
            <w:proofErr w:type="spellStart"/>
            <w:r>
              <w:rPr>
                <w:color w:val="000000"/>
                <w:sz w:val="11"/>
                <w:szCs w:val="11"/>
              </w:rPr>
              <w:t>C</w:t>
            </w:r>
            <w:r>
              <w:rPr>
                <w:color w:val="000000"/>
                <w:sz w:val="11"/>
                <w:szCs w:val="11"/>
                <w:vertAlign w:val="subscript"/>
              </w:rPr>
              <w:t>total</w:t>
            </w:r>
            <w:r>
              <w:rPr>
                <w:color w:val="000000"/>
                <w:sz w:val="11"/>
                <w:szCs w:val="11"/>
              </w:rPr>
              <w:t>+GPP</w:t>
            </w:r>
            <w:r>
              <w:rPr>
                <w:color w:val="000000"/>
                <w:sz w:val="11"/>
                <w:szCs w:val="11"/>
                <w:vertAlign w:val="subscript"/>
              </w:rPr>
              <w:t>FlUXCOM</w:t>
            </w:r>
            <w:proofErr w:type="spellEnd"/>
          </w:p>
        </w:tc>
        <w:tc>
          <w:tcPr>
            <w:tcW w:w="580" w:type="dxa"/>
            <w:vAlign w:val="bottom"/>
          </w:tcPr>
          <w:p w14:paraId="17946FE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0.207</w:t>
            </w:r>
          </w:p>
        </w:tc>
        <w:tc>
          <w:tcPr>
            <w:tcW w:w="718" w:type="dxa"/>
            <w:vAlign w:val="bottom"/>
          </w:tcPr>
          <w:p w14:paraId="349494B4"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0.207</w:t>
            </w:r>
          </w:p>
        </w:tc>
        <w:tc>
          <w:tcPr>
            <w:tcW w:w="537" w:type="dxa"/>
            <w:vAlign w:val="bottom"/>
          </w:tcPr>
          <w:p w14:paraId="43199D4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0.901</w:t>
            </w:r>
          </w:p>
        </w:tc>
        <w:tc>
          <w:tcPr>
            <w:tcW w:w="717" w:type="dxa"/>
            <w:vAlign w:val="bottom"/>
          </w:tcPr>
          <w:p w14:paraId="48B459A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0.903</w:t>
            </w:r>
          </w:p>
        </w:tc>
        <w:tc>
          <w:tcPr>
            <w:tcW w:w="537" w:type="dxa"/>
            <w:vAlign w:val="bottom"/>
          </w:tcPr>
          <w:p w14:paraId="49DF5A5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-78360</w:t>
            </w:r>
          </w:p>
        </w:tc>
        <w:tc>
          <w:tcPr>
            <w:tcW w:w="717" w:type="dxa"/>
            <w:vAlign w:val="bottom"/>
          </w:tcPr>
          <w:p w14:paraId="1899A82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-76816</w:t>
            </w:r>
          </w:p>
        </w:tc>
        <w:tc>
          <w:tcPr>
            <w:tcW w:w="626" w:type="dxa"/>
            <w:vAlign w:val="bottom"/>
          </w:tcPr>
          <w:p w14:paraId="59D5A7C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7491760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0.000</w:t>
            </w:r>
          </w:p>
        </w:tc>
        <w:tc>
          <w:tcPr>
            <w:tcW w:w="537" w:type="dxa"/>
            <w:vAlign w:val="bottom"/>
          </w:tcPr>
          <w:p w14:paraId="0B6A898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-0.022</w:t>
            </w:r>
          </w:p>
        </w:tc>
        <w:tc>
          <w:tcPr>
            <w:tcW w:w="717" w:type="dxa"/>
            <w:vAlign w:val="bottom"/>
          </w:tcPr>
          <w:p w14:paraId="112A812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-0.019</w:t>
            </w:r>
          </w:p>
        </w:tc>
        <w:tc>
          <w:tcPr>
            <w:tcW w:w="537" w:type="dxa"/>
            <w:vAlign w:val="bottom"/>
          </w:tcPr>
          <w:p w14:paraId="26AA1DE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1.141</w:t>
            </w:r>
          </w:p>
        </w:tc>
        <w:tc>
          <w:tcPr>
            <w:tcW w:w="717" w:type="dxa"/>
            <w:vAlign w:val="bottom"/>
          </w:tcPr>
          <w:p w14:paraId="6749BAC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1.114</w:t>
            </w:r>
          </w:p>
        </w:tc>
        <w:tc>
          <w:tcPr>
            <w:tcW w:w="806" w:type="dxa"/>
            <w:vAlign w:val="bottom"/>
          </w:tcPr>
          <w:p w14:paraId="128F1CF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1.567</w:t>
            </w:r>
          </w:p>
        </w:tc>
        <w:tc>
          <w:tcPr>
            <w:tcW w:w="626" w:type="dxa"/>
            <w:vAlign w:val="bottom"/>
          </w:tcPr>
          <w:p w14:paraId="1756095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1.404</w:t>
            </w:r>
          </w:p>
        </w:tc>
        <w:tc>
          <w:tcPr>
            <w:tcW w:w="610" w:type="dxa"/>
            <w:vAlign w:val="bottom"/>
          </w:tcPr>
          <w:p w14:paraId="5AB0320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1.748</w:t>
            </w:r>
          </w:p>
        </w:tc>
      </w:tr>
      <w:tr w:rsidR="001308C0" w14:paraId="2BDBBC05" w14:textId="77777777" w:rsidTr="001308C0">
        <w:trPr>
          <w:gridAfter w:val="1"/>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763105FD" w14:textId="77777777" w:rsidR="001308C0" w:rsidRDefault="00037BCD">
            <w:pPr>
              <w:spacing w:line="360" w:lineRule="auto"/>
              <w:rPr>
                <w:color w:val="000000"/>
                <w:sz w:val="11"/>
                <w:szCs w:val="11"/>
              </w:rPr>
            </w:pPr>
            <w:proofErr w:type="spellStart"/>
            <w:r>
              <w:rPr>
                <w:color w:val="000000"/>
                <w:sz w:val="11"/>
                <w:szCs w:val="11"/>
              </w:rPr>
              <w:t>C</w:t>
            </w:r>
            <w:r>
              <w:rPr>
                <w:color w:val="000000"/>
                <w:sz w:val="11"/>
                <w:szCs w:val="11"/>
                <w:vertAlign w:val="subscript"/>
              </w:rPr>
              <w:t>total</w:t>
            </w:r>
            <w:r>
              <w:rPr>
                <w:color w:val="000000"/>
                <w:sz w:val="11"/>
                <w:szCs w:val="11"/>
              </w:rPr>
              <w:t>+NPP</w:t>
            </w:r>
            <w:r>
              <w:rPr>
                <w:color w:val="000000"/>
                <w:sz w:val="11"/>
                <w:szCs w:val="11"/>
                <w:vertAlign w:val="subscript"/>
              </w:rPr>
              <w:t>MODIS</w:t>
            </w:r>
            <w:proofErr w:type="spellEnd"/>
          </w:p>
        </w:tc>
        <w:tc>
          <w:tcPr>
            <w:tcW w:w="580" w:type="dxa"/>
            <w:vAlign w:val="bottom"/>
          </w:tcPr>
          <w:p w14:paraId="51BFAAE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0.200</w:t>
            </w:r>
          </w:p>
        </w:tc>
        <w:tc>
          <w:tcPr>
            <w:tcW w:w="718" w:type="dxa"/>
            <w:vAlign w:val="bottom"/>
          </w:tcPr>
          <w:p w14:paraId="410D353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0.200</w:t>
            </w:r>
          </w:p>
        </w:tc>
        <w:tc>
          <w:tcPr>
            <w:tcW w:w="537" w:type="dxa"/>
            <w:vAlign w:val="bottom"/>
          </w:tcPr>
          <w:p w14:paraId="32BF6722"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0.902</w:t>
            </w:r>
          </w:p>
        </w:tc>
        <w:tc>
          <w:tcPr>
            <w:tcW w:w="717" w:type="dxa"/>
            <w:vAlign w:val="bottom"/>
          </w:tcPr>
          <w:p w14:paraId="73E44942"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0.899</w:t>
            </w:r>
          </w:p>
        </w:tc>
        <w:tc>
          <w:tcPr>
            <w:tcW w:w="537" w:type="dxa"/>
            <w:vAlign w:val="bottom"/>
          </w:tcPr>
          <w:p w14:paraId="17DB54E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-70290</w:t>
            </w:r>
          </w:p>
        </w:tc>
        <w:tc>
          <w:tcPr>
            <w:tcW w:w="717" w:type="dxa"/>
            <w:vAlign w:val="bottom"/>
          </w:tcPr>
          <w:p w14:paraId="5453DE6E"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-72862</w:t>
            </w:r>
          </w:p>
        </w:tc>
        <w:tc>
          <w:tcPr>
            <w:tcW w:w="626" w:type="dxa"/>
            <w:vAlign w:val="bottom"/>
          </w:tcPr>
          <w:p w14:paraId="3088FF9F"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12C3528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0.000</w:t>
            </w:r>
          </w:p>
        </w:tc>
        <w:tc>
          <w:tcPr>
            <w:tcW w:w="537" w:type="dxa"/>
            <w:vAlign w:val="bottom"/>
          </w:tcPr>
          <w:p w14:paraId="6A42B241"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-0.019</w:t>
            </w:r>
          </w:p>
        </w:tc>
        <w:tc>
          <w:tcPr>
            <w:tcW w:w="717" w:type="dxa"/>
            <w:vAlign w:val="bottom"/>
          </w:tcPr>
          <w:p w14:paraId="1BBD48F3"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-0.021</w:t>
            </w:r>
          </w:p>
        </w:tc>
        <w:tc>
          <w:tcPr>
            <w:tcW w:w="537" w:type="dxa"/>
            <w:vAlign w:val="bottom"/>
          </w:tcPr>
          <w:p w14:paraId="47A443E1"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1.419</w:t>
            </w:r>
          </w:p>
        </w:tc>
        <w:tc>
          <w:tcPr>
            <w:tcW w:w="717" w:type="dxa"/>
            <w:vAlign w:val="bottom"/>
          </w:tcPr>
          <w:p w14:paraId="03CCF206"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1.449</w:t>
            </w:r>
          </w:p>
        </w:tc>
        <w:tc>
          <w:tcPr>
            <w:tcW w:w="806" w:type="dxa"/>
            <w:vAlign w:val="bottom"/>
          </w:tcPr>
          <w:p w14:paraId="686D7724"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1.622</w:t>
            </w:r>
          </w:p>
        </w:tc>
        <w:tc>
          <w:tcPr>
            <w:tcW w:w="626" w:type="dxa"/>
            <w:vAlign w:val="bottom"/>
          </w:tcPr>
          <w:p w14:paraId="4A808B4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1.408</w:t>
            </w:r>
          </w:p>
        </w:tc>
        <w:tc>
          <w:tcPr>
            <w:tcW w:w="610" w:type="dxa"/>
            <w:vAlign w:val="bottom"/>
          </w:tcPr>
          <w:p w14:paraId="406CE00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1"/>
                <w:szCs w:val="11"/>
              </w:rPr>
            </w:pPr>
            <w:r>
              <w:rPr>
                <w:color w:val="000000"/>
                <w:sz w:val="11"/>
                <w:szCs w:val="11"/>
              </w:rPr>
              <w:t>1.867</w:t>
            </w:r>
          </w:p>
        </w:tc>
      </w:tr>
      <w:tr w:rsidR="001308C0" w14:paraId="79ED19A0" w14:textId="77777777" w:rsidTr="001308C0">
        <w:trPr>
          <w:gridAfter w:val="1"/>
          <w:cnfStyle w:val="000000100000" w:firstRow="0" w:lastRow="0" w:firstColumn="0" w:lastColumn="0" w:oddVBand="0" w:evenVBand="0" w:oddHBand="1" w:evenHBand="0" w:firstRowFirstColumn="0" w:firstRowLastColumn="0" w:lastRowFirstColumn="0" w:lastRowLastColumn="0"/>
          <w:wAfter w:w="15" w:type="dxa"/>
          <w:trHeight w:val="362"/>
        </w:trPr>
        <w:tc>
          <w:tcPr>
            <w:cnfStyle w:val="001000000000" w:firstRow="0" w:lastRow="0" w:firstColumn="1" w:lastColumn="0" w:oddVBand="0" w:evenVBand="0" w:oddHBand="0" w:evenHBand="0" w:firstRowFirstColumn="0" w:firstRowLastColumn="0" w:lastRowFirstColumn="0" w:lastRowLastColumn="0"/>
            <w:tcW w:w="1139" w:type="dxa"/>
          </w:tcPr>
          <w:p w14:paraId="27C8E43C" w14:textId="77777777" w:rsidR="001308C0" w:rsidRDefault="00037BCD">
            <w:pPr>
              <w:spacing w:line="360" w:lineRule="auto"/>
              <w:rPr>
                <w:color w:val="000000"/>
                <w:sz w:val="11"/>
                <w:szCs w:val="11"/>
              </w:rPr>
            </w:pPr>
            <w:proofErr w:type="spellStart"/>
            <w:r>
              <w:rPr>
                <w:color w:val="000000"/>
                <w:sz w:val="11"/>
                <w:szCs w:val="11"/>
              </w:rPr>
              <w:t>C</w:t>
            </w:r>
            <w:r>
              <w:rPr>
                <w:color w:val="000000"/>
                <w:sz w:val="11"/>
                <w:szCs w:val="11"/>
                <w:vertAlign w:val="subscript"/>
              </w:rPr>
              <w:t>HWSD</w:t>
            </w:r>
            <w:r>
              <w:rPr>
                <w:color w:val="000000"/>
                <w:sz w:val="11"/>
                <w:szCs w:val="11"/>
              </w:rPr>
              <w:t>+GPP</w:t>
            </w:r>
            <w:r>
              <w:rPr>
                <w:color w:val="000000"/>
                <w:sz w:val="11"/>
                <w:szCs w:val="11"/>
                <w:vertAlign w:val="subscript"/>
              </w:rPr>
              <w:t>FlUXCOM</w:t>
            </w:r>
            <w:proofErr w:type="spellEnd"/>
          </w:p>
        </w:tc>
        <w:tc>
          <w:tcPr>
            <w:tcW w:w="580" w:type="dxa"/>
            <w:vAlign w:val="bottom"/>
          </w:tcPr>
          <w:p w14:paraId="60E8922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0.260</w:t>
            </w:r>
          </w:p>
        </w:tc>
        <w:tc>
          <w:tcPr>
            <w:tcW w:w="718" w:type="dxa"/>
            <w:vAlign w:val="bottom"/>
          </w:tcPr>
          <w:p w14:paraId="553C09D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0.259</w:t>
            </w:r>
          </w:p>
        </w:tc>
        <w:tc>
          <w:tcPr>
            <w:tcW w:w="537" w:type="dxa"/>
            <w:vAlign w:val="bottom"/>
          </w:tcPr>
          <w:p w14:paraId="7B53040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0.826</w:t>
            </w:r>
          </w:p>
        </w:tc>
        <w:tc>
          <w:tcPr>
            <w:tcW w:w="717" w:type="dxa"/>
            <w:vAlign w:val="bottom"/>
          </w:tcPr>
          <w:p w14:paraId="3ACE68D8"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0.824</w:t>
            </w:r>
          </w:p>
        </w:tc>
        <w:tc>
          <w:tcPr>
            <w:tcW w:w="537" w:type="dxa"/>
            <w:vAlign w:val="bottom"/>
          </w:tcPr>
          <w:p w14:paraId="1B98FA51"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-69662</w:t>
            </w:r>
          </w:p>
        </w:tc>
        <w:tc>
          <w:tcPr>
            <w:tcW w:w="717" w:type="dxa"/>
            <w:vAlign w:val="bottom"/>
          </w:tcPr>
          <w:p w14:paraId="56C7B2B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-71383</w:t>
            </w:r>
          </w:p>
        </w:tc>
        <w:tc>
          <w:tcPr>
            <w:tcW w:w="626" w:type="dxa"/>
            <w:vAlign w:val="bottom"/>
          </w:tcPr>
          <w:p w14:paraId="462006A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proofErr w:type="spellStart"/>
            <w:r>
              <w:rPr>
                <w:color w:val="000000"/>
                <w:sz w:val="11"/>
                <w:szCs w:val="11"/>
              </w:rPr>
              <w:t>NaN</w:t>
            </w:r>
            <w:proofErr w:type="spellEnd"/>
          </w:p>
        </w:tc>
        <w:tc>
          <w:tcPr>
            <w:tcW w:w="717" w:type="dxa"/>
            <w:vAlign w:val="bottom"/>
          </w:tcPr>
          <w:p w14:paraId="55ABE4E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0.000</w:t>
            </w:r>
          </w:p>
        </w:tc>
        <w:tc>
          <w:tcPr>
            <w:tcW w:w="537" w:type="dxa"/>
            <w:vAlign w:val="bottom"/>
          </w:tcPr>
          <w:p w14:paraId="3E7A0AA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-0.018</w:t>
            </w:r>
          </w:p>
        </w:tc>
        <w:tc>
          <w:tcPr>
            <w:tcW w:w="717" w:type="dxa"/>
            <w:vAlign w:val="bottom"/>
          </w:tcPr>
          <w:p w14:paraId="6AF859A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-0.021</w:t>
            </w:r>
          </w:p>
        </w:tc>
        <w:tc>
          <w:tcPr>
            <w:tcW w:w="537" w:type="dxa"/>
            <w:vAlign w:val="bottom"/>
          </w:tcPr>
          <w:p w14:paraId="5493339A"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0.899</w:t>
            </w:r>
          </w:p>
        </w:tc>
        <w:tc>
          <w:tcPr>
            <w:tcW w:w="717" w:type="dxa"/>
            <w:vAlign w:val="bottom"/>
          </w:tcPr>
          <w:p w14:paraId="2E2F8B1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0.934</w:t>
            </w:r>
          </w:p>
        </w:tc>
        <w:tc>
          <w:tcPr>
            <w:tcW w:w="806" w:type="dxa"/>
            <w:vAlign w:val="bottom"/>
          </w:tcPr>
          <w:p w14:paraId="70F8AE2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1.594</w:t>
            </w:r>
          </w:p>
        </w:tc>
        <w:tc>
          <w:tcPr>
            <w:tcW w:w="626" w:type="dxa"/>
            <w:vAlign w:val="bottom"/>
          </w:tcPr>
          <w:p w14:paraId="0F3DE71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1.377</w:t>
            </w:r>
          </w:p>
        </w:tc>
        <w:tc>
          <w:tcPr>
            <w:tcW w:w="610" w:type="dxa"/>
            <w:vAlign w:val="bottom"/>
          </w:tcPr>
          <w:p w14:paraId="54D7E80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1"/>
                <w:szCs w:val="11"/>
              </w:rPr>
            </w:pPr>
            <w:r>
              <w:rPr>
                <w:color w:val="000000"/>
                <w:sz w:val="11"/>
                <w:szCs w:val="11"/>
              </w:rPr>
              <w:t>1.846</w:t>
            </w:r>
          </w:p>
        </w:tc>
      </w:tr>
    </w:tbl>
    <w:p w14:paraId="17FCFB19" w14:textId="77777777" w:rsidR="001308C0" w:rsidRDefault="001308C0">
      <w:pPr>
        <w:spacing w:after="240" w:line="360" w:lineRule="auto"/>
        <w:rPr>
          <w:b/>
          <w:color w:val="074080"/>
          <w:sz w:val="21"/>
          <w:szCs w:val="21"/>
        </w:rPr>
      </w:pPr>
    </w:p>
    <w:p w14:paraId="5F39BE2E" w14:textId="77777777" w:rsidR="001308C0" w:rsidRDefault="00037BCD">
      <w:pPr>
        <w:keepNext/>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t>Table SI-3. 3: Comparison between linear and quadratic regression models without hydrometeorological effect using site-level observations and median ensemble datasets (at the same location of site-level observations).</w:t>
      </w:r>
    </w:p>
    <w:tbl>
      <w:tblPr>
        <w:tblStyle w:val="a1"/>
        <w:tblW w:w="10009"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99"/>
        <w:gridCol w:w="1080"/>
        <w:gridCol w:w="900"/>
        <w:gridCol w:w="810"/>
        <w:gridCol w:w="810"/>
        <w:gridCol w:w="810"/>
        <w:gridCol w:w="810"/>
        <w:gridCol w:w="720"/>
        <w:gridCol w:w="990"/>
        <w:gridCol w:w="990"/>
        <w:gridCol w:w="990"/>
      </w:tblGrid>
      <w:tr w:rsidR="001308C0" w14:paraId="3A48D34B" w14:textId="77777777" w:rsidTr="001308C0">
        <w:trPr>
          <w:cnfStyle w:val="100000000000" w:firstRow="1" w:lastRow="0" w:firstColumn="0" w:lastColumn="0" w:oddVBand="0" w:evenVBand="0" w:oddHBand="0" w:evenHBand="0" w:firstRowFirstColumn="0" w:firstRowLastColumn="0" w:lastRowFirstColumn="0" w:lastRowLastColumn="0"/>
          <w:trHeight w:val="362"/>
        </w:trPr>
        <w:tc>
          <w:tcPr>
            <w:cnfStyle w:val="001000000100" w:firstRow="0" w:lastRow="0" w:firstColumn="1" w:lastColumn="0" w:oddVBand="0" w:evenVBand="0" w:oddHBand="0" w:evenHBand="0" w:firstRowFirstColumn="1" w:firstRowLastColumn="0" w:lastRowFirstColumn="0" w:lastRowLastColumn="0"/>
            <w:tcW w:w="1099" w:type="dxa"/>
          </w:tcPr>
          <w:p w14:paraId="4541CB38" w14:textId="77777777" w:rsidR="001308C0" w:rsidRDefault="001308C0">
            <w:pPr>
              <w:spacing w:line="360" w:lineRule="auto"/>
              <w:rPr>
                <w:color w:val="000000"/>
                <w:sz w:val="15"/>
                <w:szCs w:val="15"/>
              </w:rPr>
            </w:pPr>
          </w:p>
        </w:tc>
        <w:tc>
          <w:tcPr>
            <w:tcW w:w="1080" w:type="dxa"/>
          </w:tcPr>
          <w:p w14:paraId="081DFB63" w14:textId="77777777" w:rsidR="001308C0" w:rsidRDefault="001308C0">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p>
        </w:tc>
        <w:tc>
          <w:tcPr>
            <w:tcW w:w="900" w:type="dxa"/>
          </w:tcPr>
          <w:p w14:paraId="0141C8DB"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RMSE</w:t>
            </w:r>
          </w:p>
        </w:tc>
        <w:tc>
          <w:tcPr>
            <w:tcW w:w="810" w:type="dxa"/>
          </w:tcPr>
          <w:p w14:paraId="53C31C66"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R</w:t>
            </w:r>
            <w:r>
              <w:rPr>
                <w:color w:val="000000"/>
                <w:sz w:val="15"/>
                <w:szCs w:val="15"/>
                <w:vertAlign w:val="superscript"/>
              </w:rPr>
              <w:t>2</w:t>
            </w:r>
          </w:p>
        </w:tc>
        <w:tc>
          <w:tcPr>
            <w:tcW w:w="810" w:type="dxa"/>
          </w:tcPr>
          <w:p w14:paraId="7F2560A6"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AIC</w:t>
            </w:r>
          </w:p>
        </w:tc>
        <w:tc>
          <w:tcPr>
            <w:tcW w:w="810" w:type="dxa"/>
          </w:tcPr>
          <w:p w14:paraId="57F9C5AD"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P1</w:t>
            </w:r>
          </w:p>
        </w:tc>
        <w:tc>
          <w:tcPr>
            <w:tcW w:w="810" w:type="dxa"/>
          </w:tcPr>
          <w:p w14:paraId="242163FA"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P2</w:t>
            </w:r>
          </w:p>
        </w:tc>
        <w:tc>
          <w:tcPr>
            <w:tcW w:w="720" w:type="dxa"/>
          </w:tcPr>
          <w:p w14:paraId="30053767"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P3</w:t>
            </w:r>
          </w:p>
        </w:tc>
        <w:tc>
          <w:tcPr>
            <w:tcW w:w="2970" w:type="dxa"/>
            <w:gridSpan w:val="3"/>
          </w:tcPr>
          <w:p w14:paraId="532B2C21"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Q10 values</w:t>
            </w:r>
          </w:p>
        </w:tc>
      </w:tr>
      <w:tr w:rsidR="001308C0" w14:paraId="61AC84B8" w14:textId="77777777" w:rsidTr="001308C0">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099" w:type="dxa"/>
            <w:vMerge w:val="restart"/>
          </w:tcPr>
          <w:p w14:paraId="16DEADE7" w14:textId="77777777" w:rsidR="001308C0" w:rsidRDefault="00037BCD">
            <w:pPr>
              <w:spacing w:line="360" w:lineRule="auto"/>
              <w:rPr>
                <w:color w:val="000000"/>
                <w:sz w:val="15"/>
                <w:szCs w:val="15"/>
              </w:rPr>
            </w:pPr>
            <w:r>
              <w:rPr>
                <w:color w:val="000000"/>
                <w:sz w:val="15"/>
                <w:szCs w:val="15"/>
              </w:rPr>
              <w:t>Site-level</w:t>
            </w:r>
          </w:p>
        </w:tc>
        <w:tc>
          <w:tcPr>
            <w:tcW w:w="1080" w:type="dxa"/>
          </w:tcPr>
          <w:p w14:paraId="77C23F98"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Linear</w:t>
            </w:r>
          </w:p>
        </w:tc>
        <w:tc>
          <w:tcPr>
            <w:tcW w:w="900" w:type="dxa"/>
            <w:vAlign w:val="bottom"/>
          </w:tcPr>
          <w:p w14:paraId="720EB1C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0.398</w:t>
            </w:r>
          </w:p>
        </w:tc>
        <w:tc>
          <w:tcPr>
            <w:tcW w:w="810" w:type="dxa"/>
            <w:vAlign w:val="bottom"/>
          </w:tcPr>
          <w:p w14:paraId="38C6764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0.583</w:t>
            </w:r>
          </w:p>
        </w:tc>
        <w:tc>
          <w:tcPr>
            <w:tcW w:w="810" w:type="dxa"/>
            <w:vAlign w:val="bottom"/>
          </w:tcPr>
          <w:p w14:paraId="30B580E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-440.017</w:t>
            </w:r>
          </w:p>
        </w:tc>
        <w:tc>
          <w:tcPr>
            <w:tcW w:w="810" w:type="dxa"/>
            <w:vAlign w:val="bottom"/>
          </w:tcPr>
          <w:p w14:paraId="3E1EED58"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810" w:type="dxa"/>
            <w:vAlign w:val="bottom"/>
          </w:tcPr>
          <w:p w14:paraId="4384112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-0.030</w:t>
            </w:r>
          </w:p>
        </w:tc>
        <w:tc>
          <w:tcPr>
            <w:tcW w:w="720" w:type="dxa"/>
            <w:vAlign w:val="bottom"/>
          </w:tcPr>
          <w:p w14:paraId="3C91CF64"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1.792</w:t>
            </w:r>
          </w:p>
        </w:tc>
        <w:tc>
          <w:tcPr>
            <w:tcW w:w="990" w:type="dxa"/>
            <w:vAlign w:val="bottom"/>
          </w:tcPr>
          <w:p w14:paraId="40CE1634"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2.004</w:t>
            </w:r>
          </w:p>
        </w:tc>
        <w:tc>
          <w:tcPr>
            <w:tcW w:w="990" w:type="dxa"/>
            <w:vAlign w:val="bottom"/>
          </w:tcPr>
          <w:p w14:paraId="3D36B1CA"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990" w:type="dxa"/>
            <w:vAlign w:val="bottom"/>
          </w:tcPr>
          <w:p w14:paraId="764F779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r>
      <w:tr w:rsidR="001308C0" w14:paraId="5EDAB0E2" w14:textId="77777777" w:rsidTr="001308C0">
        <w:trPr>
          <w:trHeight w:val="362"/>
        </w:trPr>
        <w:tc>
          <w:tcPr>
            <w:cnfStyle w:val="001000000000" w:firstRow="0" w:lastRow="0" w:firstColumn="1" w:lastColumn="0" w:oddVBand="0" w:evenVBand="0" w:oddHBand="0" w:evenHBand="0" w:firstRowFirstColumn="0" w:firstRowLastColumn="0" w:lastRowFirstColumn="0" w:lastRowLastColumn="0"/>
            <w:tcW w:w="1099" w:type="dxa"/>
            <w:vMerge/>
          </w:tcPr>
          <w:p w14:paraId="326C7A29" w14:textId="77777777" w:rsidR="001308C0" w:rsidRDefault="001308C0">
            <w:pPr>
              <w:widowControl w:val="0"/>
              <w:pBdr>
                <w:top w:val="nil"/>
                <w:left w:val="nil"/>
                <w:bottom w:val="nil"/>
                <w:right w:val="nil"/>
                <w:between w:val="nil"/>
              </w:pBdr>
              <w:spacing w:line="276" w:lineRule="auto"/>
              <w:rPr>
                <w:color w:val="000000"/>
                <w:sz w:val="15"/>
                <w:szCs w:val="15"/>
              </w:rPr>
            </w:pPr>
          </w:p>
        </w:tc>
        <w:tc>
          <w:tcPr>
            <w:tcW w:w="1080" w:type="dxa"/>
          </w:tcPr>
          <w:p w14:paraId="06973F4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Quadratic</w:t>
            </w:r>
          </w:p>
        </w:tc>
        <w:tc>
          <w:tcPr>
            <w:tcW w:w="900" w:type="dxa"/>
            <w:vAlign w:val="bottom"/>
          </w:tcPr>
          <w:p w14:paraId="73634C1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0.353</w:t>
            </w:r>
          </w:p>
        </w:tc>
        <w:tc>
          <w:tcPr>
            <w:tcW w:w="810" w:type="dxa"/>
            <w:vAlign w:val="bottom"/>
          </w:tcPr>
          <w:p w14:paraId="436B5BF5"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0.665</w:t>
            </w:r>
          </w:p>
        </w:tc>
        <w:tc>
          <w:tcPr>
            <w:tcW w:w="810" w:type="dxa"/>
            <w:vAlign w:val="bottom"/>
          </w:tcPr>
          <w:p w14:paraId="08B3B008"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-492.895</w:t>
            </w:r>
          </w:p>
        </w:tc>
        <w:tc>
          <w:tcPr>
            <w:tcW w:w="810" w:type="dxa"/>
            <w:vAlign w:val="bottom"/>
          </w:tcPr>
          <w:p w14:paraId="7074D734"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0.001</w:t>
            </w:r>
          </w:p>
        </w:tc>
        <w:tc>
          <w:tcPr>
            <w:tcW w:w="810" w:type="dxa"/>
            <w:vAlign w:val="bottom"/>
          </w:tcPr>
          <w:p w14:paraId="4D70DDD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-0.049</w:t>
            </w:r>
          </w:p>
        </w:tc>
        <w:tc>
          <w:tcPr>
            <w:tcW w:w="720" w:type="dxa"/>
            <w:vAlign w:val="bottom"/>
          </w:tcPr>
          <w:p w14:paraId="7DFBC6B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1.748</w:t>
            </w:r>
          </w:p>
        </w:tc>
        <w:tc>
          <w:tcPr>
            <w:tcW w:w="990" w:type="dxa"/>
            <w:vAlign w:val="bottom"/>
          </w:tcPr>
          <w:p w14:paraId="3F024D9E"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2.034</w:t>
            </w:r>
          </w:p>
        </w:tc>
        <w:tc>
          <w:tcPr>
            <w:tcW w:w="990" w:type="dxa"/>
            <w:vAlign w:val="bottom"/>
          </w:tcPr>
          <w:p w14:paraId="56686DA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0.940</w:t>
            </w:r>
          </w:p>
        </w:tc>
        <w:tc>
          <w:tcPr>
            <w:tcW w:w="990" w:type="dxa"/>
            <w:vAlign w:val="bottom"/>
          </w:tcPr>
          <w:p w14:paraId="7F4395E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5.047</w:t>
            </w:r>
          </w:p>
        </w:tc>
      </w:tr>
      <w:tr w:rsidR="001308C0" w14:paraId="105C27A5" w14:textId="77777777" w:rsidTr="001308C0">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099" w:type="dxa"/>
            <w:vMerge w:val="restart"/>
          </w:tcPr>
          <w:p w14:paraId="06C0B296" w14:textId="77777777" w:rsidR="001308C0" w:rsidRDefault="00037BCD">
            <w:pPr>
              <w:spacing w:line="360" w:lineRule="auto"/>
              <w:rPr>
                <w:color w:val="000000"/>
                <w:sz w:val="15"/>
                <w:szCs w:val="15"/>
              </w:rPr>
            </w:pPr>
            <w:r>
              <w:rPr>
                <w:color w:val="000000"/>
                <w:sz w:val="15"/>
                <w:szCs w:val="15"/>
              </w:rPr>
              <w:t>Grid cell data</w:t>
            </w:r>
          </w:p>
        </w:tc>
        <w:tc>
          <w:tcPr>
            <w:tcW w:w="1080" w:type="dxa"/>
          </w:tcPr>
          <w:p w14:paraId="298FC7D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Linear</w:t>
            </w:r>
          </w:p>
        </w:tc>
        <w:tc>
          <w:tcPr>
            <w:tcW w:w="900" w:type="dxa"/>
            <w:vAlign w:val="bottom"/>
          </w:tcPr>
          <w:p w14:paraId="0BF31293"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0.208</w:t>
            </w:r>
          </w:p>
        </w:tc>
        <w:tc>
          <w:tcPr>
            <w:tcW w:w="810" w:type="dxa"/>
            <w:vAlign w:val="bottom"/>
          </w:tcPr>
          <w:p w14:paraId="071C481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0.876</w:t>
            </w:r>
          </w:p>
        </w:tc>
        <w:tc>
          <w:tcPr>
            <w:tcW w:w="810" w:type="dxa"/>
            <w:vAlign w:val="bottom"/>
          </w:tcPr>
          <w:p w14:paraId="6306D7D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-613.357</w:t>
            </w:r>
          </w:p>
        </w:tc>
        <w:tc>
          <w:tcPr>
            <w:tcW w:w="810" w:type="dxa"/>
            <w:vAlign w:val="bottom"/>
          </w:tcPr>
          <w:p w14:paraId="189387D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810" w:type="dxa"/>
            <w:vAlign w:val="bottom"/>
          </w:tcPr>
          <w:p w14:paraId="6ECED4B6"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-0.034</w:t>
            </w:r>
          </w:p>
        </w:tc>
        <w:tc>
          <w:tcPr>
            <w:tcW w:w="720" w:type="dxa"/>
            <w:vAlign w:val="bottom"/>
          </w:tcPr>
          <w:p w14:paraId="0FC33E42"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1.961</w:t>
            </w:r>
          </w:p>
        </w:tc>
        <w:tc>
          <w:tcPr>
            <w:tcW w:w="990" w:type="dxa"/>
            <w:vAlign w:val="bottom"/>
          </w:tcPr>
          <w:p w14:paraId="5038326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2.206</w:t>
            </w:r>
          </w:p>
        </w:tc>
        <w:tc>
          <w:tcPr>
            <w:tcW w:w="990" w:type="dxa"/>
            <w:vAlign w:val="bottom"/>
          </w:tcPr>
          <w:p w14:paraId="16F3989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990" w:type="dxa"/>
            <w:vAlign w:val="bottom"/>
          </w:tcPr>
          <w:p w14:paraId="1A32225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r>
      <w:tr w:rsidR="001308C0" w14:paraId="16CD2E24" w14:textId="77777777" w:rsidTr="001308C0">
        <w:trPr>
          <w:trHeight w:val="362"/>
        </w:trPr>
        <w:tc>
          <w:tcPr>
            <w:cnfStyle w:val="001000000000" w:firstRow="0" w:lastRow="0" w:firstColumn="1" w:lastColumn="0" w:oddVBand="0" w:evenVBand="0" w:oddHBand="0" w:evenHBand="0" w:firstRowFirstColumn="0" w:firstRowLastColumn="0" w:lastRowFirstColumn="0" w:lastRowLastColumn="0"/>
            <w:tcW w:w="1099" w:type="dxa"/>
            <w:vMerge/>
          </w:tcPr>
          <w:p w14:paraId="3A6995B8" w14:textId="77777777" w:rsidR="001308C0" w:rsidRDefault="001308C0">
            <w:pPr>
              <w:widowControl w:val="0"/>
              <w:pBdr>
                <w:top w:val="nil"/>
                <w:left w:val="nil"/>
                <w:bottom w:val="nil"/>
                <w:right w:val="nil"/>
                <w:between w:val="nil"/>
              </w:pBdr>
              <w:spacing w:line="276" w:lineRule="auto"/>
              <w:rPr>
                <w:color w:val="000000"/>
                <w:sz w:val="15"/>
                <w:szCs w:val="15"/>
              </w:rPr>
            </w:pPr>
          </w:p>
        </w:tc>
        <w:tc>
          <w:tcPr>
            <w:tcW w:w="1080" w:type="dxa"/>
          </w:tcPr>
          <w:p w14:paraId="7FA19732"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Quadratic</w:t>
            </w:r>
          </w:p>
        </w:tc>
        <w:tc>
          <w:tcPr>
            <w:tcW w:w="900" w:type="dxa"/>
            <w:vAlign w:val="bottom"/>
          </w:tcPr>
          <w:p w14:paraId="753253D2"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0.151</w:t>
            </w:r>
          </w:p>
        </w:tc>
        <w:tc>
          <w:tcPr>
            <w:tcW w:w="810" w:type="dxa"/>
            <w:vAlign w:val="bottom"/>
          </w:tcPr>
          <w:p w14:paraId="26C68678"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0.943</w:t>
            </w:r>
          </w:p>
        </w:tc>
        <w:tc>
          <w:tcPr>
            <w:tcW w:w="810" w:type="dxa"/>
            <w:vAlign w:val="bottom"/>
          </w:tcPr>
          <w:p w14:paraId="292161B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-668.110</w:t>
            </w:r>
          </w:p>
        </w:tc>
        <w:tc>
          <w:tcPr>
            <w:tcW w:w="810" w:type="dxa"/>
            <w:vAlign w:val="bottom"/>
          </w:tcPr>
          <w:p w14:paraId="00AE8532"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0.001</w:t>
            </w:r>
          </w:p>
        </w:tc>
        <w:tc>
          <w:tcPr>
            <w:tcW w:w="810" w:type="dxa"/>
            <w:vAlign w:val="bottom"/>
          </w:tcPr>
          <w:p w14:paraId="42388F3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-0.055</w:t>
            </w:r>
          </w:p>
        </w:tc>
        <w:tc>
          <w:tcPr>
            <w:tcW w:w="720" w:type="dxa"/>
            <w:vAlign w:val="bottom"/>
          </w:tcPr>
          <w:p w14:paraId="0EDB8987"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1.932</w:t>
            </w:r>
          </w:p>
        </w:tc>
        <w:tc>
          <w:tcPr>
            <w:tcW w:w="990" w:type="dxa"/>
            <w:vAlign w:val="bottom"/>
          </w:tcPr>
          <w:p w14:paraId="1737BCB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2.349</w:t>
            </w:r>
          </w:p>
        </w:tc>
        <w:tc>
          <w:tcPr>
            <w:tcW w:w="990" w:type="dxa"/>
            <w:vAlign w:val="bottom"/>
          </w:tcPr>
          <w:p w14:paraId="50505715"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1.037</w:t>
            </w:r>
          </w:p>
        </w:tc>
        <w:tc>
          <w:tcPr>
            <w:tcW w:w="990" w:type="dxa"/>
            <w:vAlign w:val="bottom"/>
          </w:tcPr>
          <w:p w14:paraId="352991D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6.099</w:t>
            </w:r>
          </w:p>
        </w:tc>
      </w:tr>
    </w:tbl>
    <w:p w14:paraId="586FDBAA" w14:textId="77777777" w:rsidR="001308C0" w:rsidRDefault="001308C0">
      <w:pPr>
        <w:spacing w:after="240" w:line="360" w:lineRule="auto"/>
        <w:rPr>
          <w:b/>
          <w:color w:val="074080"/>
          <w:sz w:val="21"/>
          <w:szCs w:val="21"/>
        </w:rPr>
      </w:pPr>
    </w:p>
    <w:p w14:paraId="564AF8A0" w14:textId="77777777" w:rsidR="001308C0" w:rsidRDefault="00037BCD">
      <w:pPr>
        <w:keepNext/>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t>Table SI-3. 4: Comparison between linear and quadratic regression models with hydrometeorological effect using site-level observations and median ensemble datasets (at the same location of site-level observations).</w:t>
      </w:r>
    </w:p>
    <w:tbl>
      <w:tblPr>
        <w:tblStyle w:val="a2"/>
        <w:tblW w:w="10009"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99"/>
        <w:gridCol w:w="1080"/>
        <w:gridCol w:w="900"/>
        <w:gridCol w:w="810"/>
        <w:gridCol w:w="810"/>
        <w:gridCol w:w="810"/>
        <w:gridCol w:w="810"/>
        <w:gridCol w:w="720"/>
        <w:gridCol w:w="990"/>
        <w:gridCol w:w="990"/>
        <w:gridCol w:w="990"/>
      </w:tblGrid>
      <w:tr w:rsidR="001308C0" w14:paraId="21CE822E" w14:textId="77777777" w:rsidTr="001308C0">
        <w:trPr>
          <w:cnfStyle w:val="100000000000" w:firstRow="1" w:lastRow="0" w:firstColumn="0" w:lastColumn="0" w:oddVBand="0" w:evenVBand="0" w:oddHBand="0" w:evenHBand="0" w:firstRowFirstColumn="0" w:firstRowLastColumn="0" w:lastRowFirstColumn="0" w:lastRowLastColumn="0"/>
          <w:trHeight w:val="362"/>
        </w:trPr>
        <w:tc>
          <w:tcPr>
            <w:cnfStyle w:val="001000000100" w:firstRow="0" w:lastRow="0" w:firstColumn="1" w:lastColumn="0" w:oddVBand="0" w:evenVBand="0" w:oddHBand="0" w:evenHBand="0" w:firstRowFirstColumn="1" w:firstRowLastColumn="0" w:lastRowFirstColumn="0" w:lastRowLastColumn="0"/>
            <w:tcW w:w="1099" w:type="dxa"/>
          </w:tcPr>
          <w:p w14:paraId="1530F33C" w14:textId="77777777" w:rsidR="001308C0" w:rsidRDefault="001308C0">
            <w:pPr>
              <w:spacing w:line="360" w:lineRule="auto"/>
              <w:rPr>
                <w:color w:val="000000"/>
                <w:sz w:val="15"/>
                <w:szCs w:val="15"/>
              </w:rPr>
            </w:pPr>
          </w:p>
        </w:tc>
        <w:tc>
          <w:tcPr>
            <w:tcW w:w="1080" w:type="dxa"/>
          </w:tcPr>
          <w:p w14:paraId="11F007DC" w14:textId="77777777" w:rsidR="001308C0" w:rsidRDefault="001308C0">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p>
        </w:tc>
        <w:tc>
          <w:tcPr>
            <w:tcW w:w="900" w:type="dxa"/>
          </w:tcPr>
          <w:p w14:paraId="406A4C34"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RMSE</w:t>
            </w:r>
          </w:p>
        </w:tc>
        <w:tc>
          <w:tcPr>
            <w:tcW w:w="810" w:type="dxa"/>
          </w:tcPr>
          <w:p w14:paraId="48FA3318"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R</w:t>
            </w:r>
            <w:r>
              <w:rPr>
                <w:color w:val="000000"/>
                <w:sz w:val="15"/>
                <w:szCs w:val="15"/>
                <w:vertAlign w:val="superscript"/>
              </w:rPr>
              <w:t>2</w:t>
            </w:r>
          </w:p>
        </w:tc>
        <w:tc>
          <w:tcPr>
            <w:tcW w:w="810" w:type="dxa"/>
          </w:tcPr>
          <w:p w14:paraId="4186EF25"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AIC</w:t>
            </w:r>
          </w:p>
        </w:tc>
        <w:tc>
          <w:tcPr>
            <w:tcW w:w="810" w:type="dxa"/>
          </w:tcPr>
          <w:p w14:paraId="70912698"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P1</w:t>
            </w:r>
          </w:p>
        </w:tc>
        <w:tc>
          <w:tcPr>
            <w:tcW w:w="810" w:type="dxa"/>
          </w:tcPr>
          <w:p w14:paraId="0B82925A"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P2</w:t>
            </w:r>
          </w:p>
        </w:tc>
        <w:tc>
          <w:tcPr>
            <w:tcW w:w="720" w:type="dxa"/>
          </w:tcPr>
          <w:p w14:paraId="2B35475C"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P3</w:t>
            </w:r>
          </w:p>
        </w:tc>
        <w:tc>
          <w:tcPr>
            <w:tcW w:w="2970" w:type="dxa"/>
            <w:gridSpan w:val="3"/>
          </w:tcPr>
          <w:p w14:paraId="35FF64E5" w14:textId="77777777" w:rsidR="001308C0" w:rsidRDefault="00037BCD">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Q10 values</w:t>
            </w:r>
          </w:p>
        </w:tc>
      </w:tr>
      <w:tr w:rsidR="001308C0" w14:paraId="034D59CB" w14:textId="77777777" w:rsidTr="001308C0">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099" w:type="dxa"/>
            <w:vMerge w:val="restart"/>
          </w:tcPr>
          <w:p w14:paraId="0A64E226" w14:textId="77777777" w:rsidR="001308C0" w:rsidRDefault="00037BCD">
            <w:pPr>
              <w:spacing w:line="360" w:lineRule="auto"/>
              <w:rPr>
                <w:color w:val="000000"/>
                <w:sz w:val="15"/>
                <w:szCs w:val="15"/>
              </w:rPr>
            </w:pPr>
            <w:r>
              <w:rPr>
                <w:color w:val="000000"/>
                <w:sz w:val="15"/>
                <w:szCs w:val="15"/>
              </w:rPr>
              <w:t>Site-level</w:t>
            </w:r>
          </w:p>
        </w:tc>
        <w:tc>
          <w:tcPr>
            <w:tcW w:w="1080" w:type="dxa"/>
          </w:tcPr>
          <w:p w14:paraId="5B449190"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Linear</w:t>
            </w:r>
          </w:p>
        </w:tc>
        <w:tc>
          <w:tcPr>
            <w:tcW w:w="900" w:type="dxa"/>
            <w:vAlign w:val="bottom"/>
          </w:tcPr>
          <w:p w14:paraId="70911F4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0.372</w:t>
            </w:r>
          </w:p>
        </w:tc>
        <w:tc>
          <w:tcPr>
            <w:tcW w:w="810" w:type="dxa"/>
            <w:vAlign w:val="bottom"/>
          </w:tcPr>
          <w:p w14:paraId="0A6991B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0.636</w:t>
            </w:r>
          </w:p>
        </w:tc>
        <w:tc>
          <w:tcPr>
            <w:tcW w:w="810" w:type="dxa"/>
            <w:vAlign w:val="bottom"/>
          </w:tcPr>
          <w:p w14:paraId="0F08698F"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-462.879</w:t>
            </w:r>
          </w:p>
        </w:tc>
        <w:tc>
          <w:tcPr>
            <w:tcW w:w="810" w:type="dxa"/>
            <w:vAlign w:val="bottom"/>
          </w:tcPr>
          <w:p w14:paraId="50C65662"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810" w:type="dxa"/>
            <w:vAlign w:val="bottom"/>
          </w:tcPr>
          <w:p w14:paraId="63ECD9B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-0.019</w:t>
            </w:r>
          </w:p>
        </w:tc>
        <w:tc>
          <w:tcPr>
            <w:tcW w:w="720" w:type="dxa"/>
            <w:vAlign w:val="bottom"/>
          </w:tcPr>
          <w:p w14:paraId="10696C2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1.419</w:t>
            </w:r>
          </w:p>
        </w:tc>
        <w:tc>
          <w:tcPr>
            <w:tcW w:w="990" w:type="dxa"/>
            <w:vAlign w:val="bottom"/>
          </w:tcPr>
          <w:p w14:paraId="37677EEB"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1.548</w:t>
            </w:r>
          </w:p>
        </w:tc>
        <w:tc>
          <w:tcPr>
            <w:tcW w:w="990" w:type="dxa"/>
            <w:vAlign w:val="bottom"/>
          </w:tcPr>
          <w:p w14:paraId="187CDA49"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990" w:type="dxa"/>
            <w:vAlign w:val="bottom"/>
          </w:tcPr>
          <w:p w14:paraId="08CEDEF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r>
      <w:tr w:rsidR="001308C0" w14:paraId="444F81C8" w14:textId="77777777" w:rsidTr="001308C0">
        <w:trPr>
          <w:trHeight w:val="362"/>
        </w:trPr>
        <w:tc>
          <w:tcPr>
            <w:cnfStyle w:val="001000000000" w:firstRow="0" w:lastRow="0" w:firstColumn="1" w:lastColumn="0" w:oddVBand="0" w:evenVBand="0" w:oddHBand="0" w:evenHBand="0" w:firstRowFirstColumn="0" w:firstRowLastColumn="0" w:lastRowFirstColumn="0" w:lastRowLastColumn="0"/>
            <w:tcW w:w="1099" w:type="dxa"/>
            <w:vMerge/>
          </w:tcPr>
          <w:p w14:paraId="497A77F8" w14:textId="77777777" w:rsidR="001308C0" w:rsidRDefault="001308C0">
            <w:pPr>
              <w:widowControl w:val="0"/>
              <w:pBdr>
                <w:top w:val="nil"/>
                <w:left w:val="nil"/>
                <w:bottom w:val="nil"/>
                <w:right w:val="nil"/>
                <w:between w:val="nil"/>
              </w:pBdr>
              <w:spacing w:line="276" w:lineRule="auto"/>
              <w:rPr>
                <w:color w:val="000000"/>
                <w:sz w:val="15"/>
                <w:szCs w:val="15"/>
              </w:rPr>
            </w:pPr>
          </w:p>
        </w:tc>
        <w:tc>
          <w:tcPr>
            <w:tcW w:w="1080" w:type="dxa"/>
          </w:tcPr>
          <w:p w14:paraId="7A5939E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Quadratic</w:t>
            </w:r>
          </w:p>
        </w:tc>
        <w:tc>
          <w:tcPr>
            <w:tcW w:w="900" w:type="dxa"/>
            <w:vAlign w:val="bottom"/>
          </w:tcPr>
          <w:p w14:paraId="4C0FA82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0.342</w:t>
            </w:r>
          </w:p>
        </w:tc>
        <w:tc>
          <w:tcPr>
            <w:tcW w:w="810" w:type="dxa"/>
            <w:vAlign w:val="bottom"/>
          </w:tcPr>
          <w:p w14:paraId="0FB32B4D"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0.695</w:t>
            </w:r>
          </w:p>
        </w:tc>
        <w:tc>
          <w:tcPr>
            <w:tcW w:w="810" w:type="dxa"/>
            <w:vAlign w:val="bottom"/>
          </w:tcPr>
          <w:p w14:paraId="6790ECDB"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-498.278</w:t>
            </w:r>
          </w:p>
        </w:tc>
        <w:tc>
          <w:tcPr>
            <w:tcW w:w="810" w:type="dxa"/>
            <w:vAlign w:val="bottom"/>
          </w:tcPr>
          <w:p w14:paraId="3DDB7D21"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0.001</w:t>
            </w:r>
          </w:p>
        </w:tc>
        <w:tc>
          <w:tcPr>
            <w:tcW w:w="810" w:type="dxa"/>
            <w:vAlign w:val="bottom"/>
          </w:tcPr>
          <w:p w14:paraId="285C203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-0.047</w:t>
            </w:r>
          </w:p>
        </w:tc>
        <w:tc>
          <w:tcPr>
            <w:tcW w:w="720" w:type="dxa"/>
            <w:vAlign w:val="bottom"/>
          </w:tcPr>
          <w:p w14:paraId="714CFE4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1.645</w:t>
            </w:r>
          </w:p>
        </w:tc>
        <w:tc>
          <w:tcPr>
            <w:tcW w:w="990" w:type="dxa"/>
            <w:vAlign w:val="bottom"/>
          </w:tcPr>
          <w:p w14:paraId="31C2CB65"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1.925</w:t>
            </w:r>
          </w:p>
        </w:tc>
        <w:tc>
          <w:tcPr>
            <w:tcW w:w="990" w:type="dxa"/>
            <w:vAlign w:val="bottom"/>
          </w:tcPr>
          <w:p w14:paraId="1901BC22"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0.905</w:t>
            </w:r>
          </w:p>
        </w:tc>
        <w:tc>
          <w:tcPr>
            <w:tcW w:w="990" w:type="dxa"/>
            <w:vAlign w:val="bottom"/>
          </w:tcPr>
          <w:p w14:paraId="729B210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4.684</w:t>
            </w:r>
          </w:p>
        </w:tc>
      </w:tr>
      <w:tr w:rsidR="001308C0" w14:paraId="379F5162" w14:textId="77777777" w:rsidTr="001308C0">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099" w:type="dxa"/>
            <w:vMerge w:val="restart"/>
          </w:tcPr>
          <w:p w14:paraId="3932A6F4" w14:textId="77777777" w:rsidR="001308C0" w:rsidRDefault="00037BCD">
            <w:pPr>
              <w:spacing w:line="360" w:lineRule="auto"/>
              <w:rPr>
                <w:color w:val="000000"/>
                <w:sz w:val="15"/>
                <w:szCs w:val="15"/>
              </w:rPr>
            </w:pPr>
            <w:r>
              <w:rPr>
                <w:color w:val="000000"/>
                <w:sz w:val="15"/>
                <w:szCs w:val="15"/>
              </w:rPr>
              <w:t>Grid cell data</w:t>
            </w:r>
          </w:p>
        </w:tc>
        <w:tc>
          <w:tcPr>
            <w:tcW w:w="1080" w:type="dxa"/>
          </w:tcPr>
          <w:p w14:paraId="673BBB8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Linear</w:t>
            </w:r>
          </w:p>
        </w:tc>
        <w:tc>
          <w:tcPr>
            <w:tcW w:w="900" w:type="dxa"/>
            <w:vAlign w:val="bottom"/>
          </w:tcPr>
          <w:p w14:paraId="7996F30D"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0.169</w:t>
            </w:r>
          </w:p>
        </w:tc>
        <w:tc>
          <w:tcPr>
            <w:tcW w:w="810" w:type="dxa"/>
            <w:vAlign w:val="bottom"/>
          </w:tcPr>
          <w:p w14:paraId="2EF729F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0.916</w:t>
            </w:r>
          </w:p>
        </w:tc>
        <w:tc>
          <w:tcPr>
            <w:tcW w:w="810" w:type="dxa"/>
            <w:vAlign w:val="bottom"/>
          </w:tcPr>
          <w:p w14:paraId="5B11C677"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-667.215</w:t>
            </w:r>
          </w:p>
        </w:tc>
        <w:tc>
          <w:tcPr>
            <w:tcW w:w="810" w:type="dxa"/>
            <w:vAlign w:val="bottom"/>
          </w:tcPr>
          <w:p w14:paraId="53F7A5FC"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810" w:type="dxa"/>
            <w:vAlign w:val="bottom"/>
          </w:tcPr>
          <w:p w14:paraId="5EA79DD2"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-0.020</w:t>
            </w:r>
          </w:p>
        </w:tc>
        <w:tc>
          <w:tcPr>
            <w:tcW w:w="720" w:type="dxa"/>
            <w:vAlign w:val="bottom"/>
          </w:tcPr>
          <w:p w14:paraId="5F5E62F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1.515</w:t>
            </w:r>
          </w:p>
        </w:tc>
        <w:tc>
          <w:tcPr>
            <w:tcW w:w="990" w:type="dxa"/>
            <w:vAlign w:val="bottom"/>
          </w:tcPr>
          <w:p w14:paraId="4308A515"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r>
              <w:rPr>
                <w:color w:val="000000"/>
                <w:sz w:val="15"/>
                <w:szCs w:val="15"/>
              </w:rPr>
              <w:t>1.592</w:t>
            </w:r>
          </w:p>
        </w:tc>
        <w:tc>
          <w:tcPr>
            <w:tcW w:w="990" w:type="dxa"/>
            <w:vAlign w:val="bottom"/>
          </w:tcPr>
          <w:p w14:paraId="3DB1E54E"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c>
          <w:tcPr>
            <w:tcW w:w="990" w:type="dxa"/>
            <w:vAlign w:val="bottom"/>
          </w:tcPr>
          <w:p w14:paraId="6CB6B088" w14:textId="77777777" w:rsidR="001308C0" w:rsidRDefault="00037BCD">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5"/>
                <w:szCs w:val="15"/>
              </w:rPr>
            </w:pPr>
            <w:proofErr w:type="spellStart"/>
            <w:r>
              <w:rPr>
                <w:color w:val="000000"/>
                <w:sz w:val="15"/>
                <w:szCs w:val="15"/>
              </w:rPr>
              <w:t>NaN</w:t>
            </w:r>
            <w:proofErr w:type="spellEnd"/>
          </w:p>
        </w:tc>
      </w:tr>
      <w:tr w:rsidR="001308C0" w14:paraId="5E2EA0A2" w14:textId="77777777" w:rsidTr="001308C0">
        <w:trPr>
          <w:trHeight w:val="362"/>
        </w:trPr>
        <w:tc>
          <w:tcPr>
            <w:cnfStyle w:val="001000000000" w:firstRow="0" w:lastRow="0" w:firstColumn="1" w:lastColumn="0" w:oddVBand="0" w:evenVBand="0" w:oddHBand="0" w:evenHBand="0" w:firstRowFirstColumn="0" w:firstRowLastColumn="0" w:lastRowFirstColumn="0" w:lastRowLastColumn="0"/>
            <w:tcW w:w="1099" w:type="dxa"/>
            <w:vMerge/>
          </w:tcPr>
          <w:p w14:paraId="7601FFBB" w14:textId="77777777" w:rsidR="001308C0" w:rsidRDefault="001308C0">
            <w:pPr>
              <w:widowControl w:val="0"/>
              <w:pBdr>
                <w:top w:val="nil"/>
                <w:left w:val="nil"/>
                <w:bottom w:val="nil"/>
                <w:right w:val="nil"/>
                <w:between w:val="nil"/>
              </w:pBdr>
              <w:spacing w:line="276" w:lineRule="auto"/>
              <w:rPr>
                <w:color w:val="000000"/>
                <w:sz w:val="15"/>
                <w:szCs w:val="15"/>
              </w:rPr>
            </w:pPr>
          </w:p>
        </w:tc>
        <w:tc>
          <w:tcPr>
            <w:tcW w:w="1080" w:type="dxa"/>
          </w:tcPr>
          <w:p w14:paraId="45BC8EB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Quadratic</w:t>
            </w:r>
          </w:p>
        </w:tc>
        <w:tc>
          <w:tcPr>
            <w:tcW w:w="900" w:type="dxa"/>
            <w:vAlign w:val="bottom"/>
          </w:tcPr>
          <w:p w14:paraId="6DBAC33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0.147</w:t>
            </w:r>
          </w:p>
        </w:tc>
        <w:tc>
          <w:tcPr>
            <w:tcW w:w="810" w:type="dxa"/>
            <w:vAlign w:val="bottom"/>
          </w:tcPr>
          <w:p w14:paraId="30DEECB1"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0.942</w:t>
            </w:r>
          </w:p>
        </w:tc>
        <w:tc>
          <w:tcPr>
            <w:tcW w:w="810" w:type="dxa"/>
            <w:vAlign w:val="bottom"/>
          </w:tcPr>
          <w:p w14:paraId="732B1DA3"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-694.948</w:t>
            </w:r>
          </w:p>
        </w:tc>
        <w:tc>
          <w:tcPr>
            <w:tcW w:w="810" w:type="dxa"/>
            <w:vAlign w:val="bottom"/>
          </w:tcPr>
          <w:p w14:paraId="581CE02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0.001</w:t>
            </w:r>
          </w:p>
        </w:tc>
        <w:tc>
          <w:tcPr>
            <w:tcW w:w="810" w:type="dxa"/>
            <w:vAlign w:val="bottom"/>
          </w:tcPr>
          <w:p w14:paraId="66D07F1A"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-0.046</w:t>
            </w:r>
          </w:p>
        </w:tc>
        <w:tc>
          <w:tcPr>
            <w:tcW w:w="720" w:type="dxa"/>
            <w:vAlign w:val="bottom"/>
          </w:tcPr>
          <w:p w14:paraId="67A8EC19"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1.764</w:t>
            </w:r>
          </w:p>
        </w:tc>
        <w:tc>
          <w:tcPr>
            <w:tcW w:w="990" w:type="dxa"/>
            <w:vAlign w:val="bottom"/>
          </w:tcPr>
          <w:p w14:paraId="56766B40"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2.041</w:t>
            </w:r>
          </w:p>
        </w:tc>
        <w:tc>
          <w:tcPr>
            <w:tcW w:w="990" w:type="dxa"/>
            <w:vAlign w:val="bottom"/>
          </w:tcPr>
          <w:p w14:paraId="17FD4CDF"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1.050</w:t>
            </w:r>
          </w:p>
        </w:tc>
        <w:tc>
          <w:tcPr>
            <w:tcW w:w="990" w:type="dxa"/>
            <w:vAlign w:val="bottom"/>
          </w:tcPr>
          <w:p w14:paraId="6B7AB996" w14:textId="77777777" w:rsidR="001308C0" w:rsidRDefault="00037BCD">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15"/>
                <w:szCs w:val="15"/>
              </w:rPr>
            </w:pPr>
            <w:r>
              <w:rPr>
                <w:color w:val="000000"/>
                <w:sz w:val="15"/>
                <w:szCs w:val="15"/>
              </w:rPr>
              <w:t>4.435</w:t>
            </w:r>
          </w:p>
        </w:tc>
      </w:tr>
    </w:tbl>
    <w:p w14:paraId="3DD54B7B" w14:textId="77777777" w:rsidR="001308C0" w:rsidRDefault="001308C0">
      <w:pPr>
        <w:spacing w:after="240" w:line="360" w:lineRule="auto"/>
        <w:rPr>
          <w:b/>
          <w:color w:val="074080"/>
          <w:sz w:val="21"/>
          <w:szCs w:val="21"/>
        </w:rPr>
      </w:pPr>
    </w:p>
    <w:p w14:paraId="3ABD855A" w14:textId="77777777" w:rsidR="001308C0" w:rsidRDefault="001308C0">
      <w:pPr>
        <w:spacing w:after="240" w:line="360" w:lineRule="auto"/>
        <w:rPr>
          <w:b/>
          <w:color w:val="074080"/>
          <w:sz w:val="21"/>
          <w:szCs w:val="21"/>
        </w:rPr>
      </w:pPr>
    </w:p>
    <w:p w14:paraId="13B1951B" w14:textId="77777777" w:rsidR="001308C0" w:rsidRDefault="001308C0">
      <w:pPr>
        <w:spacing w:after="240" w:line="360" w:lineRule="auto"/>
        <w:rPr>
          <w:b/>
          <w:color w:val="074080"/>
          <w:sz w:val="21"/>
          <w:szCs w:val="21"/>
        </w:rPr>
      </w:pPr>
    </w:p>
    <w:p w14:paraId="1EB1E442" w14:textId="77777777" w:rsidR="001308C0" w:rsidRDefault="001308C0">
      <w:pPr>
        <w:spacing w:after="240" w:line="360" w:lineRule="auto"/>
        <w:rPr>
          <w:b/>
          <w:color w:val="074080"/>
          <w:sz w:val="21"/>
          <w:szCs w:val="21"/>
        </w:rPr>
      </w:pPr>
    </w:p>
    <w:p w14:paraId="298E7B57" w14:textId="77777777" w:rsidR="001308C0" w:rsidRDefault="001308C0">
      <w:pPr>
        <w:spacing w:after="240" w:line="360" w:lineRule="auto"/>
        <w:rPr>
          <w:b/>
          <w:color w:val="000000"/>
          <w:sz w:val="21"/>
          <w:szCs w:val="21"/>
        </w:rPr>
      </w:pPr>
    </w:p>
    <w:p w14:paraId="5A1E7765" w14:textId="77777777" w:rsidR="001308C0" w:rsidRDefault="001308C0">
      <w:pPr>
        <w:spacing w:line="360" w:lineRule="auto"/>
        <w:rPr>
          <w:sz w:val="20"/>
          <w:szCs w:val="20"/>
        </w:rPr>
      </w:pPr>
    </w:p>
    <w:p w14:paraId="5DD73FC5" w14:textId="77777777" w:rsidR="001308C0" w:rsidRDefault="001308C0">
      <w:pPr>
        <w:spacing w:after="240" w:line="360" w:lineRule="auto"/>
        <w:rPr>
          <w:b/>
          <w:color w:val="000000"/>
          <w:sz w:val="22"/>
          <w:szCs w:val="22"/>
        </w:rPr>
      </w:pPr>
    </w:p>
    <w:p w14:paraId="25B65FDB" w14:textId="77777777" w:rsidR="001308C0" w:rsidRDefault="00037BCD">
      <w:pPr>
        <w:spacing w:line="360" w:lineRule="auto"/>
        <w:rPr>
          <w:color w:val="000000"/>
          <w:sz w:val="22"/>
          <w:szCs w:val="22"/>
        </w:rPr>
      </w:pPr>
      <w:r>
        <w:rPr>
          <w:b/>
          <w:color w:val="000000"/>
          <w:sz w:val="22"/>
          <w:szCs w:val="22"/>
        </w:rPr>
        <w:t>SI-4 The response of τ to climatic factors and model performance at biome level</w:t>
      </w:r>
    </w:p>
    <w:p w14:paraId="60880EA0" w14:textId="77777777" w:rsidR="001308C0" w:rsidRDefault="00037BCD">
      <w:pPr>
        <w:spacing w:line="360" w:lineRule="auto"/>
        <w:rPr>
          <w:color w:val="000000"/>
          <w:sz w:val="22"/>
          <w:szCs w:val="22"/>
        </w:rPr>
      </w:pPr>
      <w:r>
        <w:rPr>
          <w:color w:val="000000"/>
          <w:sz w:val="22"/>
          <w:szCs w:val="22"/>
        </w:rPr>
        <w:t xml:space="preserve">We analyzed the response of τ to climatic factors at different biomes (Figure SI-4.1). The goodness of fitting log (τ) </w:t>
      </w:r>
      <w:r>
        <w:rPr>
          <w:sz w:val="22"/>
          <w:szCs w:val="22"/>
        </w:rPr>
        <w:t>as a function</w:t>
      </w:r>
      <w:r>
        <w:rPr>
          <w:color w:val="000000"/>
          <w:sz w:val="22"/>
          <w:szCs w:val="22"/>
        </w:rPr>
        <w:t xml:space="preserve"> of temperature and hydrometeorological variables across different biomes are </w:t>
      </w:r>
      <w:r>
        <w:rPr>
          <w:sz w:val="22"/>
          <w:szCs w:val="22"/>
        </w:rPr>
        <w:t>heterogeneous</w:t>
      </w:r>
      <w:r>
        <w:rPr>
          <w:color w:val="000000"/>
          <w:sz w:val="22"/>
          <w:szCs w:val="22"/>
        </w:rPr>
        <w:t xml:space="preserve"> (Figure SI-4.2). Our analysis sh</w:t>
      </w:r>
      <w:r>
        <w:rPr>
          <w:color w:val="000000"/>
          <w:sz w:val="22"/>
          <w:szCs w:val="22"/>
        </w:rPr>
        <w:t>ows that the model performance can be significantly improved by including hydrometeorological factors in the regression model (compare Figure SI-4.2 a and b). However, the results show low model performances in tropical biomes compared with other biomes wh</w:t>
      </w:r>
      <w:r>
        <w:rPr>
          <w:color w:val="000000"/>
          <w:sz w:val="22"/>
          <w:szCs w:val="22"/>
        </w:rPr>
        <w:t>ere the model can only explain less than 40% percent of the total variance of spatial τ. Further analysis shows the spatial variability of τ is significantly lower in tropical forests (</w:t>
      </w:r>
      <w:proofErr w:type="spellStart"/>
      <w:r>
        <w:rPr>
          <w:color w:val="000000"/>
          <w:sz w:val="22"/>
          <w:szCs w:val="22"/>
        </w:rPr>
        <w:t>τ</w:t>
      </w:r>
      <w:r>
        <w:rPr>
          <w:color w:val="000000"/>
          <w:sz w:val="22"/>
          <w:szCs w:val="22"/>
          <w:vertAlign w:val="subscript"/>
        </w:rPr>
        <w:t>range</w:t>
      </w:r>
      <w:proofErr w:type="spellEnd"/>
      <w:r>
        <w:rPr>
          <w:color w:val="000000"/>
          <w:sz w:val="22"/>
          <w:szCs w:val="22"/>
        </w:rPr>
        <w:t xml:space="preserve"> = 44 years) and tropical grasslands (</w:t>
      </w:r>
      <w:proofErr w:type="spellStart"/>
      <w:r>
        <w:rPr>
          <w:color w:val="000000"/>
          <w:sz w:val="22"/>
          <w:szCs w:val="22"/>
        </w:rPr>
        <w:t>τ</w:t>
      </w:r>
      <w:r>
        <w:rPr>
          <w:color w:val="000000"/>
          <w:sz w:val="22"/>
          <w:szCs w:val="22"/>
          <w:vertAlign w:val="subscript"/>
        </w:rPr>
        <w:t>range</w:t>
      </w:r>
      <w:proofErr w:type="spellEnd"/>
      <w:r>
        <w:rPr>
          <w:color w:val="000000"/>
          <w:sz w:val="22"/>
          <w:szCs w:val="22"/>
        </w:rPr>
        <w:t xml:space="preserve"> = 34 years) than the</w:t>
      </w:r>
      <w:r>
        <w:rPr>
          <w:color w:val="000000"/>
          <w:sz w:val="22"/>
          <w:szCs w:val="22"/>
        </w:rPr>
        <w:t xml:space="preserve"> other biomes due to low spatial temperature gradient (Figure SI-4.3). </w:t>
      </w:r>
    </w:p>
    <w:p w14:paraId="5EA6078F" w14:textId="77777777" w:rsidR="001308C0" w:rsidRDefault="00037BCD">
      <w:pPr>
        <w:spacing w:line="360" w:lineRule="auto"/>
        <w:rPr>
          <w:color w:val="000000"/>
          <w:sz w:val="22"/>
          <w:szCs w:val="22"/>
        </w:rPr>
      </w:pPr>
      <w:r>
        <w:rPr>
          <w:color w:val="000000"/>
          <w:sz w:val="22"/>
          <w:szCs w:val="22"/>
        </w:rPr>
        <w:t xml:space="preserve">Figure 3a shows that the relative dominance of different climate factors is </w:t>
      </w:r>
      <w:r>
        <w:rPr>
          <w:sz w:val="22"/>
          <w:szCs w:val="22"/>
        </w:rPr>
        <w:t>heterogeneous</w:t>
      </w:r>
      <w:r>
        <w:rPr>
          <w:color w:val="000000"/>
          <w:sz w:val="22"/>
          <w:szCs w:val="22"/>
        </w:rPr>
        <w:t xml:space="preserve"> across different biomes. In majority of biomes, temperature and hydrometeorological factors co</w:t>
      </w:r>
      <w:r>
        <w:rPr>
          <w:color w:val="000000"/>
          <w:sz w:val="22"/>
          <w:szCs w:val="22"/>
        </w:rPr>
        <w:t>-determine the spatial τ variability. However, we show that hydrometeorology dominates the τ variabilities in the biomes of tundra and boreal forest (RD</w:t>
      </w:r>
      <w:r>
        <w:rPr>
          <w:color w:val="000000"/>
          <w:sz w:val="22"/>
          <w:szCs w:val="22"/>
          <w:vertAlign w:val="subscript"/>
        </w:rPr>
        <w:t>H</w:t>
      </w:r>
      <w:r>
        <w:rPr>
          <w:color w:val="000000"/>
          <w:sz w:val="22"/>
          <w:szCs w:val="22"/>
        </w:rPr>
        <w:t>&gt;80%). By controlling hydrometeorological effect, we show a generally reduced temperature sensitivity o</w:t>
      </w:r>
      <w:r>
        <w:rPr>
          <w:color w:val="000000"/>
          <w:sz w:val="22"/>
          <w:szCs w:val="22"/>
        </w:rPr>
        <w:t>f τ except for tropical forest (compare Figure SI-4.3 and Figure SI-4.5). The adjusted temperature sensitivities for the biomes of tundra and boreal forest become much lower as shown by the reduced slope of the τ-temperature fitting (Figure SI-4.5). Our an</w:t>
      </w:r>
      <w:r>
        <w:rPr>
          <w:color w:val="000000"/>
          <w:sz w:val="22"/>
          <w:szCs w:val="22"/>
        </w:rPr>
        <w:t xml:space="preserve">alysis shows a strong response of τ to the spatial gradient of potential evapotranspiration (when other climate factors are controlled) in the biomes of tundra and boreal forest where τ decreases strongly with increasing PET (Figure SI-4.4). </w:t>
      </w:r>
    </w:p>
    <w:p w14:paraId="227CE752" w14:textId="77777777" w:rsidR="001308C0" w:rsidRDefault="00037BCD">
      <w:pPr>
        <w:spacing w:line="360" w:lineRule="auto"/>
        <w:rPr>
          <w:color w:val="000000"/>
          <w:sz w:val="22"/>
          <w:szCs w:val="22"/>
        </w:rPr>
      </w:pPr>
      <w:r>
        <w:rPr>
          <w:color w:val="000000"/>
          <w:sz w:val="22"/>
          <w:szCs w:val="22"/>
        </w:rPr>
        <w:t>To further in</w:t>
      </w:r>
      <w:r>
        <w:rPr>
          <w:color w:val="000000"/>
          <w:sz w:val="22"/>
          <w:szCs w:val="22"/>
        </w:rPr>
        <w:t>vestigate the potential link between PET and τ, we analyzed the response of each ecosystem component that determines τ including soil carbon stock (</w:t>
      </w:r>
      <w:proofErr w:type="spellStart"/>
      <w:r>
        <w:rPr>
          <w:color w:val="000000"/>
          <w:sz w:val="22"/>
          <w:szCs w:val="22"/>
        </w:rPr>
        <w:t>C</w:t>
      </w:r>
      <w:r>
        <w:rPr>
          <w:color w:val="000000"/>
          <w:sz w:val="22"/>
          <w:szCs w:val="22"/>
          <w:vertAlign w:val="subscript"/>
        </w:rPr>
        <w:t>soil</w:t>
      </w:r>
      <w:proofErr w:type="spellEnd"/>
      <w:r>
        <w:rPr>
          <w:color w:val="000000"/>
          <w:sz w:val="22"/>
          <w:szCs w:val="22"/>
        </w:rPr>
        <w:t>), vegetation carbon stock (</w:t>
      </w:r>
      <w:proofErr w:type="spellStart"/>
      <w:r>
        <w:rPr>
          <w:color w:val="000000"/>
          <w:sz w:val="22"/>
          <w:szCs w:val="22"/>
        </w:rPr>
        <w:t>C</w:t>
      </w:r>
      <w:r>
        <w:rPr>
          <w:color w:val="000000"/>
          <w:sz w:val="22"/>
          <w:szCs w:val="22"/>
          <w:vertAlign w:val="subscript"/>
        </w:rPr>
        <w:t>veg</w:t>
      </w:r>
      <w:proofErr w:type="spellEnd"/>
      <w:r>
        <w:rPr>
          <w:color w:val="000000"/>
          <w:sz w:val="22"/>
          <w:szCs w:val="22"/>
        </w:rPr>
        <w:t>), GPP/TER to different climatic factors. We first show a strong positi</w:t>
      </w:r>
      <w:r>
        <w:rPr>
          <w:color w:val="000000"/>
          <w:sz w:val="22"/>
          <w:szCs w:val="22"/>
        </w:rPr>
        <w:t>ve relationship (r&gt;0.4) between PET and TER in both boreal forest and tundra ecosystems (Figure SI-4.6, 4.7, similar patterns are found between PET and GPP, not shown). This is expected because GPP/TER should increase with more available energy to evaporat</w:t>
      </w:r>
      <w:r>
        <w:rPr>
          <w:color w:val="000000"/>
          <w:sz w:val="22"/>
          <w:szCs w:val="22"/>
        </w:rPr>
        <w:t xml:space="preserve">e water which is represented by higher PET. We next show that vegetation biomass strongly increases with PET (Figure SI-4.6, 4.7, r&gt;0.4) since there is a linear relationship between GPP/TER and </w:t>
      </w:r>
      <w:proofErr w:type="spellStart"/>
      <w:r>
        <w:rPr>
          <w:color w:val="000000"/>
          <w:sz w:val="22"/>
          <w:szCs w:val="22"/>
        </w:rPr>
        <w:t>C</w:t>
      </w:r>
      <w:r>
        <w:rPr>
          <w:color w:val="000000"/>
          <w:sz w:val="22"/>
          <w:szCs w:val="22"/>
          <w:vertAlign w:val="subscript"/>
        </w:rPr>
        <w:t>veg</w:t>
      </w:r>
      <w:proofErr w:type="spellEnd"/>
      <w:r>
        <w:rPr>
          <w:color w:val="000000"/>
          <w:sz w:val="22"/>
          <w:szCs w:val="22"/>
        </w:rPr>
        <w:t xml:space="preserve"> (r</w:t>
      </w:r>
      <w:r>
        <w:rPr>
          <w:color w:val="000000"/>
          <w:sz w:val="22"/>
          <w:szCs w:val="22"/>
          <w:vertAlign w:val="superscript"/>
        </w:rPr>
        <w:t>2</w:t>
      </w:r>
      <w:r>
        <w:rPr>
          <w:color w:val="000000"/>
          <w:sz w:val="22"/>
          <w:szCs w:val="22"/>
        </w:rPr>
        <w:t>=0.51) whereas no such pattern is found between PET an</w:t>
      </w:r>
      <w:r>
        <w:rPr>
          <w:color w:val="000000"/>
          <w:sz w:val="22"/>
          <w:szCs w:val="22"/>
        </w:rPr>
        <w:t xml:space="preserve">d </w:t>
      </w:r>
      <w:proofErr w:type="spellStart"/>
      <w:r>
        <w:rPr>
          <w:color w:val="000000"/>
          <w:sz w:val="22"/>
          <w:szCs w:val="22"/>
        </w:rPr>
        <w:t>C</w:t>
      </w:r>
      <w:r>
        <w:rPr>
          <w:color w:val="000000"/>
          <w:sz w:val="22"/>
          <w:szCs w:val="22"/>
          <w:vertAlign w:val="subscript"/>
        </w:rPr>
        <w:t>soil</w:t>
      </w:r>
      <w:proofErr w:type="spellEnd"/>
      <w:r>
        <w:rPr>
          <w:color w:val="000000"/>
          <w:sz w:val="22"/>
          <w:szCs w:val="22"/>
        </w:rPr>
        <w:t xml:space="preserve">. By analyzing the relationship between τ and </w:t>
      </w:r>
      <w:proofErr w:type="spellStart"/>
      <w:r>
        <w:rPr>
          <w:color w:val="000000"/>
          <w:sz w:val="22"/>
          <w:szCs w:val="22"/>
        </w:rPr>
        <w:t>C</w:t>
      </w:r>
      <w:r>
        <w:rPr>
          <w:color w:val="000000"/>
          <w:sz w:val="22"/>
          <w:szCs w:val="22"/>
          <w:vertAlign w:val="subscript"/>
        </w:rPr>
        <w:t>veg</w:t>
      </w:r>
      <w:proofErr w:type="spellEnd"/>
      <w:r>
        <w:rPr>
          <w:color w:val="000000"/>
          <w:sz w:val="22"/>
          <w:szCs w:val="22"/>
        </w:rPr>
        <w:t xml:space="preserve">, we further show that τ linearly decreases with higher </w:t>
      </w:r>
      <w:proofErr w:type="spellStart"/>
      <w:r>
        <w:rPr>
          <w:color w:val="000000"/>
          <w:sz w:val="22"/>
          <w:szCs w:val="22"/>
        </w:rPr>
        <w:t>C</w:t>
      </w:r>
      <w:r>
        <w:rPr>
          <w:color w:val="000000"/>
          <w:sz w:val="22"/>
          <w:szCs w:val="22"/>
          <w:vertAlign w:val="subscript"/>
        </w:rPr>
        <w:t>veg</w:t>
      </w:r>
      <w:proofErr w:type="spellEnd"/>
      <w:r>
        <w:rPr>
          <w:color w:val="000000"/>
          <w:sz w:val="22"/>
          <w:szCs w:val="22"/>
          <w:vertAlign w:val="subscript"/>
        </w:rPr>
        <w:t xml:space="preserve"> </w:t>
      </w:r>
      <w:r>
        <w:rPr>
          <w:color w:val="000000"/>
          <w:sz w:val="22"/>
          <w:szCs w:val="22"/>
        </w:rPr>
        <w:t xml:space="preserve">(Figure-SI 4.8). </w:t>
      </w:r>
    </w:p>
    <w:p w14:paraId="2CC2FD9F" w14:textId="77777777" w:rsidR="001308C0" w:rsidRDefault="00037BCD">
      <w:pPr>
        <w:spacing w:line="360" w:lineRule="auto"/>
        <w:rPr>
          <w:color w:val="000000"/>
          <w:sz w:val="22"/>
          <w:szCs w:val="22"/>
        </w:rPr>
      </w:pPr>
      <w:r>
        <w:rPr>
          <w:color w:val="000000"/>
          <w:sz w:val="22"/>
          <w:szCs w:val="22"/>
        </w:rPr>
        <w:t>We found that the Q</w:t>
      </w:r>
      <w:r>
        <w:rPr>
          <w:color w:val="000000"/>
          <w:sz w:val="22"/>
          <w:szCs w:val="22"/>
          <w:vertAlign w:val="subscript"/>
        </w:rPr>
        <w:t>10</w:t>
      </w:r>
      <w:r>
        <w:rPr>
          <w:color w:val="000000"/>
          <w:sz w:val="22"/>
          <w:szCs w:val="22"/>
        </w:rPr>
        <w:t xml:space="preserve"> values in tundra and boreal forest ecosystems are </w:t>
      </w:r>
      <w:r>
        <w:rPr>
          <w:sz w:val="22"/>
          <w:szCs w:val="22"/>
        </w:rPr>
        <w:t>adjusted to very</w:t>
      </w:r>
      <w:r>
        <w:rPr>
          <w:color w:val="000000"/>
          <w:sz w:val="22"/>
          <w:szCs w:val="22"/>
        </w:rPr>
        <w:t xml:space="preserve"> low values (boreal: Q10 changes</w:t>
      </w:r>
      <w:r>
        <w:rPr>
          <w:color w:val="000000"/>
          <w:sz w:val="22"/>
          <w:szCs w:val="22"/>
        </w:rPr>
        <w:t xml:space="preserve"> from 1.9 to 1.1; tundra: 1.5 to 0.9) when accounting for the H-effect. This result </w:t>
      </w:r>
      <w:r>
        <w:rPr>
          <w:color w:val="000000"/>
          <w:sz w:val="22"/>
          <w:szCs w:val="22"/>
        </w:rPr>
        <w:lastRenderedPageBreak/>
        <w:t>indicates that τ are almost insensitive to mean annual temperature change (especially in tundra) whereas the spatial variability of τ is dominated by H-factors. To test the</w:t>
      </w:r>
      <w:r>
        <w:rPr>
          <w:color w:val="000000"/>
          <w:sz w:val="22"/>
          <w:szCs w:val="22"/>
        </w:rPr>
        <w:t xml:space="preserve"> robustness of the results, we </w:t>
      </w:r>
      <w:r>
        <w:rPr>
          <w:sz w:val="22"/>
          <w:szCs w:val="22"/>
        </w:rPr>
        <w:t>changed the temperature</w:t>
      </w:r>
      <w:r>
        <w:rPr>
          <w:color w:val="000000"/>
          <w:sz w:val="22"/>
          <w:szCs w:val="22"/>
        </w:rPr>
        <w:t xml:space="preserve"> proxy from mean annual temperature to mean temperature of April to October considering little biological activity in the frozen season. Our results indeed show higher magnitude of temperature sensitivi</w:t>
      </w:r>
      <w:r>
        <w:rPr>
          <w:color w:val="000000"/>
          <w:sz w:val="22"/>
          <w:szCs w:val="22"/>
        </w:rPr>
        <w:t>ty before accounting for H-factors, but the Q10 values are largely reduced after accounting for H-effect even though we changed the temperature proxy (boreal: Q10 changes from 3.2 to 1.4; tundra: 2.2 to 1.0). Our findings reveal a robust role of hydrometeo</w:t>
      </w:r>
      <w:r>
        <w:rPr>
          <w:color w:val="000000"/>
          <w:sz w:val="22"/>
          <w:szCs w:val="22"/>
        </w:rPr>
        <w:t xml:space="preserve">rology in tundra and boreal ecosystems.    </w:t>
      </w:r>
    </w:p>
    <w:p w14:paraId="4F888584" w14:textId="77777777" w:rsidR="001308C0" w:rsidRDefault="001308C0">
      <w:pPr>
        <w:spacing w:line="360" w:lineRule="auto"/>
        <w:rPr>
          <w:color w:val="000000"/>
          <w:sz w:val="22"/>
          <w:szCs w:val="22"/>
        </w:rPr>
      </w:pPr>
    </w:p>
    <w:p w14:paraId="4377011B" w14:textId="77777777" w:rsidR="001308C0" w:rsidRDefault="00037BCD">
      <w:pPr>
        <w:spacing w:line="360" w:lineRule="auto"/>
        <w:rPr>
          <w:color w:val="000000"/>
          <w:sz w:val="22"/>
          <w:szCs w:val="22"/>
        </w:rPr>
      </w:pPr>
      <w:r>
        <w:rPr>
          <w:noProof/>
          <w:color w:val="000000"/>
          <w:sz w:val="22"/>
          <w:szCs w:val="22"/>
        </w:rPr>
        <w:drawing>
          <wp:inline distT="0" distB="0" distL="0" distR="0" wp14:anchorId="2A25CD54" wp14:editId="0742CAF0">
            <wp:extent cx="5943600" cy="2221865"/>
            <wp:effectExtent l="0" t="0" r="0" b="0"/>
            <wp:docPr id="32" name="image6.png" descr="A picture containing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picture containing map&#10;&#10;Description automatically generated"/>
                    <pic:cNvPicPr preferRelativeResize="0"/>
                  </pic:nvPicPr>
                  <pic:blipFill>
                    <a:blip r:embed="rId11"/>
                    <a:srcRect/>
                    <a:stretch>
                      <a:fillRect/>
                    </a:stretch>
                  </pic:blipFill>
                  <pic:spPr>
                    <a:xfrm>
                      <a:off x="0" y="0"/>
                      <a:ext cx="5943600" cy="2221865"/>
                    </a:xfrm>
                    <a:prstGeom prst="rect">
                      <a:avLst/>
                    </a:prstGeom>
                    <a:ln/>
                  </pic:spPr>
                </pic:pic>
              </a:graphicData>
            </a:graphic>
          </wp:inline>
        </w:drawing>
      </w:r>
    </w:p>
    <w:p w14:paraId="47722EB7" w14:textId="77777777" w:rsidR="001308C0" w:rsidRDefault="00037BCD">
      <w:pPr>
        <w:pBdr>
          <w:top w:val="nil"/>
          <w:left w:val="nil"/>
          <w:bottom w:val="nil"/>
          <w:right w:val="nil"/>
          <w:between w:val="nil"/>
        </w:pBdr>
        <w:spacing w:after="200"/>
        <w:rPr>
          <w:rFonts w:ascii="Calibri" w:eastAsia="Calibri" w:hAnsi="Calibri" w:cs="Calibri"/>
          <w:i/>
          <w:color w:val="000000"/>
          <w:sz w:val="15"/>
          <w:szCs w:val="15"/>
        </w:rPr>
      </w:pPr>
      <w:r>
        <w:rPr>
          <w:rFonts w:ascii="Calibri" w:eastAsia="Calibri" w:hAnsi="Calibri" w:cs="Calibri"/>
          <w:i/>
          <w:color w:val="000000"/>
          <w:sz w:val="20"/>
          <w:szCs w:val="20"/>
        </w:rPr>
        <w:t>Figure SI-4. 1: Spatial distribution of different biomes.</w:t>
      </w:r>
      <w:r>
        <w:rPr>
          <w:rFonts w:ascii="Calibri" w:eastAsia="Calibri" w:hAnsi="Calibri" w:cs="Calibri"/>
          <w:i/>
          <w:color w:val="000000"/>
          <w:sz w:val="15"/>
          <w:szCs w:val="15"/>
        </w:rPr>
        <w:t xml:space="preserve">    </w:t>
      </w:r>
    </w:p>
    <w:p w14:paraId="02770E62" w14:textId="77777777" w:rsidR="001308C0" w:rsidRDefault="001308C0">
      <w:pPr>
        <w:spacing w:line="360" w:lineRule="auto"/>
        <w:rPr>
          <w:color w:val="000000"/>
          <w:sz w:val="22"/>
          <w:szCs w:val="22"/>
        </w:rPr>
      </w:pPr>
    </w:p>
    <w:p w14:paraId="2C6F684B" w14:textId="77777777" w:rsidR="001308C0" w:rsidRDefault="00037BCD">
      <w:pPr>
        <w:spacing w:line="360" w:lineRule="auto"/>
        <w:rPr>
          <w:sz w:val="20"/>
          <w:szCs w:val="20"/>
        </w:rPr>
      </w:pPr>
      <w:r>
        <w:rPr>
          <w:noProof/>
          <w:sz w:val="20"/>
          <w:szCs w:val="20"/>
        </w:rPr>
        <w:drawing>
          <wp:inline distT="0" distB="0" distL="0" distR="0" wp14:anchorId="28700E3D" wp14:editId="6DDF04B6">
            <wp:extent cx="4114800" cy="3291840"/>
            <wp:effectExtent l="0" t="0" r="0" b="0"/>
            <wp:docPr id="36" name="image8.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Chart&#10;&#10;Description automatically generated"/>
                    <pic:cNvPicPr preferRelativeResize="0"/>
                  </pic:nvPicPr>
                  <pic:blipFill>
                    <a:blip r:embed="rId12"/>
                    <a:srcRect/>
                    <a:stretch>
                      <a:fillRect/>
                    </a:stretch>
                  </pic:blipFill>
                  <pic:spPr>
                    <a:xfrm>
                      <a:off x="0" y="0"/>
                      <a:ext cx="4114800" cy="3291840"/>
                    </a:xfrm>
                    <a:prstGeom prst="rect">
                      <a:avLst/>
                    </a:prstGeom>
                    <a:ln/>
                  </pic:spPr>
                </pic:pic>
              </a:graphicData>
            </a:graphic>
          </wp:inline>
        </w:drawing>
      </w:r>
    </w:p>
    <w:p w14:paraId="4900E2E9" w14:textId="7848E420" w:rsidR="001308C0" w:rsidRDefault="00037BCD">
      <w:pPr>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lastRenderedPageBreak/>
        <w:t>Figure SI-4. 2:  The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of models without (Eq.1) and with (Eq.2) hydrometeorological control and in different biomes. </w:t>
      </w:r>
    </w:p>
    <w:p w14:paraId="420DD112" w14:textId="77777777" w:rsidR="001308C0" w:rsidRDefault="001308C0">
      <w:pPr>
        <w:spacing w:line="360" w:lineRule="auto"/>
        <w:rPr>
          <w:sz w:val="20"/>
          <w:szCs w:val="20"/>
        </w:rPr>
      </w:pPr>
    </w:p>
    <w:p w14:paraId="271A83DF" w14:textId="77777777" w:rsidR="001308C0" w:rsidRDefault="001308C0">
      <w:pPr>
        <w:spacing w:line="360" w:lineRule="auto"/>
        <w:rPr>
          <w:sz w:val="20"/>
          <w:szCs w:val="20"/>
        </w:rPr>
      </w:pPr>
    </w:p>
    <w:p w14:paraId="3F41BDCE" w14:textId="77777777" w:rsidR="001308C0" w:rsidRDefault="00037BCD">
      <w:pPr>
        <w:spacing w:line="360" w:lineRule="auto"/>
        <w:rPr>
          <w:sz w:val="20"/>
          <w:szCs w:val="20"/>
        </w:rPr>
      </w:pPr>
      <w:r>
        <w:rPr>
          <w:noProof/>
          <w:sz w:val="20"/>
          <w:szCs w:val="20"/>
        </w:rPr>
        <w:drawing>
          <wp:inline distT="0" distB="0" distL="0" distR="0" wp14:anchorId="1FC4B00E" wp14:editId="57A2DF54">
            <wp:extent cx="5943600" cy="3241675"/>
            <wp:effectExtent l="0" t="0" r="0" b="0"/>
            <wp:docPr id="34" name="image5.png" descr="Diagram&#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5.png" descr="Diagram&#10;&#10;Description automatically generated with medium confidence"/>
                    <pic:cNvPicPr preferRelativeResize="0"/>
                  </pic:nvPicPr>
                  <pic:blipFill>
                    <a:blip r:embed="rId13"/>
                    <a:srcRect/>
                    <a:stretch>
                      <a:fillRect/>
                    </a:stretch>
                  </pic:blipFill>
                  <pic:spPr>
                    <a:xfrm>
                      <a:off x="0" y="0"/>
                      <a:ext cx="5943600" cy="3241675"/>
                    </a:xfrm>
                    <a:prstGeom prst="rect">
                      <a:avLst/>
                    </a:prstGeom>
                    <a:ln/>
                  </pic:spPr>
                </pic:pic>
              </a:graphicData>
            </a:graphic>
          </wp:inline>
        </w:drawing>
      </w:r>
    </w:p>
    <w:p w14:paraId="581B5FBA"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 xml:space="preserve">Figure SI-4. 3:  </w:t>
      </w:r>
      <w:r>
        <w:rPr>
          <w:rFonts w:ascii="Calibri" w:eastAsia="Calibri" w:hAnsi="Calibri" w:cs="Calibri"/>
          <w:b/>
          <w:i/>
          <w:color w:val="000000"/>
          <w:sz w:val="20"/>
          <w:szCs w:val="20"/>
        </w:rPr>
        <w:t>Density plot between τ and mean annual temperature in different biomes.</w:t>
      </w:r>
      <w:r>
        <w:rPr>
          <w:rFonts w:ascii="Calibri" w:eastAsia="Calibri" w:hAnsi="Calibri" w:cs="Calibri"/>
          <w:i/>
          <w:color w:val="000000"/>
          <w:sz w:val="20"/>
          <w:szCs w:val="20"/>
        </w:rPr>
        <w:t xml:space="preserve"> The ranges (99</w:t>
      </w:r>
      <w:r>
        <w:rPr>
          <w:rFonts w:ascii="Calibri" w:eastAsia="Calibri" w:hAnsi="Calibri" w:cs="Calibri"/>
          <w:i/>
          <w:color w:val="000000"/>
          <w:sz w:val="20"/>
          <w:szCs w:val="20"/>
          <w:vertAlign w:val="superscript"/>
        </w:rPr>
        <w:t>th</w:t>
      </w:r>
      <w:r>
        <w:rPr>
          <w:rFonts w:ascii="Calibri" w:eastAsia="Calibri" w:hAnsi="Calibri" w:cs="Calibri"/>
          <w:i/>
          <w:color w:val="000000"/>
          <w:sz w:val="20"/>
          <w:szCs w:val="20"/>
        </w:rPr>
        <w:t xml:space="preserve"> – 1</w:t>
      </w:r>
      <w:r>
        <w:rPr>
          <w:rFonts w:ascii="Calibri" w:eastAsia="Calibri" w:hAnsi="Calibri" w:cs="Calibri"/>
          <w:i/>
          <w:color w:val="000000"/>
          <w:sz w:val="20"/>
          <w:szCs w:val="20"/>
          <w:vertAlign w:val="superscript"/>
        </w:rPr>
        <w:t>st</w:t>
      </w:r>
      <w:r>
        <w:rPr>
          <w:rFonts w:ascii="Calibri" w:eastAsia="Calibri" w:hAnsi="Calibri" w:cs="Calibri"/>
          <w:i/>
          <w:color w:val="000000"/>
          <w:sz w:val="20"/>
          <w:szCs w:val="20"/>
        </w:rPr>
        <w:t>) of temperature and τ are shown in each subplot. The slope of the fitting and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are shown in each subplot.</w:t>
      </w:r>
    </w:p>
    <w:p w14:paraId="2D343EE2" w14:textId="77777777" w:rsidR="001308C0" w:rsidRDefault="00037BCD">
      <w:pPr>
        <w:pBdr>
          <w:top w:val="nil"/>
          <w:left w:val="nil"/>
          <w:bottom w:val="nil"/>
          <w:right w:val="nil"/>
          <w:between w:val="nil"/>
        </w:pBdr>
        <w:spacing w:after="200"/>
        <w:rPr>
          <w:rFonts w:ascii="Calibri" w:eastAsia="Calibri" w:hAnsi="Calibri" w:cs="Calibri"/>
          <w:i/>
          <w:color w:val="000000"/>
          <w:sz w:val="20"/>
          <w:szCs w:val="20"/>
        </w:rPr>
      </w:pPr>
      <w:r>
        <w:rPr>
          <w:rFonts w:ascii="Calibri" w:eastAsia="Calibri" w:hAnsi="Calibri" w:cs="Calibri"/>
          <w:i/>
          <w:color w:val="000000"/>
          <w:sz w:val="20"/>
          <w:szCs w:val="20"/>
        </w:rPr>
        <w:t xml:space="preserve"> </w:t>
      </w:r>
    </w:p>
    <w:p w14:paraId="485D358C" w14:textId="77777777" w:rsidR="001308C0" w:rsidRDefault="001308C0">
      <w:pPr>
        <w:spacing w:line="360" w:lineRule="auto"/>
        <w:rPr>
          <w:sz w:val="20"/>
          <w:szCs w:val="20"/>
        </w:rPr>
      </w:pPr>
    </w:p>
    <w:p w14:paraId="3ADC26B5" w14:textId="77777777" w:rsidR="001308C0" w:rsidRDefault="00037BCD">
      <w:pPr>
        <w:spacing w:line="360" w:lineRule="auto"/>
        <w:rPr>
          <w:sz w:val="20"/>
          <w:szCs w:val="20"/>
        </w:rPr>
      </w:pPr>
      <w:r>
        <w:rPr>
          <w:noProof/>
          <w:sz w:val="20"/>
          <w:szCs w:val="20"/>
        </w:rPr>
        <w:lastRenderedPageBreak/>
        <w:drawing>
          <wp:inline distT="0" distB="0" distL="0" distR="0" wp14:anchorId="1E5E75FB" wp14:editId="28E0D735">
            <wp:extent cx="5943600" cy="3241675"/>
            <wp:effectExtent l="0" t="0" r="0" b="0"/>
            <wp:docPr id="40" name="image9.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Diagram&#10;&#10;Description automatically generated"/>
                    <pic:cNvPicPr preferRelativeResize="0"/>
                  </pic:nvPicPr>
                  <pic:blipFill>
                    <a:blip r:embed="rId14"/>
                    <a:srcRect/>
                    <a:stretch>
                      <a:fillRect/>
                    </a:stretch>
                  </pic:blipFill>
                  <pic:spPr>
                    <a:xfrm>
                      <a:off x="0" y="0"/>
                      <a:ext cx="5943600" cy="3241675"/>
                    </a:xfrm>
                    <a:prstGeom prst="rect">
                      <a:avLst/>
                    </a:prstGeom>
                    <a:ln/>
                  </pic:spPr>
                </pic:pic>
              </a:graphicData>
            </a:graphic>
          </wp:inline>
        </w:drawing>
      </w:r>
    </w:p>
    <w:p w14:paraId="2AC5C858"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 xml:space="preserve">Figure SI-4. 4:  </w:t>
      </w:r>
      <w:r>
        <w:rPr>
          <w:rFonts w:ascii="Calibri" w:eastAsia="Calibri" w:hAnsi="Calibri" w:cs="Calibri"/>
          <w:b/>
          <w:i/>
          <w:color w:val="000000"/>
          <w:sz w:val="20"/>
          <w:szCs w:val="20"/>
        </w:rPr>
        <w:t>The adjusted response of</w:t>
      </w:r>
      <w:r>
        <w:rPr>
          <w:rFonts w:ascii="Calibri" w:eastAsia="Calibri" w:hAnsi="Calibri" w:cs="Calibri"/>
          <w:b/>
          <w:i/>
          <w:color w:val="000000"/>
          <w:sz w:val="20"/>
          <w:szCs w:val="20"/>
        </w:rPr>
        <w:t xml:space="preserve"> τ to PET when other climatic factors (MAT, MAP and PSF) are controlled in the multiple regression model.</w:t>
      </w:r>
      <w:r>
        <w:rPr>
          <w:rFonts w:ascii="Calibri" w:eastAsia="Calibri" w:hAnsi="Calibri" w:cs="Calibri"/>
          <w:i/>
          <w:color w:val="000000"/>
          <w:sz w:val="20"/>
          <w:szCs w:val="20"/>
        </w:rPr>
        <w:t xml:space="preserve"> The slope of the fitting and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are shown in each subplot.</w:t>
      </w:r>
    </w:p>
    <w:p w14:paraId="00A3A29A" w14:textId="77777777" w:rsidR="001308C0" w:rsidRDefault="001308C0">
      <w:pPr>
        <w:rPr>
          <w:rFonts w:ascii="Calibri" w:eastAsia="Calibri" w:hAnsi="Calibri" w:cs="Calibri"/>
          <w:i/>
          <w:color w:val="000000"/>
          <w:sz w:val="20"/>
          <w:szCs w:val="20"/>
        </w:rPr>
      </w:pPr>
    </w:p>
    <w:p w14:paraId="20A19E20" w14:textId="77777777" w:rsidR="001308C0" w:rsidRDefault="001308C0">
      <w:pPr>
        <w:rPr>
          <w:rFonts w:ascii="Calibri" w:eastAsia="Calibri" w:hAnsi="Calibri" w:cs="Calibri"/>
          <w:i/>
          <w:color w:val="000000"/>
          <w:sz w:val="20"/>
          <w:szCs w:val="20"/>
        </w:rPr>
      </w:pPr>
    </w:p>
    <w:p w14:paraId="733C0398" w14:textId="77777777" w:rsidR="001308C0" w:rsidRDefault="001308C0">
      <w:pPr>
        <w:rPr>
          <w:rFonts w:ascii="Calibri" w:eastAsia="Calibri" w:hAnsi="Calibri" w:cs="Calibri"/>
          <w:i/>
          <w:color w:val="000000"/>
          <w:sz w:val="20"/>
          <w:szCs w:val="20"/>
        </w:rPr>
      </w:pPr>
    </w:p>
    <w:p w14:paraId="6062DEFB" w14:textId="77777777" w:rsidR="001308C0" w:rsidRDefault="001308C0">
      <w:pPr>
        <w:rPr>
          <w:rFonts w:ascii="Calibri" w:eastAsia="Calibri" w:hAnsi="Calibri" w:cs="Calibri"/>
          <w:i/>
          <w:color w:val="000000"/>
          <w:sz w:val="20"/>
          <w:szCs w:val="20"/>
        </w:rPr>
      </w:pPr>
    </w:p>
    <w:p w14:paraId="4C11360C" w14:textId="77777777" w:rsidR="001308C0" w:rsidRDefault="001308C0">
      <w:pPr>
        <w:rPr>
          <w:rFonts w:ascii="Calibri" w:eastAsia="Calibri" w:hAnsi="Calibri" w:cs="Calibri"/>
          <w:i/>
          <w:color w:val="000000"/>
          <w:sz w:val="20"/>
          <w:szCs w:val="20"/>
        </w:rPr>
      </w:pPr>
    </w:p>
    <w:p w14:paraId="4B5355A8" w14:textId="77777777" w:rsidR="001308C0" w:rsidRDefault="00037BCD">
      <w:pPr>
        <w:rPr>
          <w:rFonts w:ascii="Calibri" w:eastAsia="Calibri" w:hAnsi="Calibri" w:cs="Calibri"/>
          <w:i/>
          <w:color w:val="000000"/>
          <w:sz w:val="20"/>
          <w:szCs w:val="20"/>
        </w:rPr>
      </w:pPr>
      <w:r>
        <w:rPr>
          <w:rFonts w:ascii="Calibri" w:eastAsia="Calibri" w:hAnsi="Calibri" w:cs="Calibri"/>
          <w:i/>
          <w:noProof/>
          <w:color w:val="000000"/>
          <w:sz w:val="20"/>
          <w:szCs w:val="20"/>
        </w:rPr>
        <w:drawing>
          <wp:inline distT="0" distB="0" distL="0" distR="0" wp14:anchorId="54ACC87F" wp14:editId="03948B7A">
            <wp:extent cx="5943600" cy="3241675"/>
            <wp:effectExtent l="0" t="0" r="0" b="0"/>
            <wp:docPr id="37" name="image7.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Diagram&#10;&#10;Description automatically generated"/>
                    <pic:cNvPicPr preferRelativeResize="0"/>
                  </pic:nvPicPr>
                  <pic:blipFill>
                    <a:blip r:embed="rId15"/>
                    <a:srcRect/>
                    <a:stretch>
                      <a:fillRect/>
                    </a:stretch>
                  </pic:blipFill>
                  <pic:spPr>
                    <a:xfrm>
                      <a:off x="0" y="0"/>
                      <a:ext cx="5943600" cy="3241675"/>
                    </a:xfrm>
                    <a:prstGeom prst="rect">
                      <a:avLst/>
                    </a:prstGeom>
                    <a:ln/>
                  </pic:spPr>
                </pic:pic>
              </a:graphicData>
            </a:graphic>
          </wp:inline>
        </w:drawing>
      </w:r>
    </w:p>
    <w:p w14:paraId="5709EC11"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 xml:space="preserve">Figure SI-4. 5:  </w:t>
      </w:r>
      <w:r>
        <w:rPr>
          <w:rFonts w:ascii="Calibri" w:eastAsia="Calibri" w:hAnsi="Calibri" w:cs="Calibri"/>
          <w:b/>
          <w:i/>
          <w:color w:val="000000"/>
          <w:sz w:val="20"/>
          <w:szCs w:val="20"/>
        </w:rPr>
        <w:t>The adjusted response of τ to MAT when other climatic factor</w:t>
      </w:r>
      <w:r>
        <w:rPr>
          <w:rFonts w:ascii="Calibri" w:eastAsia="Calibri" w:hAnsi="Calibri" w:cs="Calibri"/>
          <w:b/>
          <w:i/>
          <w:color w:val="000000"/>
          <w:sz w:val="20"/>
          <w:szCs w:val="20"/>
        </w:rPr>
        <w:t>s (MAP, PET and PSF) are controlled in the multiple regression model.</w:t>
      </w:r>
      <w:r>
        <w:rPr>
          <w:rFonts w:ascii="Calibri" w:eastAsia="Calibri" w:hAnsi="Calibri" w:cs="Calibri"/>
          <w:i/>
          <w:color w:val="000000"/>
          <w:sz w:val="20"/>
          <w:szCs w:val="20"/>
        </w:rPr>
        <w:t xml:space="preserve"> The slope of the fitting and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are shown in each subplot.</w:t>
      </w:r>
    </w:p>
    <w:p w14:paraId="32B22071" w14:textId="77777777" w:rsidR="001308C0" w:rsidRDefault="001308C0">
      <w:pPr>
        <w:rPr>
          <w:rFonts w:ascii="Calibri" w:eastAsia="Calibri" w:hAnsi="Calibri" w:cs="Calibri"/>
          <w:i/>
          <w:color w:val="000000"/>
          <w:sz w:val="20"/>
          <w:szCs w:val="20"/>
        </w:rPr>
      </w:pPr>
    </w:p>
    <w:p w14:paraId="769367D6" w14:textId="77777777" w:rsidR="001308C0" w:rsidRDefault="00037BCD">
      <w:pPr>
        <w:rPr>
          <w:rFonts w:ascii="Calibri" w:eastAsia="Calibri" w:hAnsi="Calibri" w:cs="Calibri"/>
          <w:i/>
          <w:color w:val="000000"/>
          <w:sz w:val="20"/>
          <w:szCs w:val="20"/>
        </w:rPr>
      </w:pPr>
      <w:r>
        <w:rPr>
          <w:rFonts w:ascii="Calibri" w:eastAsia="Calibri" w:hAnsi="Calibri" w:cs="Calibri"/>
          <w:i/>
          <w:noProof/>
          <w:color w:val="000000"/>
          <w:sz w:val="20"/>
          <w:szCs w:val="20"/>
        </w:rPr>
        <w:lastRenderedPageBreak/>
        <w:drawing>
          <wp:inline distT="0" distB="0" distL="0" distR="0" wp14:anchorId="74B78AE7" wp14:editId="4058B9FA">
            <wp:extent cx="5943600" cy="3394710"/>
            <wp:effectExtent l="0" t="0" r="0" b="0"/>
            <wp:docPr id="39" name="image15.png" descr="Graphical user interface, application, Wor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5.png" descr="Graphical user interface, application, Word&#10;&#10;Description automatically generated"/>
                    <pic:cNvPicPr preferRelativeResize="0"/>
                  </pic:nvPicPr>
                  <pic:blipFill>
                    <a:blip r:embed="rId16"/>
                    <a:srcRect/>
                    <a:stretch>
                      <a:fillRect/>
                    </a:stretch>
                  </pic:blipFill>
                  <pic:spPr>
                    <a:xfrm>
                      <a:off x="0" y="0"/>
                      <a:ext cx="5943600" cy="3394710"/>
                    </a:xfrm>
                    <a:prstGeom prst="rect">
                      <a:avLst/>
                    </a:prstGeom>
                    <a:ln/>
                  </pic:spPr>
                </pic:pic>
              </a:graphicData>
            </a:graphic>
          </wp:inline>
        </w:drawing>
      </w:r>
    </w:p>
    <w:p w14:paraId="10038650"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 xml:space="preserve">Figure SI-4. 6:  </w:t>
      </w:r>
      <w:r>
        <w:rPr>
          <w:rFonts w:ascii="Calibri" w:eastAsia="Calibri" w:hAnsi="Calibri" w:cs="Calibri"/>
          <w:b/>
          <w:i/>
          <w:color w:val="000000"/>
          <w:sz w:val="20"/>
          <w:szCs w:val="20"/>
        </w:rPr>
        <w:t>The adjusted response of τ to PSF when other climatic factors (MAP, PET and MAT) are controlled in t</w:t>
      </w:r>
      <w:r>
        <w:rPr>
          <w:rFonts w:ascii="Calibri" w:eastAsia="Calibri" w:hAnsi="Calibri" w:cs="Calibri"/>
          <w:b/>
          <w:i/>
          <w:color w:val="000000"/>
          <w:sz w:val="20"/>
          <w:szCs w:val="20"/>
        </w:rPr>
        <w:t>he multiple regression model.</w:t>
      </w:r>
      <w:r>
        <w:rPr>
          <w:rFonts w:ascii="Calibri" w:eastAsia="Calibri" w:hAnsi="Calibri" w:cs="Calibri"/>
          <w:i/>
          <w:color w:val="000000"/>
          <w:sz w:val="20"/>
          <w:szCs w:val="20"/>
        </w:rPr>
        <w:t xml:space="preserve"> The slope of the fitting and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are shown in each subplot.</w:t>
      </w:r>
    </w:p>
    <w:p w14:paraId="7244716B" w14:textId="77777777" w:rsidR="001308C0" w:rsidRDefault="001308C0">
      <w:pPr>
        <w:spacing w:line="360" w:lineRule="auto"/>
        <w:rPr>
          <w:sz w:val="20"/>
          <w:szCs w:val="20"/>
        </w:rPr>
      </w:pPr>
    </w:p>
    <w:p w14:paraId="46C00537" w14:textId="77777777" w:rsidR="001308C0" w:rsidRDefault="00037BCD">
      <w:pPr>
        <w:spacing w:line="360" w:lineRule="auto"/>
        <w:rPr>
          <w:sz w:val="20"/>
          <w:szCs w:val="20"/>
        </w:rPr>
      </w:pPr>
      <w:r>
        <w:rPr>
          <w:noProof/>
          <w:sz w:val="20"/>
          <w:szCs w:val="20"/>
        </w:rPr>
        <w:drawing>
          <wp:inline distT="0" distB="0" distL="0" distR="0" wp14:anchorId="26E3819D" wp14:editId="00F03D0E">
            <wp:extent cx="5943600" cy="2853055"/>
            <wp:effectExtent l="0" t="0" r="0" b="0"/>
            <wp:docPr id="41" name="image18.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descr="A picture containing text&#10;&#10;Description automatically generated"/>
                    <pic:cNvPicPr preferRelativeResize="0"/>
                  </pic:nvPicPr>
                  <pic:blipFill>
                    <a:blip r:embed="rId17"/>
                    <a:srcRect/>
                    <a:stretch>
                      <a:fillRect/>
                    </a:stretch>
                  </pic:blipFill>
                  <pic:spPr>
                    <a:xfrm>
                      <a:off x="0" y="0"/>
                      <a:ext cx="5943600" cy="2853055"/>
                    </a:xfrm>
                    <a:prstGeom prst="rect">
                      <a:avLst/>
                    </a:prstGeom>
                    <a:ln/>
                  </pic:spPr>
                </pic:pic>
              </a:graphicData>
            </a:graphic>
          </wp:inline>
        </w:drawing>
      </w:r>
    </w:p>
    <w:p w14:paraId="4F94E5D2" w14:textId="77777777" w:rsidR="001308C0" w:rsidRDefault="00037BCD">
      <w:pPr>
        <w:rPr>
          <w:color w:val="000000"/>
          <w:sz w:val="15"/>
          <w:szCs w:val="15"/>
        </w:rPr>
      </w:pPr>
      <w:r>
        <w:rPr>
          <w:rFonts w:ascii="Calibri" w:eastAsia="Calibri" w:hAnsi="Calibri" w:cs="Calibri"/>
          <w:i/>
          <w:color w:val="000000"/>
          <w:sz w:val="20"/>
          <w:szCs w:val="20"/>
        </w:rPr>
        <w:t xml:space="preserve">Figure SI-4. 7:  Partial correlation (Spearman) between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soil</w:t>
      </w:r>
      <w:proofErr w:type="spellEnd"/>
      <w:r>
        <w:rPr>
          <w:rFonts w:ascii="Calibri" w:eastAsia="Calibri" w:hAnsi="Calibri" w:cs="Calibri"/>
          <w:i/>
          <w:color w:val="000000"/>
          <w:sz w:val="20"/>
          <w:szCs w:val="20"/>
        </w:rPr>
        <w:t xml:space="preserve">,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veg</w:t>
      </w:r>
      <w:proofErr w:type="spellEnd"/>
      <w:r>
        <w:rPr>
          <w:rFonts w:ascii="Calibri" w:eastAsia="Calibri" w:hAnsi="Calibri" w:cs="Calibri"/>
          <w:i/>
          <w:color w:val="000000"/>
          <w:sz w:val="20"/>
          <w:szCs w:val="20"/>
        </w:rPr>
        <w:t xml:space="preserve">, TER and each climate </w:t>
      </w:r>
      <w:r>
        <w:rPr>
          <w:rFonts w:ascii="Calibri" w:eastAsia="Calibri" w:hAnsi="Calibri" w:cs="Calibri"/>
          <w:i/>
          <w:sz w:val="20"/>
          <w:szCs w:val="20"/>
        </w:rPr>
        <w:t>variable</w:t>
      </w:r>
      <w:r>
        <w:rPr>
          <w:rFonts w:ascii="Calibri" w:eastAsia="Calibri" w:hAnsi="Calibri" w:cs="Calibri"/>
          <w:i/>
          <w:color w:val="000000"/>
          <w:sz w:val="20"/>
          <w:szCs w:val="20"/>
        </w:rPr>
        <w:t xml:space="preserve"> (while controlling for the remaining climate variables) in boreal forest biome. The correlation coefficient and p-value are given in each subplot.</w:t>
      </w:r>
    </w:p>
    <w:p w14:paraId="1E419723" w14:textId="77777777" w:rsidR="001308C0" w:rsidRDefault="001308C0">
      <w:pPr>
        <w:rPr>
          <w:color w:val="000000"/>
          <w:sz w:val="15"/>
          <w:szCs w:val="15"/>
        </w:rPr>
      </w:pPr>
    </w:p>
    <w:p w14:paraId="554FD821" w14:textId="77777777" w:rsidR="001308C0" w:rsidRDefault="00037BCD">
      <w:pPr>
        <w:rPr>
          <w:color w:val="000000"/>
          <w:sz w:val="15"/>
          <w:szCs w:val="15"/>
        </w:rPr>
      </w:pPr>
      <w:r>
        <w:rPr>
          <w:noProof/>
          <w:color w:val="000000"/>
          <w:sz w:val="15"/>
          <w:szCs w:val="15"/>
        </w:rPr>
        <w:lastRenderedPageBreak/>
        <w:drawing>
          <wp:inline distT="0" distB="0" distL="0" distR="0" wp14:anchorId="1B62ED79" wp14:editId="3D3CF4F4">
            <wp:extent cx="5943600" cy="2853055"/>
            <wp:effectExtent l="0" t="0" r="0" b="0"/>
            <wp:docPr id="42" name="image12.png" descr="A picture containing text, screensho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picture containing text, screenshot&#10;&#10;Description automatically generated"/>
                    <pic:cNvPicPr preferRelativeResize="0"/>
                  </pic:nvPicPr>
                  <pic:blipFill>
                    <a:blip r:embed="rId18"/>
                    <a:srcRect/>
                    <a:stretch>
                      <a:fillRect/>
                    </a:stretch>
                  </pic:blipFill>
                  <pic:spPr>
                    <a:xfrm>
                      <a:off x="0" y="0"/>
                      <a:ext cx="5943600" cy="2853055"/>
                    </a:xfrm>
                    <a:prstGeom prst="rect">
                      <a:avLst/>
                    </a:prstGeom>
                    <a:ln/>
                  </pic:spPr>
                </pic:pic>
              </a:graphicData>
            </a:graphic>
          </wp:inline>
        </w:drawing>
      </w:r>
    </w:p>
    <w:p w14:paraId="73234F97"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 xml:space="preserve">Figure SI-4. 8. The same as Figure SI-4.6 except </w:t>
      </w:r>
      <w:r>
        <w:rPr>
          <w:rFonts w:ascii="Calibri" w:eastAsia="Calibri" w:hAnsi="Calibri" w:cs="Calibri"/>
          <w:i/>
          <w:sz w:val="20"/>
          <w:szCs w:val="20"/>
        </w:rPr>
        <w:t>that</w:t>
      </w:r>
      <w:r>
        <w:rPr>
          <w:rFonts w:ascii="Calibri" w:eastAsia="Calibri" w:hAnsi="Calibri" w:cs="Calibri"/>
          <w:i/>
          <w:color w:val="000000"/>
          <w:sz w:val="20"/>
          <w:szCs w:val="20"/>
        </w:rPr>
        <w:t xml:space="preserve"> the analysis is performed in Tundra biome.</w:t>
      </w:r>
    </w:p>
    <w:p w14:paraId="2CB13963" w14:textId="77777777" w:rsidR="001308C0" w:rsidRDefault="001308C0">
      <w:pPr>
        <w:rPr>
          <w:rFonts w:ascii="Calibri" w:eastAsia="Calibri" w:hAnsi="Calibri" w:cs="Calibri"/>
          <w:i/>
          <w:color w:val="000000"/>
          <w:sz w:val="20"/>
          <w:szCs w:val="20"/>
        </w:rPr>
      </w:pPr>
    </w:p>
    <w:p w14:paraId="25F3433D" w14:textId="77777777" w:rsidR="001308C0" w:rsidRDefault="00037BCD">
      <w:pPr>
        <w:rPr>
          <w:color w:val="000000"/>
          <w:sz w:val="15"/>
          <w:szCs w:val="15"/>
        </w:rPr>
      </w:pPr>
      <w:r>
        <w:rPr>
          <w:noProof/>
          <w:color w:val="000000"/>
          <w:sz w:val="15"/>
          <w:szCs w:val="15"/>
        </w:rPr>
        <w:lastRenderedPageBreak/>
        <w:drawing>
          <wp:inline distT="0" distB="0" distL="0" distR="0" wp14:anchorId="668E0A3F" wp14:editId="722BEDB2">
            <wp:extent cx="5943600" cy="5086350"/>
            <wp:effectExtent l="0" t="0" r="0" b="0"/>
            <wp:docPr id="43" name="image3.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Diagram&#10;&#10;Description automatically generated"/>
                    <pic:cNvPicPr preferRelativeResize="0"/>
                  </pic:nvPicPr>
                  <pic:blipFill>
                    <a:blip r:embed="rId19"/>
                    <a:srcRect/>
                    <a:stretch>
                      <a:fillRect/>
                    </a:stretch>
                  </pic:blipFill>
                  <pic:spPr>
                    <a:xfrm>
                      <a:off x="0" y="0"/>
                      <a:ext cx="5943600" cy="5086350"/>
                    </a:xfrm>
                    <a:prstGeom prst="rect">
                      <a:avLst/>
                    </a:prstGeom>
                    <a:ln/>
                  </pic:spPr>
                </pic:pic>
              </a:graphicData>
            </a:graphic>
          </wp:inline>
        </w:drawing>
      </w:r>
    </w:p>
    <w:p w14:paraId="00673E73"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Figur</w:t>
      </w:r>
      <w:r>
        <w:rPr>
          <w:rFonts w:ascii="Calibri" w:eastAsia="Calibri" w:hAnsi="Calibri" w:cs="Calibri"/>
          <w:i/>
          <w:color w:val="000000"/>
          <w:sz w:val="20"/>
          <w:szCs w:val="20"/>
        </w:rPr>
        <w:t xml:space="preserve">e SI-4. 9. Scatter plot and linear regression between τ and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veg</w:t>
      </w:r>
      <w:proofErr w:type="spellEnd"/>
      <w:r>
        <w:rPr>
          <w:rFonts w:ascii="Calibri" w:eastAsia="Calibri" w:hAnsi="Calibri" w:cs="Calibri"/>
          <w:i/>
          <w:color w:val="000000"/>
          <w:sz w:val="20"/>
          <w:szCs w:val="20"/>
        </w:rPr>
        <w:t xml:space="preserve">, τ and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soil</w:t>
      </w:r>
      <w:proofErr w:type="spellEnd"/>
      <w:r>
        <w:rPr>
          <w:rFonts w:ascii="Calibri" w:eastAsia="Calibri" w:hAnsi="Calibri" w:cs="Calibri"/>
          <w:i/>
          <w:color w:val="000000"/>
          <w:sz w:val="20"/>
          <w:szCs w:val="20"/>
        </w:rPr>
        <w:t xml:space="preserve">,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veg</w:t>
      </w:r>
      <w:proofErr w:type="spellEnd"/>
      <w:r>
        <w:rPr>
          <w:rFonts w:ascii="Calibri" w:eastAsia="Calibri" w:hAnsi="Calibri" w:cs="Calibri"/>
          <w:i/>
          <w:color w:val="000000"/>
          <w:sz w:val="20"/>
          <w:szCs w:val="20"/>
          <w:vertAlign w:val="subscript"/>
        </w:rPr>
        <w:t xml:space="preserve"> </w:t>
      </w:r>
      <w:r>
        <w:rPr>
          <w:rFonts w:ascii="Calibri" w:eastAsia="Calibri" w:hAnsi="Calibri" w:cs="Calibri"/>
          <w:i/>
          <w:color w:val="000000"/>
          <w:sz w:val="20"/>
          <w:szCs w:val="20"/>
        </w:rPr>
        <w:t xml:space="preserve">and </w:t>
      </w:r>
      <w:proofErr w:type="spellStart"/>
      <w:r>
        <w:rPr>
          <w:rFonts w:ascii="Calibri" w:eastAsia="Calibri" w:hAnsi="Calibri" w:cs="Calibri"/>
          <w:i/>
          <w:color w:val="000000"/>
          <w:sz w:val="20"/>
          <w:szCs w:val="20"/>
        </w:rPr>
        <w:t>C</w:t>
      </w:r>
      <w:r>
        <w:rPr>
          <w:rFonts w:ascii="Calibri" w:eastAsia="Calibri" w:hAnsi="Calibri" w:cs="Calibri"/>
          <w:i/>
          <w:color w:val="000000"/>
          <w:sz w:val="20"/>
          <w:szCs w:val="20"/>
          <w:vertAlign w:val="subscript"/>
        </w:rPr>
        <w:t>soil</w:t>
      </w:r>
      <w:proofErr w:type="spellEnd"/>
      <w:r>
        <w:rPr>
          <w:rFonts w:ascii="Calibri" w:eastAsia="Calibri" w:hAnsi="Calibri" w:cs="Calibri"/>
          <w:i/>
          <w:color w:val="000000"/>
          <w:sz w:val="20"/>
          <w:szCs w:val="20"/>
        </w:rPr>
        <w:t>. The slope and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 are derived from the linear regression model between each pair of variables. </w:t>
      </w:r>
    </w:p>
    <w:p w14:paraId="13D3799A" w14:textId="77777777" w:rsidR="001308C0" w:rsidRDefault="001308C0">
      <w:pPr>
        <w:rPr>
          <w:rFonts w:ascii="Calibri" w:eastAsia="Calibri" w:hAnsi="Calibri" w:cs="Calibri"/>
          <w:i/>
          <w:color w:val="000000"/>
          <w:sz w:val="20"/>
          <w:szCs w:val="20"/>
        </w:rPr>
      </w:pPr>
    </w:p>
    <w:p w14:paraId="32ECC8C9" w14:textId="77777777" w:rsidR="001308C0" w:rsidRDefault="001308C0">
      <w:pPr>
        <w:rPr>
          <w:rFonts w:ascii="Calibri" w:eastAsia="Calibri" w:hAnsi="Calibri" w:cs="Calibri"/>
          <w:i/>
          <w:color w:val="000000"/>
          <w:sz w:val="20"/>
          <w:szCs w:val="20"/>
        </w:rPr>
      </w:pPr>
    </w:p>
    <w:p w14:paraId="40DFA5EF" w14:textId="77777777" w:rsidR="001308C0" w:rsidRDefault="001308C0">
      <w:pPr>
        <w:rPr>
          <w:sz w:val="20"/>
          <w:szCs w:val="20"/>
        </w:rPr>
      </w:pPr>
    </w:p>
    <w:p w14:paraId="5EEDA8D9" w14:textId="77777777" w:rsidR="001308C0" w:rsidRDefault="00037BCD">
      <w:pPr>
        <w:spacing w:after="240" w:line="360" w:lineRule="auto"/>
        <w:rPr>
          <w:b/>
          <w:color w:val="000000"/>
          <w:sz w:val="22"/>
          <w:szCs w:val="22"/>
        </w:rPr>
      </w:pPr>
      <w:r>
        <w:rPr>
          <w:b/>
          <w:color w:val="000000"/>
          <w:sz w:val="22"/>
          <w:szCs w:val="22"/>
        </w:rPr>
        <w:t>SI-5 Estimation of Q</w:t>
      </w:r>
      <w:r>
        <w:rPr>
          <w:b/>
          <w:color w:val="000000"/>
          <w:sz w:val="22"/>
          <w:szCs w:val="22"/>
          <w:vertAlign w:val="subscript"/>
        </w:rPr>
        <w:t>10</w:t>
      </w:r>
      <w:r>
        <w:rPr>
          <w:b/>
          <w:color w:val="000000"/>
          <w:sz w:val="22"/>
          <w:szCs w:val="22"/>
        </w:rPr>
        <w:t xml:space="preserve"> at latitudinal level</w:t>
      </w:r>
    </w:p>
    <w:p w14:paraId="5E7383AB" w14:textId="77777777" w:rsidR="001308C0" w:rsidRDefault="001308C0">
      <w:pPr>
        <w:spacing w:line="360" w:lineRule="auto"/>
        <w:rPr>
          <w:sz w:val="20"/>
          <w:szCs w:val="20"/>
        </w:rPr>
      </w:pPr>
    </w:p>
    <w:p w14:paraId="108F141C" w14:textId="77777777" w:rsidR="001308C0" w:rsidRDefault="00037BCD">
      <w:pPr>
        <w:spacing w:line="360" w:lineRule="auto"/>
        <w:rPr>
          <w:color w:val="000000"/>
          <w:sz w:val="22"/>
          <w:szCs w:val="22"/>
        </w:rPr>
      </w:pPr>
      <w:r>
        <w:rPr>
          <w:color w:val="000000"/>
          <w:sz w:val="22"/>
          <w:szCs w:val="22"/>
        </w:rPr>
        <w:t xml:space="preserve">We quantified the log (τ) -T relationships and hydrometeorological effect in each moving window across latitude (see Methods). We show that the model performance at latitudinal scale largely </w:t>
      </w:r>
      <w:r>
        <w:rPr>
          <w:sz w:val="22"/>
          <w:szCs w:val="22"/>
        </w:rPr>
        <w:t>depends</w:t>
      </w:r>
      <w:r>
        <w:rPr>
          <w:color w:val="000000"/>
          <w:sz w:val="22"/>
          <w:szCs w:val="22"/>
        </w:rPr>
        <w:t xml:space="preserve"> on the magnitude of τ spatial vari</w:t>
      </w:r>
      <w:r>
        <w:rPr>
          <w:color w:val="000000"/>
          <w:sz w:val="22"/>
          <w:szCs w:val="22"/>
        </w:rPr>
        <w:t xml:space="preserve">ability in different latitudinal </w:t>
      </w:r>
      <w:r>
        <w:rPr>
          <w:sz w:val="22"/>
          <w:szCs w:val="22"/>
        </w:rPr>
        <w:t>windows</w:t>
      </w:r>
      <w:r>
        <w:rPr>
          <w:color w:val="000000"/>
          <w:sz w:val="22"/>
          <w:szCs w:val="22"/>
        </w:rPr>
        <w:t xml:space="preserve"> (Figure SI-5.1). Our results show the R</w:t>
      </w:r>
      <w:r>
        <w:rPr>
          <w:color w:val="000000"/>
          <w:sz w:val="22"/>
          <w:szCs w:val="22"/>
          <w:vertAlign w:val="superscript"/>
        </w:rPr>
        <w:t>2</w:t>
      </w:r>
      <w:r>
        <w:rPr>
          <w:color w:val="000000"/>
          <w:sz w:val="22"/>
          <w:szCs w:val="22"/>
        </w:rPr>
        <w:t xml:space="preserve"> values are relatively lower (R</w:t>
      </w:r>
      <w:r>
        <w:rPr>
          <w:color w:val="000000"/>
          <w:sz w:val="22"/>
          <w:szCs w:val="22"/>
          <w:vertAlign w:val="superscript"/>
        </w:rPr>
        <w:t>2</w:t>
      </w:r>
      <w:r>
        <w:rPr>
          <w:color w:val="000000"/>
          <w:sz w:val="22"/>
          <w:szCs w:val="22"/>
        </w:rPr>
        <w:t>&lt;0.4) in the tropics, where the range of τ (99</w:t>
      </w:r>
      <w:r>
        <w:rPr>
          <w:color w:val="000000"/>
          <w:sz w:val="22"/>
          <w:szCs w:val="22"/>
          <w:vertAlign w:val="superscript"/>
        </w:rPr>
        <w:t>th</w:t>
      </w:r>
      <w:r>
        <w:rPr>
          <w:color w:val="000000"/>
          <w:sz w:val="22"/>
          <w:szCs w:val="22"/>
        </w:rPr>
        <w:t xml:space="preserve"> – 1</w:t>
      </w:r>
      <w:r>
        <w:rPr>
          <w:color w:val="000000"/>
          <w:sz w:val="22"/>
          <w:szCs w:val="22"/>
          <w:vertAlign w:val="superscript"/>
        </w:rPr>
        <w:t>th</w:t>
      </w:r>
      <w:r>
        <w:rPr>
          <w:color w:val="000000"/>
          <w:sz w:val="22"/>
          <w:szCs w:val="22"/>
        </w:rPr>
        <w:t>) is less than 50 years, than the higher northern latitude where the τ variability is muc</w:t>
      </w:r>
      <w:r>
        <w:rPr>
          <w:color w:val="000000"/>
          <w:sz w:val="22"/>
          <w:szCs w:val="22"/>
        </w:rPr>
        <w:t>h higher (</w:t>
      </w:r>
      <w:proofErr w:type="spellStart"/>
      <w:r>
        <w:rPr>
          <w:color w:val="000000"/>
          <w:sz w:val="22"/>
          <w:szCs w:val="22"/>
        </w:rPr>
        <w:t>τ</w:t>
      </w:r>
      <w:r>
        <w:rPr>
          <w:color w:val="000000"/>
          <w:sz w:val="22"/>
          <w:szCs w:val="22"/>
          <w:vertAlign w:val="subscript"/>
        </w:rPr>
        <w:t>range</w:t>
      </w:r>
      <w:proofErr w:type="spellEnd"/>
      <w:r>
        <w:rPr>
          <w:color w:val="000000"/>
          <w:sz w:val="22"/>
          <w:szCs w:val="22"/>
        </w:rPr>
        <w:t xml:space="preserve">&gt;100 years). This finding is consistent with our previous analysis at biome level where we showed tropical biomes are characterized by much lower τ variability than other biomes due to less τ variability (Figure SI-4.2). </w:t>
      </w:r>
    </w:p>
    <w:p w14:paraId="5C03399B" w14:textId="77777777" w:rsidR="001308C0" w:rsidRDefault="00037BCD">
      <w:pPr>
        <w:spacing w:before="240" w:line="360" w:lineRule="auto"/>
        <w:rPr>
          <w:sz w:val="20"/>
          <w:szCs w:val="20"/>
        </w:rPr>
      </w:pPr>
      <w:r>
        <w:rPr>
          <w:color w:val="000000"/>
          <w:sz w:val="22"/>
          <w:szCs w:val="22"/>
        </w:rPr>
        <w:lastRenderedPageBreak/>
        <w:t>To investigate the</w:t>
      </w:r>
      <w:r>
        <w:rPr>
          <w:color w:val="000000"/>
          <w:sz w:val="22"/>
          <w:szCs w:val="22"/>
        </w:rPr>
        <w:t xml:space="preserve"> effect of moving window size to our results, we used different latitudinal </w:t>
      </w:r>
      <w:r>
        <w:rPr>
          <w:sz w:val="22"/>
          <w:szCs w:val="22"/>
        </w:rPr>
        <w:t>extensions</w:t>
      </w:r>
      <w:r>
        <w:rPr>
          <w:color w:val="000000"/>
          <w:sz w:val="22"/>
          <w:szCs w:val="22"/>
        </w:rPr>
        <w:t xml:space="preserve"> of 10º, 20º, 30º and 40º (longitude extension remains the same as 360º). The results (Figure SI-5.2) show that the latitudinal pattern of Q10 estimations is consistent w</w:t>
      </w:r>
      <w:r>
        <w:rPr>
          <w:color w:val="000000"/>
          <w:sz w:val="22"/>
          <w:szCs w:val="22"/>
        </w:rPr>
        <w:t>ith different selection of window size although local variability may change. Interestingly, we found the constraining effect of the Q10 values by accounting for H-factors becomes clearer as the window size becomes larger. This is caused by the fact that b</w:t>
      </w:r>
      <w:r>
        <w:rPr>
          <w:color w:val="000000"/>
          <w:sz w:val="22"/>
          <w:szCs w:val="22"/>
        </w:rPr>
        <w:t xml:space="preserve">oth temperature and hydrometeorological gradient increases with window size (Figure SI-5.3).    </w:t>
      </w:r>
    </w:p>
    <w:p w14:paraId="02C5DB6F" w14:textId="77777777" w:rsidR="001308C0" w:rsidRDefault="001308C0">
      <w:pPr>
        <w:spacing w:line="360" w:lineRule="auto"/>
        <w:rPr>
          <w:sz w:val="20"/>
          <w:szCs w:val="20"/>
        </w:rPr>
      </w:pPr>
    </w:p>
    <w:p w14:paraId="7B7FE8EB" w14:textId="77777777" w:rsidR="001308C0" w:rsidRDefault="001308C0">
      <w:pPr>
        <w:spacing w:line="360" w:lineRule="auto"/>
        <w:rPr>
          <w:sz w:val="20"/>
          <w:szCs w:val="20"/>
        </w:rPr>
      </w:pPr>
    </w:p>
    <w:p w14:paraId="75177708" w14:textId="77777777" w:rsidR="001308C0" w:rsidRDefault="001308C0">
      <w:pPr>
        <w:spacing w:line="360" w:lineRule="auto"/>
        <w:rPr>
          <w:sz w:val="20"/>
          <w:szCs w:val="20"/>
        </w:rPr>
      </w:pPr>
    </w:p>
    <w:p w14:paraId="203E61D3" w14:textId="77777777" w:rsidR="001308C0" w:rsidRDefault="001308C0">
      <w:pPr>
        <w:spacing w:line="360" w:lineRule="auto"/>
        <w:rPr>
          <w:sz w:val="20"/>
          <w:szCs w:val="20"/>
        </w:rPr>
      </w:pPr>
    </w:p>
    <w:p w14:paraId="143B8F22" w14:textId="77777777" w:rsidR="001308C0" w:rsidRDefault="00037BCD">
      <w:pPr>
        <w:spacing w:line="360" w:lineRule="auto"/>
        <w:rPr>
          <w:sz w:val="20"/>
          <w:szCs w:val="20"/>
        </w:rPr>
      </w:pPr>
      <w:r>
        <w:rPr>
          <w:rFonts w:ascii="Calibri" w:eastAsia="Calibri" w:hAnsi="Calibri" w:cs="Calibri"/>
          <w:noProof/>
          <w:sz w:val="16"/>
          <w:szCs w:val="16"/>
        </w:rPr>
        <w:drawing>
          <wp:inline distT="0" distB="0" distL="0" distR="0" wp14:anchorId="1A4ACB90" wp14:editId="42701D91">
            <wp:extent cx="4249271" cy="3467100"/>
            <wp:effectExtent l="0" t="0" r="0" b="0"/>
            <wp:docPr id="44" name="image14.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Diagram&#10;&#10;Description automatically generated"/>
                    <pic:cNvPicPr preferRelativeResize="0"/>
                  </pic:nvPicPr>
                  <pic:blipFill>
                    <a:blip r:embed="rId20"/>
                    <a:srcRect r="28507"/>
                    <a:stretch>
                      <a:fillRect/>
                    </a:stretch>
                  </pic:blipFill>
                  <pic:spPr>
                    <a:xfrm>
                      <a:off x="0" y="0"/>
                      <a:ext cx="4249271" cy="3467100"/>
                    </a:xfrm>
                    <a:prstGeom prst="rect">
                      <a:avLst/>
                    </a:prstGeom>
                    <a:ln/>
                  </pic:spPr>
                </pic:pic>
              </a:graphicData>
            </a:graphic>
          </wp:inline>
        </w:drawing>
      </w:r>
    </w:p>
    <w:p w14:paraId="4BEEB6A9" w14:textId="77777777" w:rsidR="001308C0" w:rsidRDefault="00037BCD">
      <w:pPr>
        <w:rPr>
          <w:rFonts w:ascii="Calibri" w:eastAsia="Calibri" w:hAnsi="Calibri" w:cs="Calibri"/>
          <w:i/>
          <w:color w:val="000000"/>
          <w:sz w:val="20"/>
          <w:szCs w:val="20"/>
        </w:rPr>
      </w:pPr>
      <w:r>
        <w:rPr>
          <w:rFonts w:ascii="Calibri" w:eastAsia="Calibri" w:hAnsi="Calibri" w:cs="Calibri"/>
          <w:i/>
          <w:color w:val="000000"/>
          <w:sz w:val="20"/>
          <w:szCs w:val="20"/>
        </w:rPr>
        <w:t>Figure SI-5. 1:  Latitudinal distributions of R</w:t>
      </w:r>
      <w:r>
        <w:rPr>
          <w:rFonts w:ascii="Calibri" w:eastAsia="Calibri" w:hAnsi="Calibri" w:cs="Calibri"/>
          <w:i/>
          <w:color w:val="000000"/>
          <w:sz w:val="20"/>
          <w:szCs w:val="20"/>
          <w:vertAlign w:val="superscript"/>
        </w:rPr>
        <w:t>2</w:t>
      </w:r>
      <w:r>
        <w:rPr>
          <w:rFonts w:ascii="Calibri" w:eastAsia="Calibri" w:hAnsi="Calibri" w:cs="Calibri"/>
          <w:i/>
          <w:color w:val="000000"/>
          <w:sz w:val="20"/>
          <w:szCs w:val="20"/>
        </w:rPr>
        <w:t xml:space="preserve"> values, range of τ and range of MAT. The R2 is derived by performing regression analysis using Eq1 (legend: T) and Eq.2 (legend: T+H) in each latitudinal moving window (360º in longitude and 20º in latitude, see Methods). The range of τ and MAT is the dif</w:t>
      </w:r>
      <w:r>
        <w:rPr>
          <w:rFonts w:ascii="Calibri" w:eastAsia="Calibri" w:hAnsi="Calibri" w:cs="Calibri"/>
          <w:i/>
          <w:color w:val="000000"/>
          <w:sz w:val="20"/>
          <w:szCs w:val="20"/>
        </w:rPr>
        <w:t>ference between 99</w:t>
      </w:r>
      <w:r>
        <w:rPr>
          <w:rFonts w:ascii="Calibri" w:eastAsia="Calibri" w:hAnsi="Calibri" w:cs="Calibri"/>
          <w:i/>
          <w:color w:val="000000"/>
          <w:sz w:val="20"/>
          <w:szCs w:val="20"/>
          <w:vertAlign w:val="superscript"/>
        </w:rPr>
        <w:t>th</w:t>
      </w:r>
      <w:r>
        <w:rPr>
          <w:rFonts w:ascii="Calibri" w:eastAsia="Calibri" w:hAnsi="Calibri" w:cs="Calibri"/>
          <w:i/>
          <w:color w:val="000000"/>
          <w:sz w:val="20"/>
          <w:szCs w:val="20"/>
        </w:rPr>
        <w:t xml:space="preserve"> and 1</w:t>
      </w:r>
      <w:r>
        <w:rPr>
          <w:rFonts w:ascii="Calibri" w:eastAsia="Calibri" w:hAnsi="Calibri" w:cs="Calibri"/>
          <w:i/>
          <w:color w:val="000000"/>
          <w:sz w:val="20"/>
          <w:szCs w:val="20"/>
          <w:vertAlign w:val="superscript"/>
        </w:rPr>
        <w:t>th</w:t>
      </w:r>
      <w:r>
        <w:rPr>
          <w:rFonts w:ascii="Calibri" w:eastAsia="Calibri" w:hAnsi="Calibri" w:cs="Calibri"/>
          <w:i/>
          <w:color w:val="000000"/>
          <w:sz w:val="20"/>
          <w:szCs w:val="20"/>
        </w:rPr>
        <w:t xml:space="preserve"> for each variable.      </w:t>
      </w:r>
    </w:p>
    <w:p w14:paraId="1FE24AC9" w14:textId="77777777" w:rsidR="001308C0" w:rsidRDefault="001308C0">
      <w:pPr>
        <w:spacing w:line="360" w:lineRule="auto"/>
        <w:rPr>
          <w:sz w:val="20"/>
          <w:szCs w:val="20"/>
        </w:rPr>
      </w:pPr>
    </w:p>
    <w:p w14:paraId="475BCF3F" w14:textId="77777777" w:rsidR="001308C0" w:rsidRDefault="00037BCD">
      <w:pPr>
        <w:spacing w:line="360" w:lineRule="auto"/>
        <w:rPr>
          <w:sz w:val="20"/>
          <w:szCs w:val="20"/>
        </w:rPr>
      </w:pPr>
      <w:r>
        <w:rPr>
          <w:noProof/>
          <w:sz w:val="20"/>
          <w:szCs w:val="20"/>
        </w:rPr>
        <w:lastRenderedPageBreak/>
        <w:drawing>
          <wp:inline distT="0" distB="0" distL="0" distR="0" wp14:anchorId="622B1DBD" wp14:editId="2B20C23D">
            <wp:extent cx="5943600" cy="2872105"/>
            <wp:effectExtent l="0" t="0" r="0" b="0"/>
            <wp:docPr id="45" name="image2.pn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Graphical user interface, application&#10;&#10;Description automatically generated"/>
                    <pic:cNvPicPr preferRelativeResize="0"/>
                  </pic:nvPicPr>
                  <pic:blipFill>
                    <a:blip r:embed="rId21"/>
                    <a:srcRect/>
                    <a:stretch>
                      <a:fillRect/>
                    </a:stretch>
                  </pic:blipFill>
                  <pic:spPr>
                    <a:xfrm>
                      <a:off x="0" y="0"/>
                      <a:ext cx="5943600" cy="2872105"/>
                    </a:xfrm>
                    <a:prstGeom prst="rect">
                      <a:avLst/>
                    </a:prstGeom>
                    <a:ln/>
                  </pic:spPr>
                </pic:pic>
              </a:graphicData>
            </a:graphic>
          </wp:inline>
        </w:drawing>
      </w:r>
    </w:p>
    <w:p w14:paraId="282A6FA4" w14:textId="77777777" w:rsidR="001308C0" w:rsidRDefault="00037BCD">
      <w:pPr>
        <w:spacing w:line="360" w:lineRule="auto"/>
        <w:rPr>
          <w:rFonts w:ascii="Calibri" w:eastAsia="Calibri" w:hAnsi="Calibri" w:cs="Calibri"/>
          <w:i/>
          <w:color w:val="000000"/>
          <w:sz w:val="20"/>
          <w:szCs w:val="20"/>
        </w:rPr>
      </w:pPr>
      <w:r>
        <w:rPr>
          <w:rFonts w:ascii="Calibri" w:eastAsia="Calibri" w:hAnsi="Calibri" w:cs="Calibri"/>
          <w:i/>
          <w:color w:val="000000"/>
          <w:sz w:val="20"/>
          <w:szCs w:val="20"/>
        </w:rPr>
        <w:t xml:space="preserve">Figure SI-5. 2. The effect of window size to the estimation of Q10 values. From left to right we used window sizes of 10º, 20º, 30º and 40º in latitude (size in longitude remain 360º). </w:t>
      </w:r>
      <w:r>
        <w:rPr>
          <w:rFonts w:ascii="Calibri" w:eastAsia="Calibri" w:hAnsi="Calibri" w:cs="Calibri"/>
          <w:i/>
          <w:sz w:val="20"/>
          <w:szCs w:val="20"/>
        </w:rPr>
        <w:t>The Red</w:t>
      </w:r>
      <w:r>
        <w:rPr>
          <w:rFonts w:ascii="Calibri" w:eastAsia="Calibri" w:hAnsi="Calibri" w:cs="Calibri"/>
          <w:i/>
          <w:color w:val="000000"/>
          <w:sz w:val="20"/>
          <w:szCs w:val="20"/>
        </w:rPr>
        <w:t>/Blue c</w:t>
      </w:r>
      <w:r>
        <w:rPr>
          <w:rFonts w:ascii="Calibri" w:eastAsia="Calibri" w:hAnsi="Calibri" w:cs="Calibri"/>
          <w:i/>
          <w:color w:val="000000"/>
          <w:sz w:val="20"/>
          <w:szCs w:val="20"/>
        </w:rPr>
        <w:t>urve represent Q10 estimations without/with accounting for H-effect.</w:t>
      </w:r>
    </w:p>
    <w:p w14:paraId="7F09B28D" w14:textId="77777777" w:rsidR="001308C0" w:rsidRDefault="001308C0">
      <w:pPr>
        <w:spacing w:line="360" w:lineRule="auto"/>
        <w:rPr>
          <w:sz w:val="20"/>
          <w:szCs w:val="20"/>
        </w:rPr>
      </w:pPr>
    </w:p>
    <w:p w14:paraId="3213D278" w14:textId="77777777" w:rsidR="001308C0" w:rsidRDefault="00037BCD">
      <w:pPr>
        <w:spacing w:line="360" w:lineRule="auto"/>
        <w:rPr>
          <w:sz w:val="20"/>
          <w:szCs w:val="20"/>
        </w:rPr>
      </w:pPr>
      <w:r>
        <w:rPr>
          <w:noProof/>
          <w:sz w:val="20"/>
          <w:szCs w:val="20"/>
        </w:rPr>
        <w:lastRenderedPageBreak/>
        <w:drawing>
          <wp:inline distT="0" distB="0" distL="0" distR="0" wp14:anchorId="22C86B30" wp14:editId="7DC4DFC8">
            <wp:extent cx="5943600" cy="6771005"/>
            <wp:effectExtent l="0" t="0" r="0" b="0"/>
            <wp:docPr id="46" name="image4.png" descr="Shap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Shape&#10;&#10;Description automatically generated"/>
                    <pic:cNvPicPr preferRelativeResize="0"/>
                  </pic:nvPicPr>
                  <pic:blipFill>
                    <a:blip r:embed="rId22"/>
                    <a:srcRect/>
                    <a:stretch>
                      <a:fillRect/>
                    </a:stretch>
                  </pic:blipFill>
                  <pic:spPr>
                    <a:xfrm>
                      <a:off x="0" y="0"/>
                      <a:ext cx="5943600" cy="6771005"/>
                    </a:xfrm>
                    <a:prstGeom prst="rect">
                      <a:avLst/>
                    </a:prstGeom>
                    <a:ln/>
                  </pic:spPr>
                </pic:pic>
              </a:graphicData>
            </a:graphic>
          </wp:inline>
        </w:drawing>
      </w:r>
    </w:p>
    <w:p w14:paraId="3D7E1A30" w14:textId="77777777" w:rsidR="001308C0" w:rsidRDefault="00037BCD">
      <w:pPr>
        <w:spacing w:line="360" w:lineRule="auto"/>
        <w:rPr>
          <w:rFonts w:ascii="Calibri" w:eastAsia="Calibri" w:hAnsi="Calibri" w:cs="Calibri"/>
          <w:i/>
          <w:color w:val="000000"/>
          <w:sz w:val="20"/>
          <w:szCs w:val="20"/>
        </w:rPr>
      </w:pPr>
      <w:r>
        <w:rPr>
          <w:rFonts w:ascii="Calibri" w:eastAsia="Calibri" w:hAnsi="Calibri" w:cs="Calibri"/>
          <w:i/>
          <w:color w:val="000000"/>
          <w:sz w:val="20"/>
          <w:szCs w:val="20"/>
        </w:rPr>
        <w:t>Figure SI-5. 3. The change of ranges in climatic factors along latitude when different window sizes are used. From left to right we used window sizes of 10º, 20º, 30º and 40º in latitu</w:t>
      </w:r>
      <w:r>
        <w:rPr>
          <w:rFonts w:ascii="Calibri" w:eastAsia="Calibri" w:hAnsi="Calibri" w:cs="Calibri"/>
          <w:i/>
          <w:color w:val="000000"/>
          <w:sz w:val="20"/>
          <w:szCs w:val="20"/>
        </w:rPr>
        <w:t xml:space="preserve">de (size in longitude remains 360º). </w:t>
      </w:r>
    </w:p>
    <w:p w14:paraId="29BF800D" w14:textId="77777777" w:rsidR="001308C0" w:rsidRDefault="001308C0">
      <w:pPr>
        <w:spacing w:line="360" w:lineRule="auto"/>
        <w:rPr>
          <w:sz w:val="20"/>
          <w:szCs w:val="20"/>
        </w:rPr>
      </w:pPr>
    </w:p>
    <w:p w14:paraId="32A039AE" w14:textId="77777777" w:rsidR="001308C0" w:rsidRDefault="001308C0">
      <w:pPr>
        <w:spacing w:line="360" w:lineRule="auto"/>
        <w:rPr>
          <w:sz w:val="20"/>
          <w:szCs w:val="20"/>
        </w:rPr>
      </w:pPr>
    </w:p>
    <w:p w14:paraId="47D1A293" w14:textId="77777777" w:rsidR="001308C0" w:rsidRDefault="001308C0">
      <w:pPr>
        <w:spacing w:line="360" w:lineRule="auto"/>
        <w:rPr>
          <w:sz w:val="20"/>
          <w:szCs w:val="20"/>
        </w:rPr>
      </w:pPr>
    </w:p>
    <w:p w14:paraId="5056BD7D" w14:textId="77777777" w:rsidR="001308C0" w:rsidRDefault="001308C0">
      <w:pPr>
        <w:spacing w:line="360" w:lineRule="auto"/>
        <w:rPr>
          <w:sz w:val="20"/>
          <w:szCs w:val="20"/>
        </w:rPr>
      </w:pPr>
    </w:p>
    <w:p w14:paraId="3326644A" w14:textId="77777777" w:rsidR="001308C0" w:rsidRDefault="001308C0">
      <w:pPr>
        <w:rPr>
          <w:i/>
          <w:color w:val="000000"/>
          <w:sz w:val="20"/>
          <w:szCs w:val="20"/>
          <w:highlight w:val="white"/>
        </w:rPr>
      </w:pPr>
    </w:p>
    <w:p w14:paraId="62E23DD4" w14:textId="77777777" w:rsidR="001308C0" w:rsidRDefault="001308C0">
      <w:pPr>
        <w:spacing w:line="360" w:lineRule="auto"/>
        <w:rPr>
          <w:i/>
          <w:color w:val="000000"/>
          <w:sz w:val="20"/>
          <w:szCs w:val="20"/>
          <w:highlight w:val="white"/>
        </w:rPr>
      </w:pPr>
    </w:p>
    <w:sectPr w:rsidR="001308C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Georgia">
    <w:altName w:val="﷽﷽﷽﷽﷽﷽﷽"/>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8C0"/>
    <w:rsid w:val="00037BCD"/>
    <w:rsid w:val="001308C0"/>
  </w:rsids>
  <m:mathPr>
    <m:mathFont m:val="Cambria Math"/>
    <m:brkBin m:val="before"/>
    <m:brkBinSub m:val="--"/>
    <m:smallFrac m:val="0"/>
    <m:dispDef/>
    <m:lMargin m:val="0"/>
    <m:rMargin m:val="0"/>
    <m:defJc m:val="centerGroup"/>
    <m:wrapIndent m:val="1440"/>
    <m:intLim m:val="subSup"/>
    <m:naryLim m:val="undOvr"/>
  </m:mathPr>
  <w:themeFontLang w:val="en-DE"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5259958"/>
  <w15:docId w15:val="{CDF7EEC7-8D21-3B4C-90F2-609922476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4C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57030"/>
    <w:pPr>
      <w:ind w:left="720"/>
      <w:contextualSpacing/>
    </w:pPr>
    <w:rPr>
      <w:rFonts w:asciiTheme="minorHAnsi" w:eastAsiaTheme="minorEastAsia" w:hAnsiTheme="minorHAnsi" w:cstheme="minorBidi"/>
    </w:rPr>
  </w:style>
  <w:style w:type="paragraph" w:styleId="CommentText">
    <w:name w:val="annotation text"/>
    <w:basedOn w:val="Normal"/>
    <w:link w:val="CommentTextChar"/>
    <w:uiPriority w:val="99"/>
    <w:semiHidden/>
    <w:unhideWhenUsed/>
    <w:rsid w:val="005C7BD0"/>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semiHidden/>
    <w:rsid w:val="005C7BD0"/>
    <w:rPr>
      <w:sz w:val="20"/>
      <w:szCs w:val="20"/>
    </w:rPr>
  </w:style>
  <w:style w:type="character" w:styleId="CommentReference">
    <w:name w:val="annotation reference"/>
    <w:basedOn w:val="DefaultParagraphFont"/>
    <w:uiPriority w:val="99"/>
    <w:semiHidden/>
    <w:unhideWhenUsed/>
    <w:rsid w:val="005C7BD0"/>
    <w:rPr>
      <w:sz w:val="16"/>
      <w:szCs w:val="16"/>
    </w:rPr>
  </w:style>
  <w:style w:type="paragraph" w:styleId="BalloonText">
    <w:name w:val="Balloon Text"/>
    <w:basedOn w:val="Normal"/>
    <w:link w:val="BalloonTextChar"/>
    <w:uiPriority w:val="99"/>
    <w:semiHidden/>
    <w:unhideWhenUsed/>
    <w:rsid w:val="005C7BD0"/>
    <w:rPr>
      <w:rFonts w:eastAsiaTheme="minorEastAsia"/>
      <w:sz w:val="18"/>
      <w:szCs w:val="18"/>
    </w:rPr>
  </w:style>
  <w:style w:type="character" w:customStyle="1" w:styleId="BalloonTextChar">
    <w:name w:val="Balloon Text Char"/>
    <w:basedOn w:val="DefaultParagraphFont"/>
    <w:link w:val="BalloonText"/>
    <w:uiPriority w:val="99"/>
    <w:semiHidden/>
    <w:rsid w:val="005C7BD0"/>
    <w:rPr>
      <w:rFonts w:ascii="Times New Roman" w:hAnsi="Times New Roman" w:cs="Times New Roman"/>
      <w:sz w:val="18"/>
      <w:szCs w:val="18"/>
    </w:rPr>
  </w:style>
  <w:style w:type="paragraph" w:styleId="NormalWeb">
    <w:name w:val="Normal (Web)"/>
    <w:basedOn w:val="Normal"/>
    <w:uiPriority w:val="99"/>
    <w:unhideWhenUsed/>
    <w:rsid w:val="001A5D65"/>
    <w:pPr>
      <w:spacing w:before="100" w:beforeAutospacing="1" w:after="100" w:afterAutospacing="1"/>
    </w:pPr>
  </w:style>
  <w:style w:type="character" w:styleId="PlaceholderText">
    <w:name w:val="Placeholder Text"/>
    <w:basedOn w:val="DefaultParagraphFont"/>
    <w:uiPriority w:val="99"/>
    <w:semiHidden/>
    <w:rsid w:val="00B6320E"/>
    <w:rPr>
      <w:color w:val="808080"/>
    </w:rPr>
  </w:style>
  <w:style w:type="paragraph" w:styleId="Caption">
    <w:name w:val="caption"/>
    <w:basedOn w:val="Normal"/>
    <w:next w:val="Normal"/>
    <w:uiPriority w:val="35"/>
    <w:unhideWhenUsed/>
    <w:qFormat/>
    <w:rsid w:val="00855356"/>
    <w:pPr>
      <w:spacing w:after="200"/>
    </w:pPr>
    <w:rPr>
      <w:rFonts w:asciiTheme="minorHAnsi" w:eastAsiaTheme="minorEastAsia" w:hAnsiTheme="minorHAnsi" w:cstheme="minorBidi"/>
      <w:i/>
      <w:iCs/>
      <w:color w:val="44546A" w:themeColor="text2"/>
      <w:sz w:val="18"/>
      <w:szCs w:val="18"/>
    </w:rPr>
  </w:style>
  <w:style w:type="paragraph" w:customStyle="1" w:styleId="EndNoteBibliographyTitle">
    <w:name w:val="EndNote Bibliography Title"/>
    <w:basedOn w:val="Normal"/>
    <w:link w:val="EndNoteBibliographyTitleChar"/>
    <w:rsid w:val="00DD2404"/>
    <w:pPr>
      <w:jc w:val="center"/>
    </w:pPr>
    <w:rPr>
      <w:rFonts w:ascii="Calibri" w:eastAsiaTheme="minorEastAsia" w:hAnsi="Calibri" w:cstheme="minorBidi"/>
    </w:rPr>
  </w:style>
  <w:style w:type="character" w:customStyle="1" w:styleId="EndNoteBibliographyTitleChar">
    <w:name w:val="EndNote Bibliography Title Char"/>
    <w:basedOn w:val="DefaultParagraphFont"/>
    <w:link w:val="EndNoteBibliographyTitle"/>
    <w:rsid w:val="00DD2404"/>
    <w:rPr>
      <w:rFonts w:ascii="Calibri" w:hAnsi="Calibri"/>
    </w:rPr>
  </w:style>
  <w:style w:type="paragraph" w:customStyle="1" w:styleId="EndNoteBibliography">
    <w:name w:val="EndNote Bibliography"/>
    <w:basedOn w:val="Normal"/>
    <w:link w:val="EndNoteBibliographyChar"/>
    <w:rsid w:val="00DD2404"/>
    <w:rPr>
      <w:rFonts w:ascii="Calibri" w:eastAsiaTheme="minorEastAsia" w:hAnsi="Calibri" w:cstheme="minorBidi"/>
    </w:rPr>
  </w:style>
  <w:style w:type="character" w:customStyle="1" w:styleId="EndNoteBibliographyChar">
    <w:name w:val="EndNote Bibliography Char"/>
    <w:basedOn w:val="DefaultParagraphFont"/>
    <w:link w:val="EndNoteBibliography"/>
    <w:rsid w:val="00DD2404"/>
    <w:rPr>
      <w:rFonts w:ascii="Calibri" w:hAnsi="Calibri"/>
    </w:rPr>
  </w:style>
  <w:style w:type="table" w:customStyle="1" w:styleId="PlainTable51">
    <w:name w:val="Plain Table 51"/>
    <w:basedOn w:val="TableNormal"/>
    <w:uiPriority w:val="45"/>
    <w:rsid w:val="003D7CF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uiPriority w:val="44"/>
    <w:rsid w:val="003D7CF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3D7C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uiPriority w:val="43"/>
    <w:rsid w:val="003D7CF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3">
    <w:name w:val="3"/>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2">
    <w:name w:val="2"/>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
    <w:name w:val="1"/>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mmentSubject">
    <w:name w:val="annotation subject"/>
    <w:basedOn w:val="CommentText"/>
    <w:next w:val="CommentText"/>
    <w:link w:val="CommentSubjectChar"/>
    <w:uiPriority w:val="99"/>
    <w:semiHidden/>
    <w:unhideWhenUsed/>
    <w:rsid w:val="00377149"/>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77149"/>
    <w:rPr>
      <w:rFonts w:eastAsia="Times New Roman"/>
      <w:b/>
      <w:bCs/>
      <w:sz w:val="20"/>
      <w:szCs w:val="20"/>
    </w:rPr>
  </w:style>
  <w:style w:type="character" w:styleId="Hyperlink">
    <w:name w:val="Hyperlink"/>
    <w:basedOn w:val="DefaultParagraphFont"/>
    <w:uiPriority w:val="99"/>
    <w:unhideWhenUsed/>
    <w:rsid w:val="000C5719"/>
    <w:rPr>
      <w:color w:val="0563C1" w:themeColor="hyperlink"/>
      <w:u w:val="single"/>
    </w:rPr>
  </w:style>
  <w:style w:type="table" w:customStyle="1" w:styleId="a">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0">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1">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2">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xp9C4iVqLjWxJkY7yZo+J6p0MQ==">AMUW2mUyem45F983Qv4hyniT6MZDgvsbpQmtPCutBaU8sHYHqLZlgp7IwfjcyZMQ3QX/AjWixInu4ofl6ikIESODrm+HPX6KJ2Zsg2DpnK07Nd6RhU2OYaSJ0PfKVVjOFSbgF7hsqXfizXBQ0qFEI17UpU2IXu1wiyj4vqvla7KFfY0q3/GIDd0=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2918</Words>
  <Characters>16638</Characters>
  <Application>Microsoft Office Word</Application>
  <DocSecurity>0</DocSecurity>
  <Lines>138</Lines>
  <Paragraphs>39</Paragraphs>
  <ScaleCrop>false</ScaleCrop>
  <Company/>
  <LinksUpToDate>false</LinksUpToDate>
  <CharactersWithSpaces>19517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NF</dc:creator>
  <cp:lastModifiedBy>NF</cp:lastModifiedBy>
  <cp:revision>2</cp:revision>
  <dcterms:created xsi:type="dcterms:W3CDTF">2021-11-14T10:16:00Z</dcterms:created>
  <dcterms:modified xsi:type="dcterms:W3CDTF">2022-03-03T10:52:00Z</dcterms:modified>
</cp:coreProperties>
</file>