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C593A6" w14:textId="77777777" w:rsidR="00800B47" w:rsidRPr="007B29EF" w:rsidRDefault="00800B47" w:rsidP="00800B47">
      <w:pPr>
        <w:jc w:val="center"/>
        <w:rPr>
          <w:rFonts w:ascii="Times New Roman" w:hAnsi="Times New Roman" w:cs="Times New Roman"/>
          <w:b/>
          <w:sz w:val="24"/>
          <w:szCs w:val="24"/>
        </w:rPr>
      </w:pPr>
      <w:bookmarkStart w:id="0" w:name="_GoBack"/>
      <w:bookmarkEnd w:id="0"/>
      <w:r w:rsidRPr="007B29EF">
        <w:rPr>
          <w:rFonts w:ascii="Times New Roman" w:hAnsi="Times New Roman" w:cs="Times New Roman"/>
          <w:b/>
          <w:sz w:val="24"/>
          <w:szCs w:val="24"/>
        </w:rPr>
        <w:t>Supplementary material</w:t>
      </w:r>
    </w:p>
    <w:p w14:paraId="18BE1143" w14:textId="77777777" w:rsidR="00800B47" w:rsidRPr="007B29EF" w:rsidRDefault="00800B47" w:rsidP="00800B47">
      <w:pPr>
        <w:autoSpaceDE w:val="0"/>
        <w:autoSpaceDN w:val="0"/>
        <w:adjustRightInd w:val="0"/>
        <w:spacing w:after="0" w:line="480" w:lineRule="auto"/>
        <w:jc w:val="center"/>
        <w:rPr>
          <w:rFonts w:ascii="Times New Roman" w:hAnsi="Times New Roman" w:cs="Times New Roman"/>
          <w:b/>
          <w:sz w:val="24"/>
          <w:szCs w:val="24"/>
        </w:rPr>
      </w:pPr>
    </w:p>
    <w:p w14:paraId="4EA8F588" w14:textId="77777777" w:rsidR="00800B47" w:rsidRPr="00622156" w:rsidRDefault="00800B47" w:rsidP="00800B47">
      <w:pPr>
        <w:spacing w:line="480" w:lineRule="auto"/>
        <w:jc w:val="both"/>
        <w:rPr>
          <w:rFonts w:ascii="Times New Roman" w:hAnsi="Times New Roman" w:cs="Times New Roman"/>
          <w:b/>
          <w:color w:val="222222"/>
          <w:sz w:val="24"/>
          <w:szCs w:val="24"/>
        </w:rPr>
      </w:pPr>
      <w:r w:rsidRPr="00622156">
        <w:rPr>
          <w:rFonts w:ascii="Times New Roman" w:hAnsi="Times New Roman" w:cs="Times New Roman"/>
          <w:b/>
          <w:color w:val="222222"/>
          <w:sz w:val="24"/>
          <w:szCs w:val="24"/>
        </w:rPr>
        <w:t xml:space="preserve">Determinants of Glycemic Control among </w:t>
      </w:r>
      <w:r w:rsidRPr="00010A9A">
        <w:rPr>
          <w:rFonts w:ascii="Times New Roman" w:hAnsi="Times New Roman" w:cs="Times New Roman"/>
          <w:b/>
          <w:color w:val="222222"/>
          <w:sz w:val="24"/>
          <w:szCs w:val="24"/>
        </w:rPr>
        <w:t>Urban Patients with Type 2 Diabetes and Low Socioeconomic Status</w:t>
      </w:r>
    </w:p>
    <w:p w14:paraId="42E0331B" w14:textId="77777777" w:rsidR="00800B47" w:rsidRPr="007B29EF" w:rsidRDefault="00800B47" w:rsidP="00800B47">
      <w:pPr>
        <w:spacing w:line="480" w:lineRule="auto"/>
        <w:jc w:val="both"/>
        <w:rPr>
          <w:rFonts w:ascii="Times New Roman" w:hAnsi="Times New Roman" w:cs="Times New Roman"/>
          <w:b/>
          <w:color w:val="222222"/>
          <w:sz w:val="24"/>
          <w:szCs w:val="24"/>
        </w:rPr>
      </w:pPr>
    </w:p>
    <w:p w14:paraId="2E155E56" w14:textId="77777777" w:rsidR="00800B47" w:rsidRPr="007B29EF" w:rsidRDefault="00800B47" w:rsidP="00800B47">
      <w:pPr>
        <w:spacing w:line="480" w:lineRule="auto"/>
        <w:jc w:val="both"/>
        <w:rPr>
          <w:rFonts w:ascii="Times New Roman" w:hAnsi="Times New Roman" w:cs="Times New Roman"/>
          <w:sz w:val="24"/>
          <w:szCs w:val="24"/>
          <w:lang w:val="es-MX"/>
        </w:rPr>
      </w:pPr>
      <w:r w:rsidRPr="0068766A">
        <w:rPr>
          <w:rFonts w:ascii="Times New Roman" w:hAnsi="Times New Roman" w:cs="Times New Roman"/>
          <w:sz w:val="24"/>
          <w:szCs w:val="24"/>
          <w:lang w:val="es-MX"/>
        </w:rPr>
        <w:t>Ru</w:t>
      </w:r>
      <w:r>
        <w:rPr>
          <w:rFonts w:ascii="Times New Roman" w:hAnsi="Times New Roman" w:cs="Times New Roman"/>
          <w:sz w:val="24"/>
          <w:szCs w:val="24"/>
          <w:lang w:val="es-MX"/>
        </w:rPr>
        <w:t xml:space="preserve">bén </w:t>
      </w:r>
      <w:r w:rsidRPr="007B29EF">
        <w:rPr>
          <w:rFonts w:ascii="Times New Roman" w:hAnsi="Times New Roman" w:cs="Times New Roman"/>
          <w:sz w:val="24"/>
          <w:szCs w:val="24"/>
          <w:lang w:val="es-MX"/>
        </w:rPr>
        <w:t xml:space="preserve">Silva-Tinoco Rubén, </w:t>
      </w:r>
      <w:r>
        <w:rPr>
          <w:rFonts w:ascii="Times New Roman" w:hAnsi="Times New Roman" w:cs="Times New Roman"/>
          <w:sz w:val="24"/>
          <w:szCs w:val="24"/>
          <w:lang w:val="es-MX"/>
        </w:rPr>
        <w:t xml:space="preserve">Teresa Cuatecontzi-Xochitiotzi, Viridiana De la Torre-Saldaña, Enrique </w:t>
      </w:r>
      <w:r w:rsidRPr="0039616F">
        <w:rPr>
          <w:rFonts w:ascii="Times New Roman" w:eastAsia="Calibri" w:hAnsi="Times New Roman" w:cs="Times New Roman"/>
          <w:sz w:val="24"/>
          <w:szCs w:val="24"/>
          <w:lang w:val="es-MX"/>
        </w:rPr>
        <w:t>León-Garcí</w:t>
      </w:r>
      <w:r>
        <w:rPr>
          <w:rFonts w:ascii="Times New Roman" w:eastAsia="Calibri" w:hAnsi="Times New Roman" w:cs="Times New Roman"/>
          <w:sz w:val="24"/>
          <w:szCs w:val="24"/>
          <w:lang w:val="es-MX"/>
        </w:rPr>
        <w:t>a</w:t>
      </w:r>
      <w:r w:rsidRPr="0039616F">
        <w:rPr>
          <w:rFonts w:ascii="Times New Roman" w:eastAsia="Calibri" w:hAnsi="Times New Roman" w:cs="Times New Roman"/>
          <w:sz w:val="24"/>
          <w:szCs w:val="24"/>
          <w:lang w:val="es-MX"/>
        </w:rPr>
        <w:t xml:space="preserve">, </w:t>
      </w:r>
      <w:r>
        <w:rPr>
          <w:rFonts w:ascii="Times New Roman" w:eastAsia="Calibri" w:hAnsi="Times New Roman" w:cs="Times New Roman"/>
          <w:sz w:val="24"/>
          <w:szCs w:val="24"/>
          <w:lang w:val="es-MX"/>
        </w:rPr>
        <w:t xml:space="preserve">Javier Serna-Alvarado, Arturo </w:t>
      </w:r>
      <w:r w:rsidRPr="0039616F">
        <w:rPr>
          <w:rFonts w:ascii="Times New Roman" w:eastAsia="Calibri" w:hAnsi="Times New Roman" w:cs="Times New Roman"/>
          <w:sz w:val="24"/>
          <w:szCs w:val="24"/>
          <w:lang w:val="es-MX"/>
        </w:rPr>
        <w:t>Orea-Tejeda,</w:t>
      </w:r>
      <w:r>
        <w:rPr>
          <w:rFonts w:ascii="Times New Roman" w:eastAsia="Calibri" w:hAnsi="Times New Roman" w:cs="Times New Roman"/>
          <w:sz w:val="24"/>
          <w:szCs w:val="24"/>
          <w:lang w:val="es-MX"/>
        </w:rPr>
        <w:t xml:space="preserve"> Lilia</w:t>
      </w:r>
      <w:r w:rsidRPr="0039616F">
        <w:rPr>
          <w:rFonts w:ascii="Times New Roman" w:eastAsia="Calibri" w:hAnsi="Times New Roman" w:cs="Times New Roman"/>
          <w:sz w:val="24"/>
          <w:szCs w:val="24"/>
          <w:lang w:val="es-MX"/>
        </w:rPr>
        <w:t xml:space="preserve"> Castillo-Martínez</w:t>
      </w:r>
      <w:r>
        <w:rPr>
          <w:rFonts w:ascii="Times New Roman" w:eastAsia="Calibri" w:hAnsi="Times New Roman" w:cs="Times New Roman"/>
          <w:sz w:val="24"/>
          <w:szCs w:val="24"/>
          <w:lang w:val="es-MX"/>
        </w:rPr>
        <w:t xml:space="preserve">, </w:t>
      </w:r>
      <w:r w:rsidRPr="0039616F">
        <w:rPr>
          <w:rFonts w:ascii="Times New Roman" w:hAnsi="Times New Roman" w:cs="Times New Roman"/>
          <w:sz w:val="24"/>
          <w:szCs w:val="24"/>
          <w:lang w:val="es-MX"/>
        </w:rPr>
        <w:t>Juan</w:t>
      </w:r>
      <w:r w:rsidRPr="007B29EF">
        <w:rPr>
          <w:rFonts w:ascii="Times New Roman" w:hAnsi="Times New Roman" w:cs="Times New Roman"/>
          <w:sz w:val="24"/>
          <w:szCs w:val="24"/>
          <w:lang w:val="es-MX"/>
        </w:rPr>
        <w:t xml:space="preserve"> G. Gay, </w:t>
      </w:r>
      <w:r>
        <w:rPr>
          <w:rFonts w:ascii="Times New Roman" w:hAnsi="Times New Roman" w:cs="Times New Roman"/>
          <w:sz w:val="24"/>
          <w:szCs w:val="24"/>
          <w:lang w:val="es-MX"/>
        </w:rPr>
        <w:t xml:space="preserve">David Cantú-de-León, </w:t>
      </w:r>
      <w:r w:rsidRPr="007B29EF">
        <w:rPr>
          <w:rFonts w:ascii="Times New Roman" w:hAnsi="Times New Roman" w:cs="Times New Roman"/>
          <w:sz w:val="24"/>
          <w:szCs w:val="24"/>
          <w:lang w:val="es-MX"/>
        </w:rPr>
        <w:t>Diddier Prada</w:t>
      </w:r>
      <w:r>
        <w:rPr>
          <w:rFonts w:ascii="Times New Roman" w:hAnsi="Times New Roman" w:cs="Times New Roman"/>
          <w:sz w:val="24"/>
          <w:szCs w:val="24"/>
          <w:lang w:val="es-MX"/>
        </w:rPr>
        <w:t>.</w:t>
      </w:r>
    </w:p>
    <w:p w14:paraId="04D0E6AF" w14:textId="77777777" w:rsidR="00800B47" w:rsidRDefault="00800B47" w:rsidP="00800B47">
      <w:pPr>
        <w:spacing w:line="480" w:lineRule="auto"/>
        <w:jc w:val="both"/>
        <w:rPr>
          <w:rFonts w:ascii="Times New Roman" w:hAnsi="Times New Roman" w:cs="Times New Roman"/>
          <w:sz w:val="24"/>
          <w:szCs w:val="24"/>
          <w:lang w:val="es-MX"/>
        </w:rPr>
      </w:pPr>
    </w:p>
    <w:p w14:paraId="5D2E6817"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585C341D"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64481CBE"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3D83878E"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79F426F4"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26874CB6"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2F96B584"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43BE42CC"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75156EA3"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52425DF2"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571AFB22"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pPr>
    </w:p>
    <w:p w14:paraId="4121289C" w14:textId="77777777" w:rsidR="00800B47" w:rsidRPr="0039616F" w:rsidRDefault="00800B47" w:rsidP="00800B47">
      <w:pPr>
        <w:autoSpaceDE w:val="0"/>
        <w:autoSpaceDN w:val="0"/>
        <w:adjustRightInd w:val="0"/>
        <w:spacing w:after="0" w:line="480" w:lineRule="auto"/>
        <w:jc w:val="center"/>
        <w:rPr>
          <w:rFonts w:ascii="Times New Roman" w:hAnsi="Times New Roman" w:cs="Times New Roman"/>
          <w:sz w:val="24"/>
          <w:szCs w:val="24"/>
          <w:lang w:val="es-MX"/>
        </w:rPr>
        <w:sectPr w:rsidR="00800B47" w:rsidRPr="0039616F">
          <w:pgSz w:w="12240" w:h="15840"/>
          <w:pgMar w:top="1417" w:right="1701" w:bottom="1417" w:left="1701" w:header="708" w:footer="708" w:gutter="0"/>
          <w:cols w:space="708"/>
          <w:docGrid w:linePitch="360"/>
        </w:sectPr>
      </w:pPr>
    </w:p>
    <w:p w14:paraId="301FB9AC" w14:textId="77777777" w:rsidR="00800B47" w:rsidRDefault="00800B47" w:rsidP="00800B47">
      <w:pPr>
        <w:spacing w:line="480" w:lineRule="auto"/>
        <w:jc w:val="both"/>
        <w:rPr>
          <w:rFonts w:ascii="Times New Roman" w:hAnsi="Times New Roman" w:cs="Times New Roman"/>
          <w:sz w:val="24"/>
          <w:szCs w:val="24"/>
          <w:lang w:val="es-MX"/>
        </w:rPr>
      </w:pPr>
      <w:r w:rsidRPr="007B29EF">
        <w:rPr>
          <w:rFonts w:ascii="Times New Roman" w:hAnsi="Times New Roman" w:cs="Times New Roman"/>
          <w:sz w:val="24"/>
          <w:szCs w:val="24"/>
          <w:lang w:val="es-MX"/>
        </w:rPr>
        <w:lastRenderedPageBreak/>
        <w:t>SUPPLEMENTARY TABLES</w:t>
      </w:r>
    </w:p>
    <w:tbl>
      <w:tblPr>
        <w:tblW w:w="10800" w:type="dxa"/>
        <w:tblLook w:val="04A0" w:firstRow="1" w:lastRow="0" w:firstColumn="1" w:lastColumn="0" w:noHBand="0" w:noVBand="1"/>
      </w:tblPr>
      <w:tblGrid>
        <w:gridCol w:w="1511"/>
        <w:gridCol w:w="1511"/>
        <w:gridCol w:w="756"/>
        <w:gridCol w:w="1709"/>
        <w:gridCol w:w="1511"/>
        <w:gridCol w:w="276"/>
        <w:gridCol w:w="756"/>
        <w:gridCol w:w="1616"/>
        <w:gridCol w:w="1511"/>
      </w:tblGrid>
      <w:tr w:rsidR="00800B47" w:rsidRPr="004C2CAC" w14:paraId="6BA72DA1" w14:textId="77777777" w:rsidTr="00F53CCB">
        <w:trPr>
          <w:trHeight w:val="880"/>
        </w:trPr>
        <w:tc>
          <w:tcPr>
            <w:tcW w:w="10800" w:type="dxa"/>
            <w:gridSpan w:val="9"/>
            <w:tcBorders>
              <w:top w:val="nil"/>
              <w:left w:val="nil"/>
              <w:bottom w:val="single" w:sz="4" w:space="0" w:color="auto"/>
              <w:right w:val="nil"/>
            </w:tcBorders>
            <w:shd w:val="clear" w:color="auto" w:fill="auto"/>
            <w:vAlign w:val="center"/>
            <w:hideMark/>
          </w:tcPr>
          <w:p w14:paraId="4C22BC86"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b/>
                <w:bCs/>
                <w:color w:val="000000"/>
                <w:sz w:val="24"/>
                <w:szCs w:val="24"/>
              </w:rPr>
              <w:t>Supplementary Table 1</w:t>
            </w:r>
            <w:r w:rsidRPr="004C2CAC">
              <w:rPr>
                <w:rFonts w:ascii="Times New Roman" w:eastAsia="Times New Roman" w:hAnsi="Times New Roman" w:cs="Times New Roman"/>
                <w:color w:val="000000"/>
                <w:sz w:val="24"/>
                <w:szCs w:val="24"/>
              </w:rPr>
              <w:t>. Association between education and socioeconomic status on diabetes knowledge (SKILL-D Score)  in low-income patients with type 2 diabetes mellitus in Mexico City (n=513).</w:t>
            </w:r>
          </w:p>
        </w:tc>
      </w:tr>
      <w:tr w:rsidR="00800B47" w:rsidRPr="004C2CAC" w14:paraId="29AA3730" w14:textId="77777777" w:rsidTr="00F53CCB">
        <w:trPr>
          <w:trHeight w:val="360"/>
        </w:trPr>
        <w:tc>
          <w:tcPr>
            <w:tcW w:w="1511" w:type="dxa"/>
            <w:vMerge w:val="restart"/>
            <w:tcBorders>
              <w:top w:val="nil"/>
              <w:left w:val="nil"/>
              <w:bottom w:val="single" w:sz="4" w:space="0" w:color="000000"/>
              <w:right w:val="nil"/>
            </w:tcBorders>
            <w:shd w:val="clear" w:color="auto" w:fill="auto"/>
            <w:vAlign w:val="center"/>
            <w:hideMark/>
          </w:tcPr>
          <w:p w14:paraId="078E683C"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Variable</w:t>
            </w:r>
          </w:p>
        </w:tc>
        <w:tc>
          <w:tcPr>
            <w:tcW w:w="1511" w:type="dxa"/>
            <w:tcBorders>
              <w:top w:val="nil"/>
              <w:left w:val="nil"/>
              <w:bottom w:val="nil"/>
              <w:right w:val="nil"/>
            </w:tcBorders>
            <w:shd w:val="clear" w:color="auto" w:fill="auto"/>
            <w:vAlign w:val="center"/>
            <w:hideMark/>
          </w:tcPr>
          <w:p w14:paraId="7D418B41"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 </w:t>
            </w:r>
          </w:p>
        </w:tc>
        <w:tc>
          <w:tcPr>
            <w:tcW w:w="3883" w:type="dxa"/>
            <w:gridSpan w:val="3"/>
            <w:tcBorders>
              <w:top w:val="single" w:sz="4" w:space="0" w:color="auto"/>
              <w:left w:val="nil"/>
              <w:bottom w:val="single" w:sz="4" w:space="0" w:color="auto"/>
              <w:right w:val="nil"/>
            </w:tcBorders>
            <w:shd w:val="clear" w:color="auto" w:fill="auto"/>
            <w:noWrap/>
            <w:vAlign w:val="bottom"/>
            <w:hideMark/>
          </w:tcPr>
          <w:p w14:paraId="56882510" w14:textId="77777777" w:rsidR="00800B47" w:rsidRPr="004C2CAC" w:rsidRDefault="00800B47" w:rsidP="00F53CCB">
            <w:pPr>
              <w:spacing w:after="0" w:line="480" w:lineRule="auto"/>
              <w:jc w:val="center"/>
              <w:rPr>
                <w:rFonts w:ascii="Times New Roman" w:eastAsia="Times New Roman" w:hAnsi="Times New Roman" w:cs="Times New Roman"/>
                <w:b/>
                <w:bCs/>
                <w:sz w:val="24"/>
                <w:szCs w:val="24"/>
              </w:rPr>
            </w:pPr>
            <w:proofErr w:type="spellStart"/>
            <w:r w:rsidRPr="004C2CAC">
              <w:rPr>
                <w:rFonts w:ascii="Times New Roman" w:eastAsia="Times New Roman" w:hAnsi="Times New Roman" w:cs="Times New Roman"/>
                <w:b/>
                <w:bCs/>
                <w:sz w:val="24"/>
                <w:szCs w:val="24"/>
              </w:rPr>
              <w:t>Univariable</w:t>
            </w:r>
            <w:r w:rsidRPr="004C2CAC">
              <w:rPr>
                <w:rFonts w:ascii="Times New Roman" w:eastAsia="Times New Roman" w:hAnsi="Times New Roman" w:cs="Times New Roman"/>
                <w:b/>
                <w:bCs/>
                <w:sz w:val="24"/>
                <w:szCs w:val="24"/>
                <w:vertAlign w:val="superscript"/>
              </w:rPr>
              <w:t>a</w:t>
            </w:r>
            <w:proofErr w:type="spellEnd"/>
          </w:p>
        </w:tc>
        <w:tc>
          <w:tcPr>
            <w:tcW w:w="105" w:type="dxa"/>
            <w:tcBorders>
              <w:top w:val="nil"/>
              <w:left w:val="nil"/>
              <w:bottom w:val="nil"/>
              <w:right w:val="nil"/>
            </w:tcBorders>
            <w:shd w:val="clear" w:color="auto" w:fill="auto"/>
            <w:noWrap/>
            <w:vAlign w:val="bottom"/>
            <w:hideMark/>
          </w:tcPr>
          <w:p w14:paraId="4002B8BE" w14:textId="77777777" w:rsidR="00800B47" w:rsidRPr="004C2CAC" w:rsidRDefault="00800B47" w:rsidP="00F53CCB">
            <w:pPr>
              <w:spacing w:after="0" w:line="480" w:lineRule="auto"/>
              <w:jc w:val="center"/>
              <w:rPr>
                <w:rFonts w:ascii="Times New Roman" w:eastAsia="Times New Roman" w:hAnsi="Times New Roman" w:cs="Times New Roman"/>
                <w:b/>
                <w:bCs/>
                <w:sz w:val="24"/>
                <w:szCs w:val="24"/>
              </w:rPr>
            </w:pPr>
            <w:r w:rsidRPr="004C2CAC">
              <w:rPr>
                <w:rFonts w:ascii="Times New Roman" w:eastAsia="Times New Roman" w:hAnsi="Times New Roman" w:cs="Times New Roman"/>
                <w:b/>
                <w:bCs/>
                <w:sz w:val="24"/>
                <w:szCs w:val="24"/>
              </w:rPr>
              <w:t> </w:t>
            </w:r>
          </w:p>
        </w:tc>
        <w:tc>
          <w:tcPr>
            <w:tcW w:w="3790" w:type="dxa"/>
            <w:gridSpan w:val="3"/>
            <w:tcBorders>
              <w:top w:val="single" w:sz="4" w:space="0" w:color="auto"/>
              <w:left w:val="nil"/>
              <w:bottom w:val="single" w:sz="4" w:space="0" w:color="auto"/>
              <w:right w:val="nil"/>
            </w:tcBorders>
            <w:shd w:val="clear" w:color="auto" w:fill="auto"/>
            <w:noWrap/>
            <w:vAlign w:val="bottom"/>
            <w:hideMark/>
          </w:tcPr>
          <w:p w14:paraId="43763A5F"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proofErr w:type="spellStart"/>
            <w:r w:rsidRPr="004C2CAC">
              <w:rPr>
                <w:rFonts w:ascii="Times New Roman" w:eastAsia="Times New Roman" w:hAnsi="Times New Roman" w:cs="Times New Roman"/>
                <w:b/>
                <w:bCs/>
                <w:color w:val="000000"/>
                <w:sz w:val="24"/>
                <w:szCs w:val="24"/>
              </w:rPr>
              <w:t>Multivariable</w:t>
            </w:r>
            <w:r w:rsidRPr="004C2CAC">
              <w:rPr>
                <w:rFonts w:ascii="Times New Roman" w:eastAsia="Times New Roman" w:hAnsi="Times New Roman" w:cs="Times New Roman"/>
                <w:b/>
                <w:bCs/>
                <w:color w:val="000000"/>
                <w:sz w:val="24"/>
                <w:szCs w:val="24"/>
                <w:vertAlign w:val="superscript"/>
              </w:rPr>
              <w:t>b</w:t>
            </w:r>
            <w:proofErr w:type="spellEnd"/>
          </w:p>
        </w:tc>
      </w:tr>
      <w:tr w:rsidR="00800B47" w:rsidRPr="004C2CAC" w14:paraId="2EC48C76" w14:textId="77777777" w:rsidTr="00F53CCB">
        <w:trPr>
          <w:trHeight w:val="320"/>
        </w:trPr>
        <w:tc>
          <w:tcPr>
            <w:tcW w:w="1511" w:type="dxa"/>
            <w:vMerge/>
            <w:tcBorders>
              <w:top w:val="nil"/>
              <w:left w:val="nil"/>
              <w:bottom w:val="single" w:sz="4" w:space="0" w:color="000000"/>
              <w:right w:val="nil"/>
            </w:tcBorders>
            <w:vAlign w:val="center"/>
            <w:hideMark/>
          </w:tcPr>
          <w:p w14:paraId="0213FCC4" w14:textId="77777777" w:rsidR="00800B47" w:rsidRPr="004C2CAC" w:rsidRDefault="00800B47" w:rsidP="00F53CCB">
            <w:pPr>
              <w:spacing w:after="0" w:line="480" w:lineRule="auto"/>
              <w:rPr>
                <w:rFonts w:ascii="Times New Roman" w:eastAsia="Times New Roman" w:hAnsi="Times New Roman" w:cs="Times New Roman"/>
                <w:b/>
                <w:bCs/>
                <w:color w:val="000000"/>
                <w:sz w:val="24"/>
                <w:szCs w:val="24"/>
              </w:rPr>
            </w:pPr>
          </w:p>
        </w:tc>
        <w:tc>
          <w:tcPr>
            <w:tcW w:w="1511" w:type="dxa"/>
            <w:tcBorders>
              <w:top w:val="nil"/>
              <w:left w:val="nil"/>
              <w:bottom w:val="single" w:sz="4" w:space="0" w:color="auto"/>
              <w:right w:val="nil"/>
            </w:tcBorders>
            <w:shd w:val="clear" w:color="auto" w:fill="auto"/>
            <w:vAlign w:val="center"/>
            <w:hideMark/>
          </w:tcPr>
          <w:p w14:paraId="53D493E3"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 </w:t>
            </w:r>
          </w:p>
        </w:tc>
        <w:tc>
          <w:tcPr>
            <w:tcW w:w="663" w:type="dxa"/>
            <w:tcBorders>
              <w:top w:val="nil"/>
              <w:left w:val="nil"/>
              <w:bottom w:val="single" w:sz="4" w:space="0" w:color="auto"/>
              <w:right w:val="nil"/>
            </w:tcBorders>
            <w:shd w:val="clear" w:color="auto" w:fill="auto"/>
            <w:noWrap/>
            <w:vAlign w:val="center"/>
            <w:hideMark/>
          </w:tcPr>
          <w:p w14:paraId="1D3A5D83"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β</w:t>
            </w:r>
          </w:p>
        </w:tc>
        <w:tc>
          <w:tcPr>
            <w:tcW w:w="1709" w:type="dxa"/>
            <w:tcBorders>
              <w:top w:val="nil"/>
              <w:left w:val="nil"/>
              <w:bottom w:val="single" w:sz="4" w:space="0" w:color="auto"/>
              <w:right w:val="nil"/>
            </w:tcBorders>
            <w:shd w:val="clear" w:color="auto" w:fill="auto"/>
            <w:noWrap/>
            <w:vAlign w:val="center"/>
            <w:hideMark/>
          </w:tcPr>
          <w:p w14:paraId="6322203D"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95%CI</w:t>
            </w:r>
          </w:p>
        </w:tc>
        <w:tc>
          <w:tcPr>
            <w:tcW w:w="1511" w:type="dxa"/>
            <w:tcBorders>
              <w:top w:val="nil"/>
              <w:left w:val="nil"/>
              <w:bottom w:val="single" w:sz="4" w:space="0" w:color="auto"/>
              <w:right w:val="nil"/>
            </w:tcBorders>
            <w:shd w:val="clear" w:color="auto" w:fill="auto"/>
            <w:noWrap/>
            <w:vAlign w:val="center"/>
            <w:hideMark/>
          </w:tcPr>
          <w:p w14:paraId="2F3BA019"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i/>
                <w:iCs/>
                <w:color w:val="000000"/>
                <w:sz w:val="24"/>
                <w:szCs w:val="24"/>
              </w:rPr>
              <w:t>p</w:t>
            </w:r>
            <w:r w:rsidRPr="004C2CAC">
              <w:rPr>
                <w:rFonts w:ascii="Times New Roman" w:eastAsia="Times New Roman" w:hAnsi="Times New Roman" w:cs="Times New Roman"/>
                <w:b/>
                <w:bCs/>
                <w:color w:val="000000"/>
                <w:sz w:val="24"/>
                <w:szCs w:val="24"/>
              </w:rPr>
              <w:t>-value</w:t>
            </w:r>
          </w:p>
        </w:tc>
        <w:tc>
          <w:tcPr>
            <w:tcW w:w="105" w:type="dxa"/>
            <w:tcBorders>
              <w:top w:val="nil"/>
              <w:left w:val="nil"/>
              <w:bottom w:val="single" w:sz="4" w:space="0" w:color="auto"/>
              <w:right w:val="nil"/>
            </w:tcBorders>
            <w:shd w:val="clear" w:color="auto" w:fill="auto"/>
            <w:noWrap/>
            <w:vAlign w:val="center"/>
            <w:hideMark/>
          </w:tcPr>
          <w:p w14:paraId="1D79B40E" w14:textId="77777777" w:rsidR="00800B47" w:rsidRPr="004C2CAC" w:rsidRDefault="00800B47" w:rsidP="00F53CCB">
            <w:pPr>
              <w:spacing w:after="0" w:line="480" w:lineRule="auto"/>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 </w:t>
            </w:r>
          </w:p>
        </w:tc>
        <w:tc>
          <w:tcPr>
            <w:tcW w:w="663" w:type="dxa"/>
            <w:tcBorders>
              <w:top w:val="nil"/>
              <w:left w:val="nil"/>
              <w:bottom w:val="single" w:sz="4" w:space="0" w:color="auto"/>
              <w:right w:val="nil"/>
            </w:tcBorders>
            <w:shd w:val="clear" w:color="auto" w:fill="auto"/>
            <w:noWrap/>
            <w:vAlign w:val="center"/>
            <w:hideMark/>
          </w:tcPr>
          <w:p w14:paraId="60FD2FD0"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β</w:t>
            </w:r>
          </w:p>
        </w:tc>
        <w:tc>
          <w:tcPr>
            <w:tcW w:w="1616" w:type="dxa"/>
            <w:tcBorders>
              <w:top w:val="nil"/>
              <w:left w:val="nil"/>
              <w:bottom w:val="single" w:sz="4" w:space="0" w:color="auto"/>
              <w:right w:val="nil"/>
            </w:tcBorders>
            <w:shd w:val="clear" w:color="auto" w:fill="auto"/>
            <w:noWrap/>
            <w:vAlign w:val="center"/>
            <w:hideMark/>
          </w:tcPr>
          <w:p w14:paraId="6C201746"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95%CI</w:t>
            </w:r>
          </w:p>
        </w:tc>
        <w:tc>
          <w:tcPr>
            <w:tcW w:w="1511" w:type="dxa"/>
            <w:tcBorders>
              <w:top w:val="nil"/>
              <w:left w:val="nil"/>
              <w:bottom w:val="single" w:sz="4" w:space="0" w:color="auto"/>
              <w:right w:val="nil"/>
            </w:tcBorders>
            <w:shd w:val="clear" w:color="auto" w:fill="auto"/>
            <w:noWrap/>
            <w:vAlign w:val="center"/>
            <w:hideMark/>
          </w:tcPr>
          <w:p w14:paraId="2629DB08"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i/>
                <w:iCs/>
                <w:color w:val="000000"/>
                <w:sz w:val="24"/>
                <w:szCs w:val="24"/>
              </w:rPr>
              <w:t>p</w:t>
            </w:r>
            <w:r w:rsidRPr="004C2CAC">
              <w:rPr>
                <w:rFonts w:ascii="Times New Roman" w:eastAsia="Times New Roman" w:hAnsi="Times New Roman" w:cs="Times New Roman"/>
                <w:b/>
                <w:bCs/>
                <w:color w:val="000000"/>
                <w:sz w:val="24"/>
                <w:szCs w:val="24"/>
              </w:rPr>
              <w:t>-value</w:t>
            </w:r>
          </w:p>
        </w:tc>
      </w:tr>
      <w:tr w:rsidR="00800B47" w:rsidRPr="004C2CAC" w14:paraId="709AA2EC" w14:textId="77777777" w:rsidTr="00F53CCB">
        <w:trPr>
          <w:trHeight w:val="500"/>
        </w:trPr>
        <w:tc>
          <w:tcPr>
            <w:tcW w:w="1511" w:type="dxa"/>
            <w:tcBorders>
              <w:top w:val="nil"/>
              <w:left w:val="nil"/>
              <w:bottom w:val="nil"/>
              <w:right w:val="nil"/>
            </w:tcBorders>
            <w:shd w:val="clear" w:color="auto" w:fill="auto"/>
            <w:noWrap/>
            <w:vAlign w:val="center"/>
            <w:hideMark/>
          </w:tcPr>
          <w:p w14:paraId="454D5A71"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Education</w:t>
            </w:r>
          </w:p>
        </w:tc>
        <w:tc>
          <w:tcPr>
            <w:tcW w:w="1511" w:type="dxa"/>
            <w:tcBorders>
              <w:top w:val="nil"/>
              <w:left w:val="nil"/>
              <w:bottom w:val="nil"/>
              <w:right w:val="nil"/>
            </w:tcBorders>
            <w:shd w:val="clear" w:color="auto" w:fill="auto"/>
            <w:noWrap/>
            <w:vAlign w:val="center"/>
            <w:hideMark/>
          </w:tcPr>
          <w:p w14:paraId="43937725"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All</w:t>
            </w:r>
          </w:p>
        </w:tc>
        <w:tc>
          <w:tcPr>
            <w:tcW w:w="663" w:type="dxa"/>
            <w:tcBorders>
              <w:top w:val="nil"/>
              <w:left w:val="nil"/>
              <w:bottom w:val="nil"/>
              <w:right w:val="nil"/>
            </w:tcBorders>
            <w:shd w:val="clear" w:color="auto" w:fill="auto"/>
            <w:noWrap/>
            <w:vAlign w:val="center"/>
            <w:hideMark/>
          </w:tcPr>
          <w:p w14:paraId="0B4E94F8"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1.640</w:t>
            </w:r>
          </w:p>
        </w:tc>
        <w:tc>
          <w:tcPr>
            <w:tcW w:w="1709" w:type="dxa"/>
            <w:tcBorders>
              <w:top w:val="nil"/>
              <w:left w:val="nil"/>
              <w:bottom w:val="nil"/>
              <w:right w:val="nil"/>
            </w:tcBorders>
            <w:shd w:val="clear" w:color="auto" w:fill="auto"/>
            <w:noWrap/>
            <w:vAlign w:val="center"/>
            <w:hideMark/>
          </w:tcPr>
          <w:p w14:paraId="60B5AF5B"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(1.250, 2.036)</w:t>
            </w:r>
          </w:p>
        </w:tc>
        <w:tc>
          <w:tcPr>
            <w:tcW w:w="1511" w:type="dxa"/>
            <w:tcBorders>
              <w:top w:val="nil"/>
              <w:left w:val="nil"/>
              <w:bottom w:val="nil"/>
              <w:right w:val="nil"/>
            </w:tcBorders>
            <w:shd w:val="clear" w:color="auto" w:fill="auto"/>
            <w:noWrap/>
            <w:vAlign w:val="center"/>
            <w:hideMark/>
          </w:tcPr>
          <w:p w14:paraId="351517EA"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&lt; 0.001</w:t>
            </w:r>
          </w:p>
        </w:tc>
        <w:tc>
          <w:tcPr>
            <w:tcW w:w="105" w:type="dxa"/>
            <w:tcBorders>
              <w:top w:val="nil"/>
              <w:left w:val="nil"/>
              <w:bottom w:val="nil"/>
              <w:right w:val="nil"/>
            </w:tcBorders>
            <w:shd w:val="clear" w:color="auto" w:fill="auto"/>
            <w:noWrap/>
            <w:vAlign w:val="center"/>
            <w:hideMark/>
          </w:tcPr>
          <w:p w14:paraId="05434E64"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 </w:t>
            </w:r>
          </w:p>
        </w:tc>
        <w:tc>
          <w:tcPr>
            <w:tcW w:w="663" w:type="dxa"/>
            <w:tcBorders>
              <w:top w:val="nil"/>
              <w:left w:val="nil"/>
              <w:bottom w:val="nil"/>
              <w:right w:val="nil"/>
            </w:tcBorders>
            <w:shd w:val="clear" w:color="auto" w:fill="auto"/>
            <w:noWrap/>
            <w:vAlign w:val="center"/>
            <w:hideMark/>
          </w:tcPr>
          <w:p w14:paraId="022318C4"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1.533</w:t>
            </w:r>
          </w:p>
        </w:tc>
        <w:tc>
          <w:tcPr>
            <w:tcW w:w="1616" w:type="dxa"/>
            <w:tcBorders>
              <w:top w:val="nil"/>
              <w:left w:val="nil"/>
              <w:bottom w:val="nil"/>
              <w:right w:val="nil"/>
            </w:tcBorders>
            <w:shd w:val="clear" w:color="auto" w:fill="auto"/>
            <w:noWrap/>
            <w:vAlign w:val="center"/>
            <w:hideMark/>
          </w:tcPr>
          <w:p w14:paraId="1779C0CB"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(1.122, 1.945)</w:t>
            </w:r>
          </w:p>
        </w:tc>
        <w:tc>
          <w:tcPr>
            <w:tcW w:w="1511" w:type="dxa"/>
            <w:tcBorders>
              <w:top w:val="nil"/>
              <w:left w:val="nil"/>
              <w:bottom w:val="nil"/>
              <w:right w:val="nil"/>
            </w:tcBorders>
            <w:shd w:val="clear" w:color="auto" w:fill="auto"/>
            <w:noWrap/>
            <w:vAlign w:val="center"/>
            <w:hideMark/>
          </w:tcPr>
          <w:p w14:paraId="34E5D7F5"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&lt; 0.001</w:t>
            </w:r>
          </w:p>
        </w:tc>
      </w:tr>
      <w:tr w:rsidR="00800B47" w:rsidRPr="004C2CAC" w14:paraId="7800016B" w14:textId="77777777" w:rsidTr="00F53CCB">
        <w:trPr>
          <w:trHeight w:val="500"/>
        </w:trPr>
        <w:tc>
          <w:tcPr>
            <w:tcW w:w="1511" w:type="dxa"/>
            <w:tcBorders>
              <w:top w:val="nil"/>
              <w:left w:val="nil"/>
              <w:bottom w:val="nil"/>
              <w:right w:val="nil"/>
            </w:tcBorders>
            <w:shd w:val="clear" w:color="auto" w:fill="auto"/>
            <w:noWrap/>
            <w:vAlign w:val="center"/>
            <w:hideMark/>
          </w:tcPr>
          <w:p w14:paraId="77693E87"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p>
        </w:tc>
        <w:tc>
          <w:tcPr>
            <w:tcW w:w="1511" w:type="dxa"/>
            <w:tcBorders>
              <w:top w:val="nil"/>
              <w:left w:val="nil"/>
              <w:bottom w:val="nil"/>
              <w:right w:val="nil"/>
            </w:tcBorders>
            <w:shd w:val="clear" w:color="auto" w:fill="auto"/>
            <w:noWrap/>
            <w:vAlign w:val="center"/>
            <w:hideMark/>
          </w:tcPr>
          <w:p w14:paraId="1B90B88E"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Males</w:t>
            </w:r>
          </w:p>
        </w:tc>
        <w:tc>
          <w:tcPr>
            <w:tcW w:w="663" w:type="dxa"/>
            <w:tcBorders>
              <w:top w:val="nil"/>
              <w:left w:val="nil"/>
              <w:bottom w:val="nil"/>
              <w:right w:val="nil"/>
            </w:tcBorders>
            <w:shd w:val="clear" w:color="auto" w:fill="auto"/>
            <w:noWrap/>
            <w:vAlign w:val="center"/>
            <w:hideMark/>
          </w:tcPr>
          <w:p w14:paraId="1A04EEA3"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1.259</w:t>
            </w:r>
          </w:p>
        </w:tc>
        <w:tc>
          <w:tcPr>
            <w:tcW w:w="1709" w:type="dxa"/>
            <w:tcBorders>
              <w:top w:val="nil"/>
              <w:left w:val="nil"/>
              <w:bottom w:val="nil"/>
              <w:right w:val="nil"/>
            </w:tcBorders>
            <w:shd w:val="clear" w:color="auto" w:fill="auto"/>
            <w:noWrap/>
            <w:vAlign w:val="center"/>
            <w:hideMark/>
          </w:tcPr>
          <w:p w14:paraId="4A43AEE4"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(0.505, 2.012)</w:t>
            </w:r>
          </w:p>
        </w:tc>
        <w:tc>
          <w:tcPr>
            <w:tcW w:w="1511" w:type="dxa"/>
            <w:tcBorders>
              <w:top w:val="nil"/>
              <w:left w:val="nil"/>
              <w:bottom w:val="nil"/>
              <w:right w:val="nil"/>
            </w:tcBorders>
            <w:shd w:val="clear" w:color="auto" w:fill="auto"/>
            <w:noWrap/>
            <w:vAlign w:val="center"/>
            <w:hideMark/>
          </w:tcPr>
          <w:p w14:paraId="21994C34"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0.001</w:t>
            </w:r>
          </w:p>
        </w:tc>
        <w:tc>
          <w:tcPr>
            <w:tcW w:w="105" w:type="dxa"/>
            <w:tcBorders>
              <w:top w:val="nil"/>
              <w:left w:val="nil"/>
              <w:bottom w:val="nil"/>
              <w:right w:val="nil"/>
            </w:tcBorders>
            <w:shd w:val="clear" w:color="auto" w:fill="auto"/>
            <w:noWrap/>
            <w:vAlign w:val="center"/>
            <w:hideMark/>
          </w:tcPr>
          <w:p w14:paraId="110D2589"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p>
        </w:tc>
        <w:tc>
          <w:tcPr>
            <w:tcW w:w="663" w:type="dxa"/>
            <w:tcBorders>
              <w:top w:val="nil"/>
              <w:left w:val="nil"/>
              <w:bottom w:val="nil"/>
              <w:right w:val="nil"/>
            </w:tcBorders>
            <w:shd w:val="clear" w:color="auto" w:fill="auto"/>
            <w:noWrap/>
            <w:vAlign w:val="center"/>
            <w:hideMark/>
          </w:tcPr>
          <w:p w14:paraId="4065A68D"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1.274</w:t>
            </w:r>
          </w:p>
        </w:tc>
        <w:tc>
          <w:tcPr>
            <w:tcW w:w="1616" w:type="dxa"/>
            <w:tcBorders>
              <w:top w:val="nil"/>
              <w:left w:val="nil"/>
              <w:bottom w:val="nil"/>
              <w:right w:val="nil"/>
            </w:tcBorders>
            <w:shd w:val="clear" w:color="auto" w:fill="auto"/>
            <w:noWrap/>
            <w:vAlign w:val="center"/>
            <w:hideMark/>
          </w:tcPr>
          <w:p w14:paraId="16B34864"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(0.455, 2.094)</w:t>
            </w:r>
          </w:p>
        </w:tc>
        <w:tc>
          <w:tcPr>
            <w:tcW w:w="1511" w:type="dxa"/>
            <w:tcBorders>
              <w:top w:val="nil"/>
              <w:left w:val="nil"/>
              <w:bottom w:val="nil"/>
              <w:right w:val="nil"/>
            </w:tcBorders>
            <w:shd w:val="clear" w:color="auto" w:fill="auto"/>
            <w:noWrap/>
            <w:vAlign w:val="center"/>
            <w:hideMark/>
          </w:tcPr>
          <w:p w14:paraId="76ECDDA5"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0.003</w:t>
            </w:r>
          </w:p>
        </w:tc>
      </w:tr>
      <w:tr w:rsidR="00800B47" w:rsidRPr="004C2CAC" w14:paraId="281000FF" w14:textId="77777777" w:rsidTr="00F53CCB">
        <w:trPr>
          <w:trHeight w:val="500"/>
        </w:trPr>
        <w:tc>
          <w:tcPr>
            <w:tcW w:w="1511" w:type="dxa"/>
            <w:tcBorders>
              <w:top w:val="nil"/>
              <w:left w:val="nil"/>
              <w:bottom w:val="nil"/>
              <w:right w:val="nil"/>
            </w:tcBorders>
            <w:shd w:val="clear" w:color="auto" w:fill="auto"/>
            <w:noWrap/>
            <w:vAlign w:val="center"/>
            <w:hideMark/>
          </w:tcPr>
          <w:p w14:paraId="33435717"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p>
        </w:tc>
        <w:tc>
          <w:tcPr>
            <w:tcW w:w="1511" w:type="dxa"/>
            <w:tcBorders>
              <w:top w:val="nil"/>
              <w:left w:val="nil"/>
              <w:bottom w:val="nil"/>
              <w:right w:val="nil"/>
            </w:tcBorders>
            <w:shd w:val="clear" w:color="auto" w:fill="auto"/>
            <w:noWrap/>
            <w:vAlign w:val="center"/>
            <w:hideMark/>
          </w:tcPr>
          <w:p w14:paraId="3970D284"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Females</w:t>
            </w:r>
          </w:p>
        </w:tc>
        <w:tc>
          <w:tcPr>
            <w:tcW w:w="663" w:type="dxa"/>
            <w:tcBorders>
              <w:top w:val="nil"/>
              <w:left w:val="nil"/>
              <w:bottom w:val="nil"/>
              <w:right w:val="nil"/>
            </w:tcBorders>
            <w:shd w:val="clear" w:color="auto" w:fill="auto"/>
            <w:noWrap/>
            <w:vAlign w:val="center"/>
            <w:hideMark/>
          </w:tcPr>
          <w:p w14:paraId="3848DE88"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1.777</w:t>
            </w:r>
          </w:p>
        </w:tc>
        <w:tc>
          <w:tcPr>
            <w:tcW w:w="1709" w:type="dxa"/>
            <w:tcBorders>
              <w:top w:val="nil"/>
              <w:left w:val="nil"/>
              <w:bottom w:val="nil"/>
              <w:right w:val="nil"/>
            </w:tcBorders>
            <w:shd w:val="clear" w:color="auto" w:fill="auto"/>
            <w:noWrap/>
            <w:vAlign w:val="center"/>
            <w:hideMark/>
          </w:tcPr>
          <w:p w14:paraId="5E8DD34F"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(1.308, 2.246)</w:t>
            </w:r>
          </w:p>
        </w:tc>
        <w:tc>
          <w:tcPr>
            <w:tcW w:w="1511" w:type="dxa"/>
            <w:tcBorders>
              <w:top w:val="nil"/>
              <w:left w:val="nil"/>
              <w:bottom w:val="nil"/>
              <w:right w:val="nil"/>
            </w:tcBorders>
            <w:shd w:val="clear" w:color="auto" w:fill="auto"/>
            <w:vAlign w:val="center"/>
            <w:hideMark/>
          </w:tcPr>
          <w:p w14:paraId="01F0579E"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&lt; 0.001</w:t>
            </w:r>
          </w:p>
        </w:tc>
        <w:tc>
          <w:tcPr>
            <w:tcW w:w="105" w:type="dxa"/>
            <w:tcBorders>
              <w:top w:val="nil"/>
              <w:left w:val="nil"/>
              <w:bottom w:val="nil"/>
              <w:right w:val="nil"/>
            </w:tcBorders>
            <w:shd w:val="clear" w:color="auto" w:fill="auto"/>
            <w:noWrap/>
            <w:vAlign w:val="center"/>
            <w:hideMark/>
          </w:tcPr>
          <w:p w14:paraId="7C5DFAAC"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p>
        </w:tc>
        <w:tc>
          <w:tcPr>
            <w:tcW w:w="663" w:type="dxa"/>
            <w:tcBorders>
              <w:top w:val="nil"/>
              <w:left w:val="nil"/>
              <w:bottom w:val="nil"/>
              <w:right w:val="nil"/>
            </w:tcBorders>
            <w:shd w:val="clear" w:color="auto" w:fill="auto"/>
            <w:noWrap/>
            <w:vAlign w:val="center"/>
            <w:hideMark/>
          </w:tcPr>
          <w:p w14:paraId="3C66941E"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1.490</w:t>
            </w:r>
          </w:p>
        </w:tc>
        <w:tc>
          <w:tcPr>
            <w:tcW w:w="1616" w:type="dxa"/>
            <w:tcBorders>
              <w:top w:val="nil"/>
              <w:left w:val="nil"/>
              <w:bottom w:val="nil"/>
              <w:right w:val="nil"/>
            </w:tcBorders>
            <w:shd w:val="clear" w:color="auto" w:fill="auto"/>
            <w:noWrap/>
            <w:vAlign w:val="center"/>
            <w:hideMark/>
          </w:tcPr>
          <w:p w14:paraId="464D2893"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(0.965, 2.015)</w:t>
            </w:r>
          </w:p>
        </w:tc>
        <w:tc>
          <w:tcPr>
            <w:tcW w:w="1511" w:type="dxa"/>
            <w:tcBorders>
              <w:top w:val="nil"/>
              <w:left w:val="nil"/>
              <w:bottom w:val="nil"/>
              <w:right w:val="nil"/>
            </w:tcBorders>
            <w:shd w:val="clear" w:color="auto" w:fill="auto"/>
            <w:vAlign w:val="center"/>
            <w:hideMark/>
          </w:tcPr>
          <w:p w14:paraId="191A7BE7"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&lt; 0.001</w:t>
            </w:r>
          </w:p>
        </w:tc>
      </w:tr>
      <w:tr w:rsidR="00800B47" w:rsidRPr="004C2CAC" w14:paraId="24261B50" w14:textId="77777777" w:rsidTr="00F53CCB">
        <w:trPr>
          <w:trHeight w:val="500"/>
        </w:trPr>
        <w:tc>
          <w:tcPr>
            <w:tcW w:w="1511" w:type="dxa"/>
            <w:tcBorders>
              <w:top w:val="nil"/>
              <w:left w:val="nil"/>
              <w:bottom w:val="nil"/>
              <w:right w:val="nil"/>
            </w:tcBorders>
            <w:shd w:val="clear" w:color="auto" w:fill="auto"/>
            <w:noWrap/>
            <w:vAlign w:val="center"/>
            <w:hideMark/>
          </w:tcPr>
          <w:p w14:paraId="0902F355"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SES</w:t>
            </w:r>
          </w:p>
        </w:tc>
        <w:tc>
          <w:tcPr>
            <w:tcW w:w="1511" w:type="dxa"/>
            <w:tcBorders>
              <w:top w:val="nil"/>
              <w:left w:val="nil"/>
              <w:bottom w:val="nil"/>
              <w:right w:val="nil"/>
            </w:tcBorders>
            <w:shd w:val="clear" w:color="auto" w:fill="auto"/>
            <w:noWrap/>
            <w:vAlign w:val="center"/>
            <w:hideMark/>
          </w:tcPr>
          <w:p w14:paraId="513DBC4D"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All</w:t>
            </w:r>
          </w:p>
        </w:tc>
        <w:tc>
          <w:tcPr>
            <w:tcW w:w="663" w:type="dxa"/>
            <w:tcBorders>
              <w:top w:val="nil"/>
              <w:left w:val="nil"/>
              <w:bottom w:val="nil"/>
              <w:right w:val="nil"/>
            </w:tcBorders>
            <w:shd w:val="clear" w:color="auto" w:fill="auto"/>
            <w:noWrap/>
            <w:vAlign w:val="center"/>
            <w:hideMark/>
          </w:tcPr>
          <w:p w14:paraId="486DA732"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0.010</w:t>
            </w:r>
          </w:p>
        </w:tc>
        <w:tc>
          <w:tcPr>
            <w:tcW w:w="1709" w:type="dxa"/>
            <w:tcBorders>
              <w:top w:val="nil"/>
              <w:left w:val="nil"/>
              <w:bottom w:val="nil"/>
              <w:right w:val="nil"/>
            </w:tcBorders>
            <w:shd w:val="clear" w:color="auto" w:fill="auto"/>
            <w:noWrap/>
            <w:vAlign w:val="center"/>
            <w:hideMark/>
          </w:tcPr>
          <w:p w14:paraId="31B3FF1C"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(0.005, 0.015)</w:t>
            </w:r>
          </w:p>
        </w:tc>
        <w:tc>
          <w:tcPr>
            <w:tcW w:w="1511" w:type="dxa"/>
            <w:tcBorders>
              <w:top w:val="nil"/>
              <w:left w:val="nil"/>
              <w:bottom w:val="nil"/>
              <w:right w:val="nil"/>
            </w:tcBorders>
            <w:shd w:val="clear" w:color="auto" w:fill="auto"/>
            <w:vAlign w:val="center"/>
            <w:hideMark/>
          </w:tcPr>
          <w:p w14:paraId="614E95C2"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&lt; 0.001</w:t>
            </w:r>
          </w:p>
        </w:tc>
        <w:tc>
          <w:tcPr>
            <w:tcW w:w="105" w:type="dxa"/>
            <w:tcBorders>
              <w:top w:val="nil"/>
              <w:left w:val="nil"/>
              <w:bottom w:val="nil"/>
              <w:right w:val="nil"/>
            </w:tcBorders>
            <w:shd w:val="clear" w:color="auto" w:fill="auto"/>
            <w:noWrap/>
            <w:vAlign w:val="center"/>
            <w:hideMark/>
          </w:tcPr>
          <w:p w14:paraId="1ED42359"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p>
        </w:tc>
        <w:tc>
          <w:tcPr>
            <w:tcW w:w="663" w:type="dxa"/>
            <w:tcBorders>
              <w:top w:val="nil"/>
              <w:left w:val="nil"/>
              <w:bottom w:val="nil"/>
              <w:right w:val="nil"/>
            </w:tcBorders>
            <w:shd w:val="clear" w:color="auto" w:fill="auto"/>
            <w:noWrap/>
            <w:vAlign w:val="center"/>
            <w:hideMark/>
          </w:tcPr>
          <w:p w14:paraId="4B5CC813"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0.010</w:t>
            </w:r>
          </w:p>
        </w:tc>
        <w:tc>
          <w:tcPr>
            <w:tcW w:w="1616" w:type="dxa"/>
            <w:tcBorders>
              <w:top w:val="nil"/>
              <w:left w:val="nil"/>
              <w:bottom w:val="nil"/>
              <w:right w:val="nil"/>
            </w:tcBorders>
            <w:shd w:val="clear" w:color="auto" w:fill="auto"/>
            <w:noWrap/>
            <w:vAlign w:val="center"/>
            <w:hideMark/>
          </w:tcPr>
          <w:p w14:paraId="41746A54"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(0.005, 0.015)</w:t>
            </w:r>
          </w:p>
        </w:tc>
        <w:tc>
          <w:tcPr>
            <w:tcW w:w="1511" w:type="dxa"/>
            <w:tcBorders>
              <w:top w:val="nil"/>
              <w:left w:val="nil"/>
              <w:bottom w:val="nil"/>
              <w:right w:val="nil"/>
            </w:tcBorders>
            <w:shd w:val="clear" w:color="auto" w:fill="auto"/>
            <w:vAlign w:val="center"/>
            <w:hideMark/>
          </w:tcPr>
          <w:p w14:paraId="2A1FE1CC"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&lt; 0.001</w:t>
            </w:r>
          </w:p>
        </w:tc>
      </w:tr>
      <w:tr w:rsidR="00800B47" w:rsidRPr="004C2CAC" w14:paraId="0FEF7864" w14:textId="77777777" w:rsidTr="00F53CCB">
        <w:trPr>
          <w:trHeight w:val="500"/>
        </w:trPr>
        <w:tc>
          <w:tcPr>
            <w:tcW w:w="1511" w:type="dxa"/>
            <w:tcBorders>
              <w:top w:val="nil"/>
              <w:left w:val="nil"/>
              <w:bottom w:val="nil"/>
              <w:right w:val="nil"/>
            </w:tcBorders>
            <w:shd w:val="clear" w:color="auto" w:fill="auto"/>
            <w:noWrap/>
            <w:vAlign w:val="center"/>
            <w:hideMark/>
          </w:tcPr>
          <w:p w14:paraId="64F29B7C"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p>
        </w:tc>
        <w:tc>
          <w:tcPr>
            <w:tcW w:w="1511" w:type="dxa"/>
            <w:tcBorders>
              <w:top w:val="nil"/>
              <w:left w:val="nil"/>
              <w:bottom w:val="nil"/>
              <w:right w:val="nil"/>
            </w:tcBorders>
            <w:shd w:val="clear" w:color="auto" w:fill="auto"/>
            <w:noWrap/>
            <w:vAlign w:val="center"/>
            <w:hideMark/>
          </w:tcPr>
          <w:p w14:paraId="4A43D291"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Males</w:t>
            </w:r>
          </w:p>
        </w:tc>
        <w:tc>
          <w:tcPr>
            <w:tcW w:w="663" w:type="dxa"/>
            <w:tcBorders>
              <w:top w:val="nil"/>
              <w:left w:val="nil"/>
              <w:bottom w:val="nil"/>
              <w:right w:val="nil"/>
            </w:tcBorders>
            <w:shd w:val="clear" w:color="auto" w:fill="auto"/>
            <w:noWrap/>
            <w:vAlign w:val="center"/>
            <w:hideMark/>
          </w:tcPr>
          <w:p w14:paraId="26F1DB72"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0.010</w:t>
            </w:r>
          </w:p>
        </w:tc>
        <w:tc>
          <w:tcPr>
            <w:tcW w:w="1709" w:type="dxa"/>
            <w:tcBorders>
              <w:top w:val="nil"/>
              <w:left w:val="nil"/>
              <w:bottom w:val="nil"/>
              <w:right w:val="nil"/>
            </w:tcBorders>
            <w:shd w:val="clear" w:color="auto" w:fill="auto"/>
            <w:noWrap/>
            <w:vAlign w:val="center"/>
            <w:hideMark/>
          </w:tcPr>
          <w:p w14:paraId="277C64EE"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(-0.002, 0.016)</w:t>
            </w:r>
          </w:p>
        </w:tc>
        <w:tc>
          <w:tcPr>
            <w:tcW w:w="1511" w:type="dxa"/>
            <w:tcBorders>
              <w:top w:val="nil"/>
              <w:left w:val="nil"/>
              <w:bottom w:val="nil"/>
              <w:right w:val="nil"/>
            </w:tcBorders>
            <w:shd w:val="clear" w:color="auto" w:fill="auto"/>
            <w:noWrap/>
            <w:vAlign w:val="center"/>
            <w:hideMark/>
          </w:tcPr>
          <w:p w14:paraId="6A38C0FF"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0.119</w:t>
            </w:r>
          </w:p>
        </w:tc>
        <w:tc>
          <w:tcPr>
            <w:tcW w:w="105" w:type="dxa"/>
            <w:tcBorders>
              <w:top w:val="nil"/>
              <w:left w:val="nil"/>
              <w:bottom w:val="nil"/>
              <w:right w:val="nil"/>
            </w:tcBorders>
            <w:shd w:val="clear" w:color="auto" w:fill="auto"/>
            <w:noWrap/>
            <w:vAlign w:val="center"/>
            <w:hideMark/>
          </w:tcPr>
          <w:p w14:paraId="1E50DBDE"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p>
        </w:tc>
        <w:tc>
          <w:tcPr>
            <w:tcW w:w="663" w:type="dxa"/>
            <w:tcBorders>
              <w:top w:val="nil"/>
              <w:left w:val="nil"/>
              <w:bottom w:val="nil"/>
              <w:right w:val="nil"/>
            </w:tcBorders>
            <w:shd w:val="clear" w:color="auto" w:fill="auto"/>
            <w:noWrap/>
            <w:vAlign w:val="center"/>
            <w:hideMark/>
          </w:tcPr>
          <w:p w14:paraId="1F0F9656"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0.040</w:t>
            </w:r>
          </w:p>
        </w:tc>
        <w:tc>
          <w:tcPr>
            <w:tcW w:w="1616" w:type="dxa"/>
            <w:tcBorders>
              <w:top w:val="nil"/>
              <w:left w:val="nil"/>
              <w:bottom w:val="nil"/>
              <w:right w:val="nil"/>
            </w:tcBorders>
            <w:shd w:val="clear" w:color="auto" w:fill="auto"/>
            <w:noWrap/>
            <w:vAlign w:val="center"/>
            <w:hideMark/>
          </w:tcPr>
          <w:p w14:paraId="34072E0B"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(-0.05, 0.014)</w:t>
            </w:r>
          </w:p>
        </w:tc>
        <w:tc>
          <w:tcPr>
            <w:tcW w:w="1511" w:type="dxa"/>
            <w:tcBorders>
              <w:top w:val="nil"/>
              <w:left w:val="nil"/>
              <w:bottom w:val="nil"/>
              <w:right w:val="nil"/>
            </w:tcBorders>
            <w:shd w:val="clear" w:color="auto" w:fill="auto"/>
            <w:noWrap/>
            <w:vAlign w:val="center"/>
            <w:hideMark/>
          </w:tcPr>
          <w:p w14:paraId="127E3CCE"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0.381</w:t>
            </w:r>
          </w:p>
        </w:tc>
      </w:tr>
      <w:tr w:rsidR="00800B47" w:rsidRPr="004C2CAC" w14:paraId="60B394B5" w14:textId="77777777" w:rsidTr="00F53CCB">
        <w:trPr>
          <w:trHeight w:val="500"/>
        </w:trPr>
        <w:tc>
          <w:tcPr>
            <w:tcW w:w="1511" w:type="dxa"/>
            <w:tcBorders>
              <w:top w:val="nil"/>
              <w:left w:val="nil"/>
              <w:bottom w:val="single" w:sz="4" w:space="0" w:color="auto"/>
              <w:right w:val="nil"/>
            </w:tcBorders>
            <w:shd w:val="clear" w:color="auto" w:fill="auto"/>
            <w:noWrap/>
            <w:vAlign w:val="center"/>
            <w:hideMark/>
          </w:tcPr>
          <w:p w14:paraId="70EA47BA"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 </w:t>
            </w:r>
          </w:p>
        </w:tc>
        <w:tc>
          <w:tcPr>
            <w:tcW w:w="1511" w:type="dxa"/>
            <w:tcBorders>
              <w:top w:val="nil"/>
              <w:left w:val="nil"/>
              <w:bottom w:val="single" w:sz="4" w:space="0" w:color="auto"/>
              <w:right w:val="nil"/>
            </w:tcBorders>
            <w:shd w:val="clear" w:color="auto" w:fill="auto"/>
            <w:noWrap/>
            <w:vAlign w:val="center"/>
            <w:hideMark/>
          </w:tcPr>
          <w:p w14:paraId="66CE9BA3"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Females</w:t>
            </w:r>
          </w:p>
        </w:tc>
        <w:tc>
          <w:tcPr>
            <w:tcW w:w="663" w:type="dxa"/>
            <w:tcBorders>
              <w:top w:val="nil"/>
              <w:left w:val="nil"/>
              <w:bottom w:val="single" w:sz="4" w:space="0" w:color="auto"/>
              <w:right w:val="nil"/>
            </w:tcBorders>
            <w:shd w:val="clear" w:color="auto" w:fill="auto"/>
            <w:noWrap/>
            <w:vAlign w:val="center"/>
            <w:hideMark/>
          </w:tcPr>
          <w:p w14:paraId="1F3599CD"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0.010</w:t>
            </w:r>
          </w:p>
        </w:tc>
        <w:tc>
          <w:tcPr>
            <w:tcW w:w="1709" w:type="dxa"/>
            <w:tcBorders>
              <w:top w:val="nil"/>
              <w:left w:val="nil"/>
              <w:bottom w:val="single" w:sz="4" w:space="0" w:color="auto"/>
              <w:right w:val="nil"/>
            </w:tcBorders>
            <w:shd w:val="clear" w:color="auto" w:fill="auto"/>
            <w:noWrap/>
            <w:vAlign w:val="center"/>
            <w:hideMark/>
          </w:tcPr>
          <w:p w14:paraId="665A224A"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(0.004, 0.016)</w:t>
            </w:r>
          </w:p>
        </w:tc>
        <w:tc>
          <w:tcPr>
            <w:tcW w:w="1511" w:type="dxa"/>
            <w:tcBorders>
              <w:top w:val="nil"/>
              <w:left w:val="nil"/>
              <w:bottom w:val="single" w:sz="4" w:space="0" w:color="auto"/>
              <w:right w:val="nil"/>
            </w:tcBorders>
            <w:shd w:val="clear" w:color="auto" w:fill="auto"/>
            <w:noWrap/>
            <w:vAlign w:val="center"/>
            <w:hideMark/>
          </w:tcPr>
          <w:p w14:paraId="2AE26267"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0.001</w:t>
            </w:r>
          </w:p>
        </w:tc>
        <w:tc>
          <w:tcPr>
            <w:tcW w:w="105" w:type="dxa"/>
            <w:tcBorders>
              <w:top w:val="nil"/>
              <w:left w:val="nil"/>
              <w:bottom w:val="single" w:sz="4" w:space="0" w:color="auto"/>
              <w:right w:val="nil"/>
            </w:tcBorders>
            <w:shd w:val="clear" w:color="auto" w:fill="auto"/>
            <w:noWrap/>
            <w:vAlign w:val="center"/>
            <w:hideMark/>
          </w:tcPr>
          <w:p w14:paraId="49E5C403"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 </w:t>
            </w:r>
          </w:p>
        </w:tc>
        <w:tc>
          <w:tcPr>
            <w:tcW w:w="663" w:type="dxa"/>
            <w:tcBorders>
              <w:top w:val="nil"/>
              <w:left w:val="nil"/>
              <w:bottom w:val="single" w:sz="4" w:space="0" w:color="auto"/>
              <w:right w:val="nil"/>
            </w:tcBorders>
            <w:shd w:val="clear" w:color="auto" w:fill="auto"/>
            <w:noWrap/>
            <w:vAlign w:val="center"/>
            <w:hideMark/>
          </w:tcPr>
          <w:p w14:paraId="0E9D8295"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0.007</w:t>
            </w:r>
          </w:p>
        </w:tc>
        <w:tc>
          <w:tcPr>
            <w:tcW w:w="1616" w:type="dxa"/>
            <w:tcBorders>
              <w:top w:val="nil"/>
              <w:left w:val="nil"/>
              <w:bottom w:val="single" w:sz="4" w:space="0" w:color="auto"/>
              <w:right w:val="nil"/>
            </w:tcBorders>
            <w:shd w:val="clear" w:color="auto" w:fill="auto"/>
            <w:noWrap/>
            <w:vAlign w:val="center"/>
            <w:hideMark/>
          </w:tcPr>
          <w:p w14:paraId="4BA7394A" w14:textId="77777777" w:rsidR="00800B47" w:rsidRPr="004C2CAC" w:rsidRDefault="00800B47" w:rsidP="00F53CCB">
            <w:pPr>
              <w:spacing w:after="0" w:line="480" w:lineRule="auto"/>
              <w:jc w:val="center"/>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(0.001, 0.013)</w:t>
            </w:r>
          </w:p>
        </w:tc>
        <w:tc>
          <w:tcPr>
            <w:tcW w:w="1511" w:type="dxa"/>
            <w:tcBorders>
              <w:top w:val="nil"/>
              <w:left w:val="nil"/>
              <w:bottom w:val="single" w:sz="4" w:space="0" w:color="auto"/>
              <w:right w:val="nil"/>
            </w:tcBorders>
            <w:shd w:val="clear" w:color="auto" w:fill="auto"/>
            <w:noWrap/>
            <w:vAlign w:val="center"/>
            <w:hideMark/>
          </w:tcPr>
          <w:p w14:paraId="694D9755" w14:textId="77777777" w:rsidR="00800B47" w:rsidRPr="004C2CAC" w:rsidRDefault="00800B47" w:rsidP="00F53CCB">
            <w:pPr>
              <w:spacing w:after="0" w:line="480" w:lineRule="auto"/>
              <w:jc w:val="center"/>
              <w:rPr>
                <w:rFonts w:ascii="Times New Roman" w:eastAsia="Times New Roman" w:hAnsi="Times New Roman" w:cs="Times New Roman"/>
                <w:b/>
                <w:bCs/>
                <w:color w:val="000000"/>
                <w:sz w:val="24"/>
                <w:szCs w:val="24"/>
              </w:rPr>
            </w:pPr>
            <w:r w:rsidRPr="004C2CAC">
              <w:rPr>
                <w:rFonts w:ascii="Times New Roman" w:eastAsia="Times New Roman" w:hAnsi="Times New Roman" w:cs="Times New Roman"/>
                <w:b/>
                <w:bCs/>
                <w:color w:val="000000"/>
                <w:sz w:val="24"/>
                <w:szCs w:val="24"/>
              </w:rPr>
              <w:t>0.029</w:t>
            </w:r>
          </w:p>
        </w:tc>
      </w:tr>
      <w:tr w:rsidR="00800B47" w:rsidRPr="004C2CAC" w14:paraId="5868D948" w14:textId="77777777" w:rsidTr="00F53CCB">
        <w:trPr>
          <w:trHeight w:val="1900"/>
        </w:trPr>
        <w:tc>
          <w:tcPr>
            <w:tcW w:w="10800" w:type="dxa"/>
            <w:gridSpan w:val="9"/>
            <w:tcBorders>
              <w:top w:val="single" w:sz="4" w:space="0" w:color="auto"/>
              <w:left w:val="nil"/>
              <w:bottom w:val="nil"/>
              <w:right w:val="nil"/>
            </w:tcBorders>
            <w:shd w:val="clear" w:color="auto" w:fill="auto"/>
            <w:vAlign w:val="center"/>
            <w:hideMark/>
          </w:tcPr>
          <w:p w14:paraId="645CD51E" w14:textId="77777777" w:rsidR="00800B47" w:rsidRPr="004C2CAC" w:rsidRDefault="00800B47" w:rsidP="00F53CCB">
            <w:pPr>
              <w:spacing w:after="0" w:line="480" w:lineRule="auto"/>
              <w:rPr>
                <w:rFonts w:ascii="Times New Roman" w:eastAsia="Times New Roman" w:hAnsi="Times New Roman" w:cs="Times New Roman"/>
                <w:color w:val="000000"/>
                <w:sz w:val="24"/>
                <w:szCs w:val="24"/>
              </w:rPr>
            </w:pPr>
            <w:r w:rsidRPr="004C2CAC">
              <w:rPr>
                <w:rFonts w:ascii="Times New Roman" w:eastAsia="Times New Roman" w:hAnsi="Times New Roman" w:cs="Times New Roman"/>
                <w:color w:val="000000"/>
                <w:sz w:val="24"/>
                <w:szCs w:val="24"/>
              </w:rPr>
              <w:t xml:space="preserve"> a. Based on a simple linear regression model considering diabetes knowledge (in continuous) as dependent variable and education (dichotomized, primary or lower vs. secondary or higher) or SES as the covariate of interest. b. Based on a multivariable linear regression model considering diabetes knowledge (in continuous) as </w:t>
            </w:r>
            <w:r w:rsidRPr="004C2CAC">
              <w:rPr>
                <w:rFonts w:ascii="Times New Roman" w:eastAsia="Times New Roman" w:hAnsi="Times New Roman" w:cs="Times New Roman"/>
                <w:color w:val="000000"/>
                <w:sz w:val="24"/>
                <w:szCs w:val="24"/>
              </w:rPr>
              <w:lastRenderedPageBreak/>
              <w:t xml:space="preserve">dependent variable, education (dichotomized, primary or lower vs. secondary or higher) or SES as the covariate of interest and age and gender (only for the full group) as covariates. SES: Socioeconomic status.  </w:t>
            </w:r>
          </w:p>
        </w:tc>
      </w:tr>
    </w:tbl>
    <w:p w14:paraId="496482E3" w14:textId="77777777" w:rsidR="00800B47" w:rsidRPr="004C3D5E" w:rsidRDefault="00800B47" w:rsidP="00800B47">
      <w:pPr>
        <w:spacing w:line="480" w:lineRule="auto"/>
        <w:jc w:val="both"/>
        <w:rPr>
          <w:rFonts w:ascii="Times New Roman" w:hAnsi="Times New Roman" w:cs="Times New Roman"/>
          <w:sz w:val="24"/>
          <w:szCs w:val="24"/>
          <w:lang w:val="es-ES_tradnl"/>
        </w:rPr>
      </w:pPr>
    </w:p>
    <w:p w14:paraId="2FFE0F3D" w14:textId="77777777" w:rsidR="00800B47" w:rsidRPr="007B29EF" w:rsidRDefault="00800B47" w:rsidP="00800B47">
      <w:pPr>
        <w:autoSpaceDE w:val="0"/>
        <w:autoSpaceDN w:val="0"/>
        <w:adjustRightInd w:val="0"/>
        <w:spacing w:after="0" w:line="480" w:lineRule="auto"/>
        <w:jc w:val="both"/>
        <w:rPr>
          <w:rFonts w:ascii="Times New Roman" w:hAnsi="Times New Roman" w:cs="Times New Roman"/>
          <w:sz w:val="24"/>
          <w:szCs w:val="24"/>
        </w:rPr>
        <w:sectPr w:rsidR="00800B47" w:rsidRPr="007B29EF" w:rsidSect="00FF16EB">
          <w:pgSz w:w="15840" w:h="12240" w:orient="landscape"/>
          <w:pgMar w:top="1701" w:right="1417" w:bottom="1701" w:left="1417" w:header="708" w:footer="708" w:gutter="0"/>
          <w:cols w:space="708"/>
          <w:docGrid w:linePitch="360"/>
        </w:sectPr>
      </w:pPr>
    </w:p>
    <w:p w14:paraId="409B69A8" w14:textId="77777777" w:rsidR="00800B47" w:rsidRDefault="00800B47" w:rsidP="00800B47">
      <w:pPr>
        <w:autoSpaceDE w:val="0"/>
        <w:autoSpaceDN w:val="0"/>
        <w:adjustRightInd w:val="0"/>
        <w:spacing w:after="0" w:line="480" w:lineRule="auto"/>
        <w:rPr>
          <w:rFonts w:ascii="Times New Roman" w:hAnsi="Times New Roman" w:cs="Times New Roman"/>
          <w:b/>
          <w:sz w:val="24"/>
          <w:szCs w:val="24"/>
        </w:rPr>
      </w:pPr>
    </w:p>
    <w:p w14:paraId="25312B59" w14:textId="77777777" w:rsidR="00800B47" w:rsidRPr="003A12AE" w:rsidRDefault="00800B47" w:rsidP="00800B47">
      <w:pPr>
        <w:autoSpaceDE w:val="0"/>
        <w:autoSpaceDN w:val="0"/>
        <w:adjustRightInd w:val="0"/>
        <w:spacing w:after="0" w:line="480" w:lineRule="auto"/>
        <w:rPr>
          <w:rFonts w:ascii="Times New Roman" w:hAnsi="Times New Roman" w:cs="Times New Roman"/>
          <w:b/>
          <w:sz w:val="24"/>
          <w:szCs w:val="24"/>
        </w:rPr>
        <w:sectPr w:rsidR="00800B47" w:rsidRPr="003A12AE" w:rsidSect="004C3D5E">
          <w:pgSz w:w="15840" w:h="12240" w:orient="landscape"/>
          <w:pgMar w:top="1701" w:right="1417" w:bottom="1701" w:left="1417" w:header="708" w:footer="708" w:gutter="0"/>
          <w:cols w:space="708"/>
          <w:docGrid w:linePitch="360"/>
        </w:sectPr>
      </w:pPr>
    </w:p>
    <w:p w14:paraId="6A58BC96" w14:textId="77777777" w:rsidR="00800B47" w:rsidRPr="007B29EF" w:rsidRDefault="00800B47" w:rsidP="00800B47">
      <w:pPr>
        <w:autoSpaceDE w:val="0"/>
        <w:autoSpaceDN w:val="0"/>
        <w:adjustRightInd w:val="0"/>
        <w:spacing w:after="0" w:line="480" w:lineRule="auto"/>
        <w:rPr>
          <w:rFonts w:ascii="Times New Roman" w:hAnsi="Times New Roman" w:cs="Times New Roman"/>
          <w:b/>
          <w:sz w:val="24"/>
          <w:szCs w:val="24"/>
        </w:rPr>
      </w:pPr>
      <w:r w:rsidRPr="007B29EF">
        <w:rPr>
          <w:rFonts w:ascii="Times New Roman" w:hAnsi="Times New Roman" w:cs="Times New Roman"/>
          <w:b/>
          <w:sz w:val="24"/>
          <w:szCs w:val="24"/>
        </w:rPr>
        <w:lastRenderedPageBreak/>
        <w:t>SUPPLEMENTARY FIGURES</w:t>
      </w:r>
    </w:p>
    <w:p w14:paraId="6947BCBA" w14:textId="77777777" w:rsidR="00800B47" w:rsidRPr="00012718" w:rsidRDefault="00800B47" w:rsidP="00800B47">
      <w:pPr>
        <w:autoSpaceDE w:val="0"/>
        <w:autoSpaceDN w:val="0"/>
        <w:adjustRightInd w:val="0"/>
        <w:spacing w:after="0" w:line="480" w:lineRule="auto"/>
        <w:rPr>
          <w:rFonts w:ascii="Times New Roman" w:hAnsi="Times New Roman" w:cs="Times New Roman"/>
          <w:sz w:val="24"/>
          <w:szCs w:val="24"/>
          <w:lang w:val="es-ES_tradnl"/>
        </w:rPr>
      </w:pPr>
      <w:r w:rsidRPr="007B29EF">
        <w:rPr>
          <w:rFonts w:ascii="Times New Roman" w:hAnsi="Times New Roman" w:cs="Times New Roman"/>
          <w:b/>
          <w:sz w:val="24"/>
          <w:szCs w:val="24"/>
        </w:rPr>
        <w:t xml:space="preserve">Supplementary </w:t>
      </w:r>
      <w:r w:rsidRPr="007B29EF">
        <w:rPr>
          <w:rFonts w:ascii="Times New Roman" w:hAnsi="Times New Roman" w:cs="Times New Roman"/>
          <w:b/>
          <w:bCs/>
          <w:sz w:val="24"/>
          <w:szCs w:val="24"/>
        </w:rPr>
        <w:t>Figure 1</w:t>
      </w:r>
      <w:r w:rsidRPr="007B29EF">
        <w:rPr>
          <w:rFonts w:ascii="Times New Roman" w:hAnsi="Times New Roman" w:cs="Times New Roman"/>
          <w:sz w:val="24"/>
          <w:szCs w:val="24"/>
        </w:rPr>
        <w:t>. Socioeconomic score by education level in patients with type 2 diabetes mellitus in Mexico City (n=513). *</w:t>
      </w:r>
      <w:r w:rsidRPr="007B29EF">
        <w:rPr>
          <w:rFonts w:ascii="Times New Roman" w:hAnsi="Times New Roman" w:cs="Times New Roman"/>
          <w:i/>
          <w:iCs/>
          <w:sz w:val="24"/>
          <w:szCs w:val="24"/>
        </w:rPr>
        <w:t>p</w:t>
      </w:r>
      <w:r w:rsidRPr="007B29EF">
        <w:rPr>
          <w:rFonts w:ascii="Times New Roman" w:hAnsi="Times New Roman" w:cs="Times New Roman"/>
          <w:sz w:val="24"/>
          <w:szCs w:val="24"/>
        </w:rPr>
        <w:t>-value &lt; 0.01; **</w:t>
      </w:r>
      <w:r w:rsidRPr="007B29EF">
        <w:rPr>
          <w:rFonts w:ascii="Times New Roman" w:hAnsi="Times New Roman" w:cs="Times New Roman"/>
          <w:i/>
          <w:iCs/>
          <w:sz w:val="24"/>
          <w:szCs w:val="24"/>
        </w:rPr>
        <w:t>p</w:t>
      </w:r>
      <w:r w:rsidRPr="007B29EF">
        <w:rPr>
          <w:rFonts w:ascii="Times New Roman" w:hAnsi="Times New Roman" w:cs="Times New Roman"/>
          <w:sz w:val="24"/>
          <w:szCs w:val="24"/>
        </w:rPr>
        <w:t xml:space="preserve">-value &lt; 0.001, Kruskal-Wallis test. </w:t>
      </w:r>
    </w:p>
    <w:p w14:paraId="00201D8A" w14:textId="77777777" w:rsidR="00800B47" w:rsidRPr="007B29EF" w:rsidRDefault="00800B47" w:rsidP="00800B47">
      <w:pPr>
        <w:autoSpaceDE w:val="0"/>
        <w:autoSpaceDN w:val="0"/>
        <w:adjustRightInd w:val="0"/>
        <w:spacing w:after="0" w:line="480" w:lineRule="auto"/>
        <w:jc w:val="both"/>
        <w:rPr>
          <w:rFonts w:ascii="Times New Roman" w:hAnsi="Times New Roman" w:cs="Times New Roman"/>
          <w:sz w:val="24"/>
          <w:szCs w:val="24"/>
        </w:rPr>
      </w:pPr>
      <w:r w:rsidRPr="007B29EF">
        <w:rPr>
          <w:rFonts w:ascii="Times New Roman" w:hAnsi="Times New Roman" w:cs="Times New Roman"/>
          <w:noProof/>
          <w:sz w:val="24"/>
          <w:szCs w:val="24"/>
        </w:rPr>
        <w:drawing>
          <wp:inline distT="0" distB="0" distL="0" distR="0" wp14:anchorId="2EBFA447" wp14:editId="090E0FFD">
            <wp:extent cx="5486400" cy="3468370"/>
            <wp:effectExtent l="0" t="0" r="0" b="1143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
                    <a:stretch>
                      <a:fillRect/>
                    </a:stretch>
                  </pic:blipFill>
                  <pic:spPr>
                    <a:xfrm>
                      <a:off x="0" y="0"/>
                      <a:ext cx="5486400" cy="3468370"/>
                    </a:xfrm>
                    <a:prstGeom prst="rect">
                      <a:avLst/>
                    </a:prstGeom>
                  </pic:spPr>
                </pic:pic>
              </a:graphicData>
            </a:graphic>
          </wp:inline>
        </w:drawing>
      </w:r>
    </w:p>
    <w:p w14:paraId="6B19F52C" w14:textId="77777777" w:rsidR="00800B47" w:rsidRDefault="00800B47" w:rsidP="00800B47">
      <w:pPr>
        <w:rPr>
          <w:rFonts w:ascii="Times New Roman" w:hAnsi="Times New Roman" w:cs="Times New Roman"/>
          <w:sz w:val="24"/>
          <w:szCs w:val="24"/>
        </w:rPr>
      </w:pPr>
    </w:p>
    <w:p w14:paraId="5DDF821C" w14:textId="77777777" w:rsidR="00800B47" w:rsidRDefault="00800B47" w:rsidP="00800B47">
      <w:pPr>
        <w:rPr>
          <w:rFonts w:ascii="Times New Roman" w:hAnsi="Times New Roman" w:cs="Times New Roman"/>
          <w:sz w:val="24"/>
          <w:szCs w:val="24"/>
        </w:rPr>
      </w:pPr>
    </w:p>
    <w:p w14:paraId="628F4E67" w14:textId="77777777" w:rsidR="00800B47" w:rsidRPr="007B29EF" w:rsidRDefault="00800B47" w:rsidP="00800B47">
      <w:pPr>
        <w:spacing w:after="0"/>
        <w:jc w:val="center"/>
        <w:rPr>
          <w:rFonts w:ascii="Times New Roman" w:hAnsi="Times New Roman" w:cs="Times New Roman"/>
          <w:sz w:val="24"/>
          <w:szCs w:val="24"/>
        </w:rPr>
      </w:pPr>
    </w:p>
    <w:p w14:paraId="654B76E5" w14:textId="77777777" w:rsidR="00A23980" w:rsidRDefault="00A23980"/>
    <w:sectPr w:rsidR="00A23980" w:rsidSect="00031F4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B47"/>
    <w:rsid w:val="0000710B"/>
    <w:rsid w:val="00030E5A"/>
    <w:rsid w:val="000849AE"/>
    <w:rsid w:val="001073A8"/>
    <w:rsid w:val="001125CC"/>
    <w:rsid w:val="0012224E"/>
    <w:rsid w:val="001243C5"/>
    <w:rsid w:val="001352C2"/>
    <w:rsid w:val="00137006"/>
    <w:rsid w:val="00165D3F"/>
    <w:rsid w:val="001B1347"/>
    <w:rsid w:val="001B14C4"/>
    <w:rsid w:val="001C71C1"/>
    <w:rsid w:val="001D309D"/>
    <w:rsid w:val="0020697D"/>
    <w:rsid w:val="00207AFD"/>
    <w:rsid w:val="00270D29"/>
    <w:rsid w:val="00286E44"/>
    <w:rsid w:val="002B50FA"/>
    <w:rsid w:val="002D4445"/>
    <w:rsid w:val="002E2BBE"/>
    <w:rsid w:val="002E4125"/>
    <w:rsid w:val="002E6AA6"/>
    <w:rsid w:val="002F64B0"/>
    <w:rsid w:val="00300C79"/>
    <w:rsid w:val="00303A37"/>
    <w:rsid w:val="00313DC1"/>
    <w:rsid w:val="003517CC"/>
    <w:rsid w:val="0036692A"/>
    <w:rsid w:val="0037244C"/>
    <w:rsid w:val="003809E9"/>
    <w:rsid w:val="003873B1"/>
    <w:rsid w:val="00392514"/>
    <w:rsid w:val="00403800"/>
    <w:rsid w:val="00404539"/>
    <w:rsid w:val="0041329F"/>
    <w:rsid w:val="00476328"/>
    <w:rsid w:val="004B2A32"/>
    <w:rsid w:val="00500F4E"/>
    <w:rsid w:val="00522F9B"/>
    <w:rsid w:val="00544DD0"/>
    <w:rsid w:val="00557E45"/>
    <w:rsid w:val="00560ED6"/>
    <w:rsid w:val="00594774"/>
    <w:rsid w:val="005B01F0"/>
    <w:rsid w:val="005B0F65"/>
    <w:rsid w:val="005E40F8"/>
    <w:rsid w:val="00612E9A"/>
    <w:rsid w:val="00631D0B"/>
    <w:rsid w:val="006450FF"/>
    <w:rsid w:val="00646B68"/>
    <w:rsid w:val="00655550"/>
    <w:rsid w:val="0066629B"/>
    <w:rsid w:val="00682B64"/>
    <w:rsid w:val="00691825"/>
    <w:rsid w:val="006A06A2"/>
    <w:rsid w:val="006D04FB"/>
    <w:rsid w:val="006E1F05"/>
    <w:rsid w:val="007033B3"/>
    <w:rsid w:val="0072703F"/>
    <w:rsid w:val="007971BE"/>
    <w:rsid w:val="007D0B0D"/>
    <w:rsid w:val="007E0331"/>
    <w:rsid w:val="007E5150"/>
    <w:rsid w:val="007E70CA"/>
    <w:rsid w:val="007F7984"/>
    <w:rsid w:val="00800B47"/>
    <w:rsid w:val="008027C3"/>
    <w:rsid w:val="00821C17"/>
    <w:rsid w:val="008359B6"/>
    <w:rsid w:val="00871CBB"/>
    <w:rsid w:val="0087692B"/>
    <w:rsid w:val="008933D0"/>
    <w:rsid w:val="008B39C3"/>
    <w:rsid w:val="008F44AF"/>
    <w:rsid w:val="008F6D53"/>
    <w:rsid w:val="00916C1B"/>
    <w:rsid w:val="00942DA8"/>
    <w:rsid w:val="00966473"/>
    <w:rsid w:val="00967A85"/>
    <w:rsid w:val="00993254"/>
    <w:rsid w:val="00993B28"/>
    <w:rsid w:val="009C059F"/>
    <w:rsid w:val="009C2589"/>
    <w:rsid w:val="009D2507"/>
    <w:rsid w:val="009E1B81"/>
    <w:rsid w:val="00A04ADD"/>
    <w:rsid w:val="00A05D1C"/>
    <w:rsid w:val="00A23980"/>
    <w:rsid w:val="00AD41A1"/>
    <w:rsid w:val="00AD7123"/>
    <w:rsid w:val="00B35F6D"/>
    <w:rsid w:val="00B51A24"/>
    <w:rsid w:val="00B6474B"/>
    <w:rsid w:val="00B73CEA"/>
    <w:rsid w:val="00B743C2"/>
    <w:rsid w:val="00BC0161"/>
    <w:rsid w:val="00BC1B7A"/>
    <w:rsid w:val="00BD43EB"/>
    <w:rsid w:val="00BD4D48"/>
    <w:rsid w:val="00C01664"/>
    <w:rsid w:val="00C019AA"/>
    <w:rsid w:val="00C06715"/>
    <w:rsid w:val="00C77D7E"/>
    <w:rsid w:val="00C809C1"/>
    <w:rsid w:val="00C97854"/>
    <w:rsid w:val="00CB005A"/>
    <w:rsid w:val="00CB68A5"/>
    <w:rsid w:val="00CC1029"/>
    <w:rsid w:val="00CE4FB5"/>
    <w:rsid w:val="00D20A68"/>
    <w:rsid w:val="00D26D84"/>
    <w:rsid w:val="00D74097"/>
    <w:rsid w:val="00DA6A9A"/>
    <w:rsid w:val="00DB469F"/>
    <w:rsid w:val="00DB71D1"/>
    <w:rsid w:val="00DC2CA1"/>
    <w:rsid w:val="00DD7407"/>
    <w:rsid w:val="00DE0FCA"/>
    <w:rsid w:val="00DE7585"/>
    <w:rsid w:val="00E053EA"/>
    <w:rsid w:val="00E23C9C"/>
    <w:rsid w:val="00E358E0"/>
    <w:rsid w:val="00E40CB5"/>
    <w:rsid w:val="00E44ECE"/>
    <w:rsid w:val="00E64AAD"/>
    <w:rsid w:val="00E763E3"/>
    <w:rsid w:val="00E77B8E"/>
    <w:rsid w:val="00E82AB0"/>
    <w:rsid w:val="00EA1F35"/>
    <w:rsid w:val="00EA7C73"/>
    <w:rsid w:val="00EB629F"/>
    <w:rsid w:val="00ED1733"/>
    <w:rsid w:val="00EE790E"/>
    <w:rsid w:val="00EF0D5E"/>
    <w:rsid w:val="00F15FAF"/>
    <w:rsid w:val="00F33E0B"/>
    <w:rsid w:val="00F53DC9"/>
    <w:rsid w:val="00F640A5"/>
    <w:rsid w:val="00F76118"/>
    <w:rsid w:val="00F94333"/>
    <w:rsid w:val="00FC6F71"/>
    <w:rsid w:val="00FD1609"/>
    <w:rsid w:val="00FD6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CA68BB"/>
  <w15:chartTrackingRefBased/>
  <w15:docId w15:val="{6F69C505-CAD2-3F44-B642-4C188F409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B47"/>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272</Words>
  <Characters>1556</Characters>
  <Application>Microsoft Office Word</Application>
  <DocSecurity>0</DocSecurity>
  <Lines>12</Lines>
  <Paragraphs>3</Paragraphs>
  <ScaleCrop>false</ScaleCrop>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Prada Ortega, Diddier G.</dc:creator>
  <cp:keywords/>
  <dc:description/>
  <cp:lastModifiedBy>Prada Ortega, Diddier G.</cp:lastModifiedBy>
  <cp:revision>1</cp:revision>
  <dcterms:created xsi:type="dcterms:W3CDTF">2020-07-17T10:30:00Z</dcterms:created>
  <dcterms:modified xsi:type="dcterms:W3CDTF">2020-07-17T10:31:00Z</dcterms:modified>
</cp:coreProperties>
</file>