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115361" w14:textId="7C1887AA" w:rsidR="006E59BB" w:rsidRPr="00AD57C8" w:rsidRDefault="00264116" w:rsidP="006E59BB">
      <w:pPr>
        <w:pStyle w:val="berschrift1"/>
        <w:jc w:val="center"/>
        <w:rPr>
          <w:rFonts w:ascii="Times New Roman" w:hAnsi="Times New Roman" w:cs="Times New Roman"/>
          <w:b/>
          <w:color w:val="000000" w:themeColor="text1"/>
          <w:sz w:val="28"/>
        </w:rPr>
      </w:pPr>
      <w:r w:rsidRPr="00AD57C8">
        <w:rPr>
          <w:rFonts w:ascii="Times New Roman" w:hAnsi="Times New Roman" w:cs="Times New Roman"/>
          <w:b/>
          <w:color w:val="000000" w:themeColor="text1"/>
          <w:sz w:val="28"/>
        </w:rPr>
        <w:t xml:space="preserve">SM1. </w:t>
      </w:r>
      <w:r w:rsidR="006E59BB" w:rsidRPr="00AD57C8">
        <w:rPr>
          <w:rFonts w:ascii="Times New Roman" w:hAnsi="Times New Roman" w:cs="Times New Roman"/>
          <w:b/>
          <w:color w:val="000000" w:themeColor="text1"/>
          <w:sz w:val="28"/>
        </w:rPr>
        <w:t>Methods</w:t>
      </w:r>
    </w:p>
    <w:p w14:paraId="742F9976" w14:textId="21CF15B9" w:rsidR="00760971" w:rsidRDefault="0061333A" w:rsidP="0061333A">
      <w:pPr>
        <w:pStyle w:val="berschrift2"/>
      </w:pPr>
      <w:r>
        <w:t>1.1</w:t>
      </w:r>
      <w:r w:rsidR="007157F6">
        <w:t>.</w:t>
      </w:r>
      <w:r>
        <w:t xml:space="preserve"> </w:t>
      </w:r>
      <w:r w:rsidR="00760971">
        <w:t>Participants</w:t>
      </w:r>
    </w:p>
    <w:p w14:paraId="514F36BA" w14:textId="67D25C29" w:rsidR="00FE4F4C" w:rsidRDefault="00FE4F4C" w:rsidP="00FE4F4C">
      <w:pPr>
        <w:pStyle w:val="StandardWeb"/>
        <w:spacing w:before="240" w:beforeAutospacing="0" w:after="240" w:afterAutospacing="0" w:line="480" w:lineRule="auto"/>
        <w:ind w:firstLine="720"/>
        <w:jc w:val="both"/>
      </w:pPr>
      <w:r>
        <w:t>The recruitment of participants was conducted via social media and the participant pool of our institute. Exclusion criteria</w:t>
      </w:r>
      <w:r w:rsidR="007F1978">
        <w:t xml:space="preserve"> were</w:t>
      </w:r>
      <w:r>
        <w:t xml:space="preserve"> </w:t>
      </w:r>
      <w:r w:rsidRPr="00DD38B8">
        <w:t>current or lifetime psychiatric diagnosis, psychopharma</w:t>
      </w:r>
      <w:r w:rsidR="00CC04B5">
        <w:softHyphen/>
      </w:r>
      <w:r w:rsidRPr="00DD38B8">
        <w:t>cological treatment, current or past psychotherapy, neurological or severe somatic disease</w:t>
      </w:r>
      <w:r w:rsidR="00A678C1">
        <w:t>,</w:t>
      </w:r>
      <w:r w:rsidRPr="00DD38B8">
        <w:t xml:space="preserve"> </w:t>
      </w:r>
      <w:r>
        <w:t xml:space="preserve">prior participation in a gambling study </w:t>
      </w:r>
      <w:r w:rsidRPr="00DD38B8">
        <w:t>and pregnancy.</w:t>
      </w:r>
      <w:r w:rsidR="004523CA">
        <w:t xml:space="preserve"> One participant was excluded due to </w:t>
      </w:r>
      <w:r w:rsidR="002473F6">
        <w:t xml:space="preserve">a </w:t>
      </w:r>
      <w:bookmarkStart w:id="0" w:name="_GoBack"/>
      <w:bookmarkEnd w:id="0"/>
      <w:r w:rsidR="004523CA">
        <w:t>misunderstanding of the experimental paradigm.</w:t>
      </w:r>
    </w:p>
    <w:p w14:paraId="0A9AC13A" w14:textId="3C923C3E" w:rsidR="005C2670" w:rsidRDefault="005C2670" w:rsidP="00FE4F4C">
      <w:pPr>
        <w:pStyle w:val="StandardWeb"/>
        <w:spacing w:before="240" w:beforeAutospacing="0" w:after="240" w:afterAutospacing="0" w:line="480" w:lineRule="auto"/>
        <w:ind w:firstLine="720"/>
        <w:jc w:val="both"/>
      </w:pPr>
      <w:r>
        <w:t>BDI-II scores</w:t>
      </w:r>
      <w:r w:rsidR="00F60590">
        <w:t xml:space="preserve"> were measured to exclude </w:t>
      </w:r>
      <w:r w:rsidR="008C3FAF">
        <w:t>participants</w:t>
      </w:r>
      <w:r w:rsidR="00F60590">
        <w:t xml:space="preserve"> with</w:t>
      </w:r>
      <w:r w:rsidR="008C3FAF">
        <w:t xml:space="preserve"> even moderate </w:t>
      </w:r>
      <w:r w:rsidR="00F60590">
        <w:t>signs of depression</w:t>
      </w:r>
      <w:r w:rsidR="008C3FAF">
        <w:t xml:space="preserve"> to prevent potentially adverse effects of the inhibitory vmPFC stimulation on mood</w:t>
      </w:r>
      <w:r>
        <w:t>.</w:t>
      </w:r>
      <w:r w:rsidR="008C3FAF">
        <w:t xml:space="preserve"> No participant had to be excluded from the study due to this criterion.</w:t>
      </w:r>
    </w:p>
    <w:p w14:paraId="66855EB0" w14:textId="77777777" w:rsidR="007238C3" w:rsidRPr="006825A4" w:rsidRDefault="007238C3" w:rsidP="007238C3">
      <w:pPr>
        <w:pStyle w:val="StandardWeb"/>
        <w:spacing w:before="240" w:beforeAutospacing="0" w:after="240" w:afterAutospacing="0" w:line="480" w:lineRule="auto"/>
        <w:ind w:firstLine="720"/>
        <w:jc w:val="both"/>
      </w:pPr>
      <w:r>
        <w:t>The r</w:t>
      </w:r>
      <w:r w:rsidRPr="006825A4">
        <w:t xml:space="preserve">eward </w:t>
      </w:r>
      <w:r>
        <w:t>r</w:t>
      </w:r>
      <w:r w:rsidRPr="006825A4">
        <w:t xml:space="preserve">esponsiveness </w:t>
      </w:r>
      <w:r>
        <w:t xml:space="preserve">scale </w:t>
      </w:r>
      <w:r w:rsidRPr="006825A4">
        <w:t>(RR)</w:t>
      </w:r>
      <w:r w:rsidRPr="006825A4">
        <w:fldChar w:fldCharType="begin" w:fldLock="1"/>
      </w:r>
      <w:r w:rsidRPr="006825A4">
        <w:instrText>ADDIN CSL_CITATION {"citationItems":[{"id":"ITEM-1","itemData":{"DOI":"10.3389/fpsyg.2010.00239","ISSN":"16641078","abstract":"Several psychological theories assume that there are two basic brain mechanisms that guide behavior: an avoidance or inhibition system, which is responsive to signals of punishment, and an approach or activation system, which is sensitive to signals of reward. Several self-report scales have been developed to assess the sensitivity to punishment and reward, and these instruments have been shown to be useful in research on personality, psychopathology, and underlying biological substrates. However, it is also true that in particular scales for measuring reward responsiveness (RR) suffer from various inadequacies. Therefore, a new RR scale was developed and subjected to an extensive psychometric evaluation. The results show that this scale measures a single factor, RR that is clearly independent of punishment sensitivity. Further, the data indicated that the internal consistency, convergent validity, discriminant validity, test-retest reliability, and predictive properties of the new scale were all adequate. It can be concluded that the RR scale is a psychometrically sound instrument that may be useful for researchers with interest in the personality construct of RR. © 2010 Van den Berg, Frankenand Muris.","author":[{"dropping-particle":"","family":"Berg","given":"Ivo","non-dropping-particle":"Van den","parse-names":false,"suffix":""},{"dropping-particle":"","family":"Franken","given":"Ingmar H.A.","non-dropping-particle":"","parse-names":false,"suffix":""},{"dropping-particle":"","family":"Muris","given":"Peter","non-dropping-particle":"","parse-names":false,"suffix":""}],"container-title":"Frontiers in Psychology","id":"ITEM-1","issue":"DEC","issued":{"date-parts":[["2010"]]},"page":"1-7","title":"A new scale for measuring reward responsiveness","type":"article-journal","volume":"1"},"uris":["http://www.mendeley.com/documents/?uuid=079e89b9-35ac-488d-ac68-a9cef21a60c5"]}],"mendeley":{"formattedCitation":"&lt;sup&gt;1&lt;/sup&gt;","plainTextFormattedCitation":"1","previouslyFormattedCitation":"&lt;sup&gt;1&lt;/sup&gt;"},"properties":{"noteIndex":0},"schema":"https://github.com/citation-style-language/schema/raw/master/csl-citation.json"}</w:instrText>
      </w:r>
      <w:r w:rsidRPr="006825A4">
        <w:fldChar w:fldCharType="separate"/>
      </w:r>
      <w:r w:rsidRPr="006825A4">
        <w:rPr>
          <w:noProof/>
          <w:vertAlign w:val="superscript"/>
        </w:rPr>
        <w:t>1</w:t>
      </w:r>
      <w:r w:rsidRPr="006825A4">
        <w:fldChar w:fldCharType="end"/>
      </w:r>
      <w:r w:rsidRPr="006825A4">
        <w:t xml:space="preserve"> and </w:t>
      </w:r>
      <w:r>
        <w:t xml:space="preserve">the </w:t>
      </w:r>
      <w:r w:rsidRPr="006825A4">
        <w:t xml:space="preserve">Intolerance of Uncertainty </w:t>
      </w:r>
      <w:r>
        <w:t xml:space="preserve">scale </w:t>
      </w:r>
      <w:r w:rsidRPr="006825A4">
        <w:t>(UI-18)</w:t>
      </w:r>
      <w:r w:rsidRPr="006825A4">
        <w:fldChar w:fldCharType="begin" w:fldLock="1"/>
      </w:r>
      <w:r w:rsidRPr="006825A4">
        <w:instrText>ADDIN CSL_CITATION {"citationItems":[{"id":"ITEM-1","itemData":{"DOI":"10.1026/1616-3443.37.3.190","ISSN":"16163443","abstract":"Background: Intolerance of uncertainty (IU) has recently been discussed as an important factor the development and maintenance of generalized anxiety disorder (GAD). So far, an adequate instrument to assess IU in German is missing. Objective: What are the psychometric properties of the German intolerance of uncertainty scale? What is it underlying factor structure? Is it possible to shorten the instrument? Is it possible to replicate the new factor structure in an independent sample? How much variance of worrying (PSWQ) can IU explain? Is it possible to integrate IU with other relevant constructs into a theoretical model of GAD? Methods: The factor structure of the German translation of the IU scale was analyzed in a group of students (N = 682) using exploratory factor analysis. On this basis, a shortened version of the IU scale (IU-18) was developed. The factor structure of this instrument was confirmed in a second independent student sample (N = 540). In order to validate the construct, we calculated a regression model predicting worrying. Results: The new IU-18 scale measures three replicable factors (\"reduced ability to act due to IU\", \"burden due to IU\" and \"vigilance due to IU\"). The subscales \"burden\" and \"vigilance\" of the IU-18 scale, four scales of the meta cognitions questionnaire, as well as gender, all significantly predict worrying. Conclusions: IU can be measured reliably. Against the background of these results we present a theoretical model of GAD that integrates IU, metacognitions concerning worrying, and the avoidance theory of worrying. © Hogrefe Verlag Göttingen 2008. © Hogrefe Verlag Göttingen 2008.","author":[{"dropping-particle":"","family":"Gerlach","given":"Alexander L.","non-dropping-particle":"","parse-names":false,"suffix":""},{"dropping-particle":"","family":"Andor","given":"Tanja","non-dropping-particle":"","parse-names":false,"suffix":""},{"dropping-particle":"","family":"Patzelt","given":"Julia","non-dropping-particle":"","parse-names":false,"suffix":""}],"container-title":"Zeitschrift fur Klinische Psychologie und Psychotherapie","id":"ITEM-1","issue":"3","issued":{"date-parts":[["2008","7"]]},"page":"190-199","publisher":" Hogrefe Verlag Göttingen ","title":"Die bedeutung von unsicherheits-intoleranz für die generalisierte angststörung: Modellüberlegungen und Entwicklung einer deutschen version der unsicherheitsintoleranz-skala","type":"article-journal","volume":"37"},"uris":["http://www.mendeley.com/documents/?uuid=28603ad4-771a-4fea-85ae-685ed722dbc9"]}],"mendeley":{"formattedCitation":"&lt;sup&gt;2&lt;/sup&gt;","plainTextFormattedCitation":"2","previouslyFormattedCitation":"&lt;sup&gt;2&lt;/sup&gt;"},"properties":{"noteIndex":0},"schema":"https://github.com/citation-style-language/schema/raw/master/csl-citation.json"}</w:instrText>
      </w:r>
      <w:r w:rsidRPr="006825A4">
        <w:fldChar w:fldCharType="separate"/>
      </w:r>
      <w:r w:rsidRPr="006825A4">
        <w:rPr>
          <w:noProof/>
          <w:vertAlign w:val="superscript"/>
        </w:rPr>
        <w:t>2</w:t>
      </w:r>
      <w:r w:rsidRPr="006825A4">
        <w:fldChar w:fldCharType="end"/>
      </w:r>
      <w:r w:rsidRPr="006825A4">
        <w:t xml:space="preserve"> were measured to potentially exclude participants with extremely low risk tolerance</w:t>
      </w:r>
      <w:r>
        <w:t>,</w:t>
      </w:r>
      <w:r w:rsidRPr="006825A4">
        <w:t xml:space="preserve"> while the </w:t>
      </w:r>
      <w:r>
        <w:t>s</w:t>
      </w:r>
      <w:r w:rsidRPr="006825A4">
        <w:t xml:space="preserve">ocial </w:t>
      </w:r>
      <w:r>
        <w:t>d</w:t>
      </w:r>
      <w:r w:rsidRPr="006825A4">
        <w:t xml:space="preserve">esirability </w:t>
      </w:r>
      <w:r>
        <w:t>s</w:t>
      </w:r>
      <w:r w:rsidRPr="006825A4">
        <w:t>cale (SDS)</w:t>
      </w:r>
      <w:r w:rsidRPr="006825A4">
        <w:fldChar w:fldCharType="begin" w:fldLock="1"/>
      </w:r>
      <w:r w:rsidRPr="006825A4">
        <w:instrText>ADDIN CSL_CITATION {"citationItems":[{"id":"ITEM-1","itemData":{"DOI":"10.1037/h0047358","ISSN":"00958891","PMID":"13813058","abstract":"A new social desirability scale was constructed and correlated with MMPI scales. Comparison was made with correlations of the Edwards Social Desirability scale. The new scale correlated highly with MMPI scales and supported the definition of social desirability. Ss need to respond in \"culturally sanctioned ways.\" (PsycINFO Database Record (c) 2006 APA, all rights reserved). © 1960 American Psychological Association.","author":[{"dropping-particle":"","family":"Crowne","given":"Douglas P.","non-dropping-particle":"","parse-names":false,"suffix":""},{"dropping-particle":"","family":"Marlowe","given":"David","non-dropping-particle":"","parse-names":false,"suffix":""}],"container-title":"Journal of Consulting Psychology","id":"ITEM-1","issue":"4","issued":{"date-parts":[["1960"]]},"page":"349-354","title":"A new scale of social desirability independent of psychopathology","type":"article-journal","volume":"24"},"uris":["http://www.mendeley.com/documents/?uuid=18dc2bff-da2c-48d6-8ae4-3eaddb1a7cd6"]}],"mendeley":{"formattedCitation":"&lt;sup&gt;3&lt;/sup&gt;","plainTextFormattedCitation":"3","previouslyFormattedCitation":"&lt;sup&gt;3&lt;/sup&gt;"},"properties":{"noteIndex":0},"schema":"https://github.com/citation-style-language/schema/raw/master/csl-citation.json"}</w:instrText>
      </w:r>
      <w:r w:rsidRPr="006825A4">
        <w:fldChar w:fldCharType="separate"/>
      </w:r>
      <w:r w:rsidRPr="006825A4">
        <w:rPr>
          <w:noProof/>
          <w:vertAlign w:val="superscript"/>
        </w:rPr>
        <w:t>3</w:t>
      </w:r>
      <w:r w:rsidRPr="006825A4">
        <w:fldChar w:fldCharType="end"/>
      </w:r>
      <w:r w:rsidRPr="006825A4">
        <w:t xml:space="preserve"> was evaluated to potentially exclude participants who were extremely concerned with social approval. No outlying participants were observed on these scales. </w:t>
      </w:r>
    </w:p>
    <w:p w14:paraId="5418D903" w14:textId="77777777" w:rsidR="007162DB" w:rsidRPr="00FE4F4C" w:rsidRDefault="007162DB" w:rsidP="007162DB">
      <w:pPr>
        <w:spacing w:line="240" w:lineRule="auto"/>
        <w:rPr>
          <w:rFonts w:cs="Times New Roman"/>
          <w:b/>
          <w:iCs/>
          <w:szCs w:val="24"/>
        </w:rPr>
      </w:pPr>
      <w:r w:rsidRPr="00FE4F4C">
        <w:rPr>
          <w:rFonts w:cs="Times New Roman"/>
          <w:b/>
          <w:iCs/>
          <w:szCs w:val="24"/>
        </w:rPr>
        <w:t xml:space="preserve">Table SM1 </w:t>
      </w:r>
    </w:p>
    <w:p w14:paraId="584A19E9" w14:textId="77777777" w:rsidR="007162DB" w:rsidRPr="00FE4F4C" w:rsidRDefault="007162DB" w:rsidP="007162DB">
      <w:pPr>
        <w:spacing w:after="60" w:line="240" w:lineRule="auto"/>
        <w:rPr>
          <w:rFonts w:cs="Times New Roman"/>
          <w:szCs w:val="24"/>
        </w:rPr>
      </w:pPr>
      <w:r w:rsidRPr="00FE4F4C">
        <w:rPr>
          <w:rFonts w:cs="Times New Roman"/>
          <w:iCs/>
          <w:szCs w:val="24"/>
        </w:rPr>
        <w:t>Demographic</w:t>
      </w:r>
      <w:r>
        <w:rPr>
          <w:rFonts w:cs="Times New Roman"/>
          <w:iCs/>
          <w:szCs w:val="24"/>
        </w:rPr>
        <w:t xml:space="preserve"> and psychometric</w:t>
      </w:r>
      <w:r w:rsidRPr="00FE4F4C">
        <w:rPr>
          <w:rFonts w:cs="Times New Roman"/>
          <w:iCs/>
          <w:szCs w:val="24"/>
        </w:rPr>
        <w:t xml:space="preserve"> characteristics of participants </w:t>
      </w:r>
    </w:p>
    <w:tbl>
      <w:tblPr>
        <w:tblW w:w="4894" w:type="pct"/>
        <w:tblLayout w:type="fixed"/>
        <w:tblCellMar>
          <w:left w:w="70" w:type="dxa"/>
          <w:right w:w="70" w:type="dxa"/>
        </w:tblCellMar>
        <w:tblLook w:val="04A0" w:firstRow="1" w:lastRow="0" w:firstColumn="1" w:lastColumn="0" w:noHBand="0" w:noVBand="1"/>
      </w:tblPr>
      <w:tblGrid>
        <w:gridCol w:w="2919"/>
        <w:gridCol w:w="1000"/>
        <w:gridCol w:w="129"/>
        <w:gridCol w:w="565"/>
        <w:gridCol w:w="355"/>
        <w:gridCol w:w="425"/>
        <w:gridCol w:w="711"/>
        <w:gridCol w:w="166"/>
        <w:gridCol w:w="107"/>
        <w:gridCol w:w="405"/>
        <w:gridCol w:w="278"/>
        <w:gridCol w:w="101"/>
        <w:gridCol w:w="365"/>
        <w:gridCol w:w="64"/>
        <w:gridCol w:w="83"/>
        <w:gridCol w:w="346"/>
        <w:gridCol w:w="79"/>
        <w:gridCol w:w="685"/>
        <w:gridCol w:w="424"/>
      </w:tblGrid>
      <w:tr w:rsidR="007162DB" w:rsidRPr="00FE4F4C" w14:paraId="3751BF05" w14:textId="77777777" w:rsidTr="007238C3">
        <w:trPr>
          <w:trHeight w:val="337"/>
          <w:tblHeader/>
        </w:trPr>
        <w:tc>
          <w:tcPr>
            <w:tcW w:w="1585" w:type="pct"/>
            <w:tcBorders>
              <w:left w:val="nil"/>
              <w:bottom w:val="single" w:sz="4" w:space="0" w:color="auto"/>
              <w:right w:val="nil"/>
            </w:tcBorders>
            <w:shd w:val="clear" w:color="auto" w:fill="D9D9D9" w:themeFill="background1" w:themeFillShade="D9"/>
            <w:noWrap/>
            <w:vAlign w:val="center"/>
          </w:tcPr>
          <w:p w14:paraId="2DD0E6F9" w14:textId="77777777" w:rsidR="007162DB" w:rsidRPr="00FE4F4C" w:rsidRDefault="007162DB" w:rsidP="007238C3">
            <w:pPr>
              <w:spacing w:after="0" w:line="240" w:lineRule="auto"/>
              <w:rPr>
                <w:rFonts w:eastAsia="Times New Roman" w:cs="Times New Roman"/>
                <w:b/>
                <w:sz w:val="20"/>
                <w:szCs w:val="20"/>
              </w:rPr>
            </w:pPr>
          </w:p>
        </w:tc>
        <w:tc>
          <w:tcPr>
            <w:tcW w:w="543" w:type="pct"/>
            <w:tcBorders>
              <w:left w:val="nil"/>
              <w:bottom w:val="single" w:sz="4" w:space="0" w:color="auto"/>
              <w:right w:val="nil"/>
            </w:tcBorders>
            <w:shd w:val="clear" w:color="auto" w:fill="D9D9D9" w:themeFill="background1" w:themeFillShade="D9"/>
          </w:tcPr>
          <w:p w14:paraId="4239A471" w14:textId="77777777" w:rsidR="007162DB" w:rsidRPr="00FE4F4C" w:rsidRDefault="007162DB" w:rsidP="007238C3">
            <w:pPr>
              <w:spacing w:after="0" w:line="240" w:lineRule="auto"/>
              <w:rPr>
                <w:rFonts w:eastAsia="Times New Roman" w:cs="Times New Roman"/>
                <w:b/>
                <w:sz w:val="20"/>
                <w:szCs w:val="20"/>
              </w:rPr>
            </w:pPr>
            <w:r w:rsidRPr="00FE4F4C">
              <w:rPr>
                <w:rFonts w:eastAsia="Times New Roman" w:cs="Times New Roman"/>
                <w:b/>
                <w:sz w:val="20"/>
                <w:szCs w:val="20"/>
              </w:rPr>
              <w:t>M</w:t>
            </w:r>
          </w:p>
        </w:tc>
        <w:tc>
          <w:tcPr>
            <w:tcW w:w="570" w:type="pct"/>
            <w:gridSpan w:val="3"/>
            <w:tcBorders>
              <w:left w:val="nil"/>
              <w:bottom w:val="single" w:sz="4" w:space="0" w:color="auto"/>
              <w:right w:val="nil"/>
            </w:tcBorders>
            <w:shd w:val="clear" w:color="auto" w:fill="D9D9D9" w:themeFill="background1" w:themeFillShade="D9"/>
          </w:tcPr>
          <w:p w14:paraId="38664F8E" w14:textId="77777777" w:rsidR="007162DB" w:rsidRPr="00FE4F4C" w:rsidRDefault="007162DB" w:rsidP="007238C3">
            <w:pPr>
              <w:spacing w:after="0" w:line="240" w:lineRule="auto"/>
              <w:rPr>
                <w:rFonts w:eastAsia="Times New Roman" w:cs="Times New Roman"/>
                <w:b/>
                <w:sz w:val="20"/>
                <w:szCs w:val="20"/>
              </w:rPr>
            </w:pPr>
            <w:r w:rsidRPr="00FE4F4C">
              <w:rPr>
                <w:rFonts w:eastAsia="Times New Roman" w:cs="Times New Roman"/>
                <w:b/>
                <w:sz w:val="20"/>
                <w:szCs w:val="20"/>
              </w:rPr>
              <w:t>SD</w:t>
            </w:r>
          </w:p>
        </w:tc>
        <w:tc>
          <w:tcPr>
            <w:tcW w:w="765" w:type="pct"/>
            <w:gridSpan w:val="4"/>
            <w:tcBorders>
              <w:left w:val="nil"/>
              <w:bottom w:val="single" w:sz="4" w:space="0" w:color="auto"/>
              <w:right w:val="nil"/>
            </w:tcBorders>
            <w:shd w:val="clear" w:color="auto" w:fill="D9D9D9" w:themeFill="background1" w:themeFillShade="D9"/>
          </w:tcPr>
          <w:p w14:paraId="4806BF85" w14:textId="77777777" w:rsidR="007162DB" w:rsidRPr="00FE4F4C" w:rsidRDefault="007162DB" w:rsidP="007238C3">
            <w:pPr>
              <w:spacing w:after="0" w:line="240" w:lineRule="auto"/>
              <w:rPr>
                <w:rFonts w:eastAsia="Times New Roman" w:cs="Times New Roman"/>
                <w:sz w:val="20"/>
                <w:szCs w:val="20"/>
              </w:rPr>
            </w:pPr>
            <w:r w:rsidRPr="00FE4F4C">
              <w:rPr>
                <w:rFonts w:eastAsia="Times New Roman" w:cs="Times New Roman"/>
                <w:b/>
                <w:sz w:val="20"/>
                <w:szCs w:val="20"/>
              </w:rPr>
              <w:t xml:space="preserve"> </w:t>
            </w:r>
            <w:r w:rsidRPr="00FE4F4C">
              <w:rPr>
                <w:rFonts w:cs="Times New Roman"/>
                <w:b/>
                <w:i/>
                <w:iCs/>
                <w:sz w:val="20"/>
                <w:szCs w:val="20"/>
              </w:rPr>
              <w:t xml:space="preserve"> χ²</w:t>
            </w:r>
            <w:r w:rsidRPr="00FE4F4C">
              <w:rPr>
                <w:rFonts w:cs="Times New Roman"/>
                <w:b/>
                <w:iCs/>
                <w:sz w:val="20"/>
                <w:szCs w:val="20"/>
              </w:rPr>
              <w:t xml:space="preserve"> </w:t>
            </w:r>
          </w:p>
        </w:tc>
        <w:tc>
          <w:tcPr>
            <w:tcW w:w="220" w:type="pct"/>
            <w:tcBorders>
              <w:left w:val="nil"/>
              <w:bottom w:val="single" w:sz="4" w:space="0" w:color="auto"/>
              <w:right w:val="nil"/>
            </w:tcBorders>
            <w:shd w:val="clear" w:color="auto" w:fill="D9D9D9" w:themeFill="background1" w:themeFillShade="D9"/>
          </w:tcPr>
          <w:p w14:paraId="45EE2F5A" w14:textId="77777777" w:rsidR="007162DB" w:rsidRPr="00FE4F4C" w:rsidRDefault="007162DB" w:rsidP="007238C3">
            <w:pPr>
              <w:spacing w:after="0" w:line="240" w:lineRule="auto"/>
              <w:rPr>
                <w:rFonts w:eastAsia="Times New Roman" w:cs="Times New Roman"/>
                <w:b/>
                <w:i/>
                <w:sz w:val="20"/>
                <w:szCs w:val="20"/>
              </w:rPr>
            </w:pPr>
            <w:r w:rsidRPr="00FE4F4C">
              <w:rPr>
                <w:rFonts w:eastAsia="Times New Roman" w:cs="Times New Roman"/>
                <w:b/>
                <w:sz w:val="20"/>
                <w:szCs w:val="20"/>
              </w:rPr>
              <w:t>df</w:t>
            </w:r>
          </w:p>
        </w:tc>
        <w:tc>
          <w:tcPr>
            <w:tcW w:w="151" w:type="pct"/>
            <w:tcBorders>
              <w:left w:val="nil"/>
              <w:bottom w:val="single" w:sz="4" w:space="0" w:color="auto"/>
              <w:right w:val="nil"/>
            </w:tcBorders>
            <w:shd w:val="clear" w:color="auto" w:fill="D9D9D9" w:themeFill="background1" w:themeFillShade="D9"/>
          </w:tcPr>
          <w:p w14:paraId="5D9B67F6" w14:textId="77777777" w:rsidR="007162DB" w:rsidRPr="00FE4F4C" w:rsidRDefault="007162DB" w:rsidP="007238C3">
            <w:pPr>
              <w:spacing w:after="0" w:line="240" w:lineRule="auto"/>
              <w:rPr>
                <w:rFonts w:eastAsia="Times New Roman" w:cs="Times New Roman"/>
                <w:b/>
                <w:sz w:val="20"/>
                <w:szCs w:val="20"/>
              </w:rPr>
            </w:pPr>
            <w:r w:rsidRPr="00FE4F4C">
              <w:rPr>
                <w:rFonts w:eastAsia="Times New Roman" w:cs="Times New Roman"/>
                <w:b/>
                <w:sz w:val="20"/>
                <w:szCs w:val="20"/>
              </w:rPr>
              <w:t>p</w:t>
            </w:r>
          </w:p>
        </w:tc>
        <w:tc>
          <w:tcPr>
            <w:tcW w:w="253" w:type="pct"/>
            <w:gridSpan w:val="2"/>
            <w:tcBorders>
              <w:left w:val="nil"/>
              <w:bottom w:val="single" w:sz="4" w:space="0" w:color="auto"/>
              <w:right w:val="nil"/>
            </w:tcBorders>
            <w:shd w:val="clear" w:color="auto" w:fill="D9D9D9" w:themeFill="background1" w:themeFillShade="D9"/>
          </w:tcPr>
          <w:p w14:paraId="2DF02129" w14:textId="77777777" w:rsidR="007162DB" w:rsidRPr="00FE4F4C" w:rsidRDefault="007162DB" w:rsidP="007238C3">
            <w:pPr>
              <w:spacing w:after="0" w:line="240" w:lineRule="auto"/>
              <w:rPr>
                <w:rFonts w:eastAsia="Times New Roman" w:cs="Times New Roman"/>
                <w:b/>
                <w:sz w:val="20"/>
                <w:szCs w:val="20"/>
              </w:rPr>
            </w:pPr>
          </w:p>
        </w:tc>
        <w:tc>
          <w:tcPr>
            <w:tcW w:w="913" w:type="pct"/>
            <w:gridSpan w:val="6"/>
            <w:tcBorders>
              <w:left w:val="nil"/>
              <w:bottom w:val="single" w:sz="4" w:space="0" w:color="auto"/>
              <w:right w:val="nil"/>
            </w:tcBorders>
            <w:shd w:val="clear" w:color="auto" w:fill="D9D9D9" w:themeFill="background1" w:themeFillShade="D9"/>
          </w:tcPr>
          <w:p w14:paraId="7034DEBC" w14:textId="77777777" w:rsidR="007162DB" w:rsidRPr="00FE4F4C" w:rsidRDefault="007162DB" w:rsidP="007238C3">
            <w:pPr>
              <w:spacing w:after="0" w:line="240" w:lineRule="auto"/>
              <w:rPr>
                <w:rFonts w:eastAsia="Times New Roman" w:cs="Times New Roman"/>
                <w:b/>
                <w:sz w:val="20"/>
                <w:szCs w:val="20"/>
              </w:rPr>
            </w:pPr>
          </w:p>
        </w:tc>
      </w:tr>
      <w:tr w:rsidR="007162DB" w:rsidRPr="00FE4F4C" w14:paraId="07B7884B" w14:textId="77777777" w:rsidTr="007238C3">
        <w:trPr>
          <w:gridAfter w:val="3"/>
          <w:wAfter w:w="645" w:type="pct"/>
          <w:trHeight w:val="337"/>
        </w:trPr>
        <w:tc>
          <w:tcPr>
            <w:tcW w:w="1585" w:type="pct"/>
            <w:tcBorders>
              <w:top w:val="single" w:sz="4" w:space="0" w:color="auto"/>
              <w:left w:val="nil"/>
              <w:right w:val="nil"/>
            </w:tcBorders>
            <w:shd w:val="clear" w:color="auto" w:fill="auto"/>
            <w:noWrap/>
            <w:vAlign w:val="center"/>
          </w:tcPr>
          <w:p w14:paraId="5619EBDF" w14:textId="77777777" w:rsidR="007162DB" w:rsidRPr="00FE4F4C" w:rsidRDefault="007162DB" w:rsidP="007238C3">
            <w:pPr>
              <w:spacing w:after="0" w:line="240" w:lineRule="auto"/>
              <w:rPr>
                <w:rFonts w:eastAsia="Times New Roman" w:cs="Times New Roman"/>
                <w:b/>
                <w:sz w:val="20"/>
                <w:szCs w:val="20"/>
              </w:rPr>
            </w:pPr>
            <w:r w:rsidRPr="00FE4F4C">
              <w:rPr>
                <w:rFonts w:eastAsia="Times New Roman" w:cs="Times New Roman"/>
                <w:b/>
                <w:sz w:val="20"/>
                <w:szCs w:val="20"/>
              </w:rPr>
              <w:t xml:space="preserve">Demographic </w:t>
            </w:r>
          </w:p>
          <w:p w14:paraId="3B7AA7AC" w14:textId="77777777" w:rsidR="007162DB" w:rsidRPr="00FE4F4C" w:rsidRDefault="007162DB" w:rsidP="007238C3">
            <w:pPr>
              <w:spacing w:after="0" w:line="240" w:lineRule="auto"/>
              <w:rPr>
                <w:rFonts w:eastAsia="Times New Roman" w:cs="Times New Roman"/>
                <w:b/>
                <w:sz w:val="20"/>
                <w:szCs w:val="20"/>
              </w:rPr>
            </w:pPr>
            <w:r w:rsidRPr="00FE4F4C">
              <w:rPr>
                <w:rFonts w:eastAsia="Times New Roman" w:cs="Times New Roman"/>
                <w:b/>
                <w:sz w:val="20"/>
                <w:szCs w:val="20"/>
              </w:rPr>
              <w:t>Characteristic</w:t>
            </w:r>
          </w:p>
        </w:tc>
        <w:tc>
          <w:tcPr>
            <w:tcW w:w="613" w:type="pct"/>
            <w:gridSpan w:val="2"/>
            <w:tcBorders>
              <w:top w:val="single" w:sz="4" w:space="0" w:color="auto"/>
              <w:left w:val="nil"/>
              <w:right w:val="nil"/>
            </w:tcBorders>
          </w:tcPr>
          <w:p w14:paraId="6B7F4D45" w14:textId="77777777" w:rsidR="007162DB" w:rsidRPr="00FE4F4C" w:rsidRDefault="007162DB" w:rsidP="007238C3">
            <w:pPr>
              <w:spacing w:line="240" w:lineRule="auto"/>
              <w:rPr>
                <w:rFonts w:eastAsia="Times New Roman" w:cs="Times New Roman"/>
                <w:sz w:val="20"/>
                <w:szCs w:val="20"/>
              </w:rPr>
            </w:pPr>
          </w:p>
        </w:tc>
        <w:tc>
          <w:tcPr>
            <w:tcW w:w="307" w:type="pct"/>
            <w:tcBorders>
              <w:top w:val="single" w:sz="4" w:space="0" w:color="auto"/>
              <w:left w:val="nil"/>
              <w:right w:val="nil"/>
            </w:tcBorders>
          </w:tcPr>
          <w:p w14:paraId="0DC43D77" w14:textId="77777777" w:rsidR="007162DB" w:rsidRPr="00FE4F4C" w:rsidRDefault="007162DB" w:rsidP="007238C3">
            <w:pPr>
              <w:spacing w:line="240" w:lineRule="auto"/>
              <w:rPr>
                <w:rFonts w:eastAsia="Times New Roman" w:cs="Times New Roman"/>
                <w:sz w:val="20"/>
                <w:szCs w:val="20"/>
              </w:rPr>
            </w:pPr>
          </w:p>
        </w:tc>
        <w:tc>
          <w:tcPr>
            <w:tcW w:w="810" w:type="pct"/>
            <w:gridSpan w:val="3"/>
            <w:tcBorders>
              <w:top w:val="single" w:sz="4" w:space="0" w:color="auto"/>
              <w:left w:val="nil"/>
              <w:right w:val="nil"/>
            </w:tcBorders>
          </w:tcPr>
          <w:p w14:paraId="3C76B933" w14:textId="77777777" w:rsidR="007162DB" w:rsidRPr="00FE4F4C" w:rsidRDefault="007162DB" w:rsidP="007238C3">
            <w:pPr>
              <w:spacing w:line="240" w:lineRule="auto"/>
              <w:rPr>
                <w:rFonts w:eastAsia="Times New Roman" w:cs="Times New Roman"/>
                <w:sz w:val="20"/>
                <w:szCs w:val="20"/>
              </w:rPr>
            </w:pPr>
          </w:p>
        </w:tc>
        <w:tc>
          <w:tcPr>
            <w:tcW w:w="90" w:type="pct"/>
            <w:tcBorders>
              <w:top w:val="single" w:sz="4" w:space="0" w:color="auto"/>
              <w:left w:val="nil"/>
              <w:right w:val="nil"/>
            </w:tcBorders>
          </w:tcPr>
          <w:p w14:paraId="31ABB17F" w14:textId="77777777" w:rsidR="007162DB" w:rsidRPr="00FE4F4C" w:rsidRDefault="007162DB" w:rsidP="007238C3">
            <w:pPr>
              <w:spacing w:line="240" w:lineRule="auto"/>
              <w:rPr>
                <w:rFonts w:cs="Times New Roman"/>
                <w:sz w:val="20"/>
                <w:szCs w:val="24"/>
              </w:rPr>
            </w:pPr>
          </w:p>
        </w:tc>
        <w:tc>
          <w:tcPr>
            <w:tcW w:w="484" w:type="pct"/>
            <w:gridSpan w:val="4"/>
            <w:tcBorders>
              <w:top w:val="single" w:sz="4" w:space="0" w:color="auto"/>
              <w:left w:val="nil"/>
              <w:right w:val="nil"/>
            </w:tcBorders>
            <w:vAlign w:val="center"/>
          </w:tcPr>
          <w:p w14:paraId="22C5120E" w14:textId="77777777" w:rsidR="007162DB" w:rsidRPr="00FE4F4C" w:rsidRDefault="007162DB" w:rsidP="007238C3">
            <w:pPr>
              <w:spacing w:line="240" w:lineRule="auto"/>
              <w:rPr>
                <w:rFonts w:eastAsia="Times New Roman" w:cs="Times New Roman"/>
                <w:sz w:val="20"/>
                <w:szCs w:val="20"/>
              </w:rPr>
            </w:pPr>
          </w:p>
        </w:tc>
        <w:tc>
          <w:tcPr>
            <w:tcW w:w="233" w:type="pct"/>
            <w:gridSpan w:val="2"/>
            <w:tcBorders>
              <w:top w:val="single" w:sz="4" w:space="0" w:color="auto"/>
              <w:left w:val="nil"/>
              <w:right w:val="nil"/>
            </w:tcBorders>
          </w:tcPr>
          <w:p w14:paraId="7D527069" w14:textId="77777777" w:rsidR="007162DB" w:rsidRPr="00FE4F4C" w:rsidRDefault="007162DB" w:rsidP="007238C3">
            <w:pPr>
              <w:spacing w:line="240" w:lineRule="auto"/>
              <w:rPr>
                <w:rFonts w:eastAsia="Times New Roman" w:cs="Times New Roman"/>
                <w:sz w:val="20"/>
                <w:szCs w:val="20"/>
              </w:rPr>
            </w:pPr>
          </w:p>
        </w:tc>
        <w:tc>
          <w:tcPr>
            <w:tcW w:w="233" w:type="pct"/>
            <w:gridSpan w:val="2"/>
            <w:tcBorders>
              <w:top w:val="single" w:sz="4" w:space="0" w:color="auto"/>
              <w:left w:val="nil"/>
              <w:right w:val="nil"/>
            </w:tcBorders>
          </w:tcPr>
          <w:p w14:paraId="5EAF575E" w14:textId="77777777" w:rsidR="007162DB" w:rsidRPr="00FE4F4C" w:rsidRDefault="007162DB" w:rsidP="007238C3">
            <w:pPr>
              <w:spacing w:line="240" w:lineRule="auto"/>
              <w:rPr>
                <w:rFonts w:eastAsia="Times New Roman" w:cs="Times New Roman"/>
                <w:sz w:val="20"/>
                <w:szCs w:val="20"/>
              </w:rPr>
            </w:pPr>
          </w:p>
        </w:tc>
      </w:tr>
      <w:tr w:rsidR="007162DB" w:rsidRPr="00FE4F4C" w14:paraId="74924980" w14:textId="77777777" w:rsidTr="007238C3">
        <w:trPr>
          <w:gridAfter w:val="1"/>
          <w:wAfter w:w="230" w:type="pct"/>
          <w:trHeight w:val="337"/>
        </w:trPr>
        <w:tc>
          <w:tcPr>
            <w:tcW w:w="1585" w:type="pct"/>
            <w:tcBorders>
              <w:left w:val="nil"/>
              <w:right w:val="nil"/>
            </w:tcBorders>
            <w:shd w:val="clear" w:color="auto" w:fill="auto"/>
            <w:noWrap/>
          </w:tcPr>
          <w:p w14:paraId="26F4623D" w14:textId="77777777" w:rsidR="007162DB" w:rsidRPr="00FE4F4C" w:rsidRDefault="007162DB" w:rsidP="007238C3">
            <w:pPr>
              <w:spacing w:before="120" w:line="240" w:lineRule="auto"/>
              <w:rPr>
                <w:rFonts w:eastAsia="Times New Roman" w:cs="Times New Roman"/>
                <w:sz w:val="20"/>
                <w:szCs w:val="20"/>
              </w:rPr>
            </w:pPr>
            <w:r w:rsidRPr="00FE4F4C">
              <w:rPr>
                <w:rFonts w:cs="Times New Roman"/>
                <w:sz w:val="20"/>
                <w:szCs w:val="24"/>
              </w:rPr>
              <w:t>N</w:t>
            </w:r>
          </w:p>
        </w:tc>
        <w:tc>
          <w:tcPr>
            <w:tcW w:w="543" w:type="pct"/>
            <w:tcBorders>
              <w:left w:val="nil"/>
              <w:right w:val="nil"/>
            </w:tcBorders>
          </w:tcPr>
          <w:p w14:paraId="08699275"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37</w:t>
            </w:r>
          </w:p>
        </w:tc>
        <w:tc>
          <w:tcPr>
            <w:tcW w:w="570" w:type="pct"/>
            <w:gridSpan w:val="3"/>
            <w:tcBorders>
              <w:left w:val="nil"/>
              <w:right w:val="nil"/>
            </w:tcBorders>
          </w:tcPr>
          <w:p w14:paraId="5524533E" w14:textId="77777777" w:rsidR="007162DB" w:rsidRPr="00FE4F4C" w:rsidRDefault="007162DB" w:rsidP="007238C3">
            <w:pPr>
              <w:spacing w:line="240" w:lineRule="auto"/>
              <w:rPr>
                <w:rFonts w:eastAsia="Times New Roman" w:cs="Times New Roman"/>
                <w:sz w:val="20"/>
                <w:szCs w:val="20"/>
              </w:rPr>
            </w:pPr>
          </w:p>
        </w:tc>
        <w:tc>
          <w:tcPr>
            <w:tcW w:w="765" w:type="pct"/>
            <w:gridSpan w:val="4"/>
            <w:tcBorders>
              <w:left w:val="nil"/>
              <w:right w:val="nil"/>
            </w:tcBorders>
          </w:tcPr>
          <w:p w14:paraId="6D9A48F6" w14:textId="77777777" w:rsidR="007162DB" w:rsidRPr="00FE4F4C" w:rsidRDefault="007162DB" w:rsidP="007238C3">
            <w:pPr>
              <w:spacing w:line="240" w:lineRule="auto"/>
              <w:rPr>
                <w:rFonts w:eastAsia="Times New Roman" w:cs="Times New Roman"/>
                <w:sz w:val="20"/>
                <w:szCs w:val="20"/>
              </w:rPr>
            </w:pPr>
          </w:p>
        </w:tc>
        <w:tc>
          <w:tcPr>
            <w:tcW w:w="220" w:type="pct"/>
            <w:tcBorders>
              <w:left w:val="nil"/>
              <w:right w:val="nil"/>
            </w:tcBorders>
          </w:tcPr>
          <w:p w14:paraId="52EE0498"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left w:val="nil"/>
              <w:right w:val="nil"/>
            </w:tcBorders>
            <w:vAlign w:val="center"/>
          </w:tcPr>
          <w:p w14:paraId="1033258C"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left w:val="nil"/>
              <w:right w:val="nil"/>
            </w:tcBorders>
          </w:tcPr>
          <w:p w14:paraId="153415AC" w14:textId="77777777" w:rsidR="007162DB" w:rsidRPr="00FE4F4C" w:rsidRDefault="007162DB" w:rsidP="007238C3">
            <w:pPr>
              <w:spacing w:line="240" w:lineRule="auto"/>
              <w:rPr>
                <w:rFonts w:eastAsia="Times New Roman" w:cs="Times New Roman"/>
                <w:sz w:val="20"/>
                <w:szCs w:val="20"/>
              </w:rPr>
            </w:pPr>
          </w:p>
        </w:tc>
        <w:tc>
          <w:tcPr>
            <w:tcW w:w="372" w:type="pct"/>
            <w:tcBorders>
              <w:left w:val="nil"/>
              <w:right w:val="nil"/>
            </w:tcBorders>
          </w:tcPr>
          <w:p w14:paraId="0A30289A" w14:textId="77777777" w:rsidR="007162DB" w:rsidRPr="00FE4F4C" w:rsidRDefault="007162DB" w:rsidP="007238C3">
            <w:pPr>
              <w:spacing w:line="240" w:lineRule="auto"/>
              <w:rPr>
                <w:rFonts w:eastAsia="Times New Roman" w:cs="Times New Roman"/>
                <w:sz w:val="20"/>
                <w:szCs w:val="20"/>
              </w:rPr>
            </w:pPr>
          </w:p>
        </w:tc>
      </w:tr>
      <w:tr w:rsidR="007162DB" w:rsidRPr="00FE4F4C" w14:paraId="4037A725" w14:textId="77777777" w:rsidTr="007238C3">
        <w:trPr>
          <w:gridAfter w:val="1"/>
          <w:wAfter w:w="230" w:type="pct"/>
          <w:trHeight w:val="337"/>
        </w:trPr>
        <w:tc>
          <w:tcPr>
            <w:tcW w:w="1585" w:type="pct"/>
            <w:tcBorders>
              <w:left w:val="nil"/>
              <w:bottom w:val="nil"/>
              <w:right w:val="nil"/>
            </w:tcBorders>
            <w:shd w:val="clear" w:color="auto" w:fill="auto"/>
            <w:noWrap/>
          </w:tcPr>
          <w:p w14:paraId="2B1A9E20" w14:textId="77777777" w:rsidR="007162DB" w:rsidRPr="00FE4F4C" w:rsidRDefault="007162DB" w:rsidP="007238C3">
            <w:pPr>
              <w:spacing w:line="240" w:lineRule="auto"/>
              <w:rPr>
                <w:rFonts w:eastAsia="Times New Roman" w:cs="Times New Roman"/>
                <w:sz w:val="20"/>
                <w:szCs w:val="20"/>
              </w:rPr>
            </w:pPr>
            <w:r w:rsidRPr="00FE4F4C">
              <w:rPr>
                <w:rFonts w:cs="Times New Roman"/>
                <w:sz w:val="20"/>
                <w:szCs w:val="20"/>
              </w:rPr>
              <w:t>Female (N, %)</w:t>
            </w:r>
          </w:p>
        </w:tc>
        <w:tc>
          <w:tcPr>
            <w:tcW w:w="543" w:type="pct"/>
            <w:tcBorders>
              <w:left w:val="nil"/>
              <w:bottom w:val="nil"/>
              <w:right w:val="nil"/>
            </w:tcBorders>
          </w:tcPr>
          <w:p w14:paraId="3730F762"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17</w:t>
            </w:r>
            <w:r w:rsidRPr="00FE4F4C">
              <w:rPr>
                <w:rFonts w:eastAsia="Times New Roman" w:cs="Times New Roman"/>
                <w:sz w:val="20"/>
                <w:szCs w:val="20"/>
              </w:rPr>
              <w:t xml:space="preserve"> (</w:t>
            </w:r>
            <w:r>
              <w:rPr>
                <w:rFonts w:eastAsia="Times New Roman" w:cs="Times New Roman"/>
                <w:sz w:val="20"/>
                <w:szCs w:val="20"/>
              </w:rPr>
              <w:t>45.9</w:t>
            </w:r>
            <w:r w:rsidRPr="00FE4F4C">
              <w:rPr>
                <w:rFonts w:eastAsia="Times New Roman" w:cs="Times New Roman"/>
                <w:sz w:val="20"/>
                <w:szCs w:val="20"/>
              </w:rPr>
              <w:t>)</w:t>
            </w:r>
          </w:p>
        </w:tc>
        <w:tc>
          <w:tcPr>
            <w:tcW w:w="570" w:type="pct"/>
            <w:gridSpan w:val="3"/>
            <w:tcBorders>
              <w:left w:val="nil"/>
              <w:bottom w:val="nil"/>
              <w:right w:val="nil"/>
            </w:tcBorders>
          </w:tcPr>
          <w:p w14:paraId="6C8F488F" w14:textId="77777777" w:rsidR="007162DB" w:rsidRPr="00FE4F4C" w:rsidRDefault="007162DB" w:rsidP="007238C3">
            <w:pPr>
              <w:spacing w:line="240" w:lineRule="auto"/>
              <w:rPr>
                <w:rFonts w:eastAsia="Times New Roman" w:cs="Times New Roman"/>
                <w:sz w:val="20"/>
                <w:szCs w:val="20"/>
              </w:rPr>
            </w:pPr>
            <w:r w:rsidRPr="00FE4F4C">
              <w:rPr>
                <w:rFonts w:eastAsia="Times New Roman" w:cs="Times New Roman"/>
                <w:sz w:val="20"/>
                <w:szCs w:val="20"/>
              </w:rPr>
              <w:t>-</w:t>
            </w:r>
          </w:p>
        </w:tc>
        <w:tc>
          <w:tcPr>
            <w:tcW w:w="765" w:type="pct"/>
            <w:gridSpan w:val="4"/>
            <w:tcBorders>
              <w:left w:val="nil"/>
              <w:bottom w:val="nil"/>
              <w:right w:val="nil"/>
            </w:tcBorders>
          </w:tcPr>
          <w:p w14:paraId="4FDF8D9C" w14:textId="77777777" w:rsidR="007162DB" w:rsidRPr="00FE4F4C" w:rsidRDefault="007162DB" w:rsidP="007238C3">
            <w:pPr>
              <w:spacing w:line="240" w:lineRule="auto"/>
              <w:jc w:val="both"/>
              <w:rPr>
                <w:rFonts w:cs="Times New Roman"/>
                <w:i/>
                <w:iCs/>
                <w:sz w:val="20"/>
                <w:szCs w:val="20"/>
              </w:rPr>
            </w:pPr>
            <w:r w:rsidRPr="00FE4F4C">
              <w:rPr>
                <w:rFonts w:cs="Times New Roman"/>
                <w:i/>
                <w:iCs/>
                <w:sz w:val="20"/>
                <w:szCs w:val="20"/>
              </w:rPr>
              <w:t>0.</w:t>
            </w:r>
            <w:r>
              <w:rPr>
                <w:rFonts w:cs="Times New Roman"/>
                <w:i/>
                <w:iCs/>
                <w:sz w:val="20"/>
                <w:szCs w:val="20"/>
              </w:rPr>
              <w:t>62</w:t>
            </w:r>
          </w:p>
        </w:tc>
        <w:tc>
          <w:tcPr>
            <w:tcW w:w="220" w:type="pct"/>
            <w:tcBorders>
              <w:left w:val="nil"/>
              <w:bottom w:val="nil"/>
              <w:right w:val="nil"/>
            </w:tcBorders>
          </w:tcPr>
          <w:p w14:paraId="4E4876A8" w14:textId="77777777" w:rsidR="007162DB" w:rsidRPr="00FE4F4C" w:rsidRDefault="007162DB" w:rsidP="007238C3">
            <w:pPr>
              <w:spacing w:line="240" w:lineRule="auto"/>
              <w:rPr>
                <w:rFonts w:cs="Times New Roman"/>
                <w:iCs/>
                <w:sz w:val="20"/>
                <w:szCs w:val="20"/>
              </w:rPr>
            </w:pPr>
            <w:r w:rsidRPr="00FE4F4C">
              <w:rPr>
                <w:rFonts w:cs="Times New Roman"/>
                <w:iCs/>
                <w:sz w:val="20"/>
                <w:szCs w:val="20"/>
              </w:rPr>
              <w:t>1</w:t>
            </w:r>
          </w:p>
        </w:tc>
        <w:tc>
          <w:tcPr>
            <w:tcW w:w="484" w:type="pct"/>
            <w:gridSpan w:val="5"/>
            <w:tcBorders>
              <w:top w:val="nil"/>
              <w:left w:val="nil"/>
              <w:bottom w:val="nil"/>
              <w:right w:val="nil"/>
            </w:tcBorders>
          </w:tcPr>
          <w:p w14:paraId="4CFCF4D4" w14:textId="77777777" w:rsidR="007162DB" w:rsidRPr="00FE4F4C" w:rsidRDefault="007162DB" w:rsidP="007238C3">
            <w:pPr>
              <w:spacing w:line="240" w:lineRule="auto"/>
              <w:rPr>
                <w:rFonts w:cs="Times New Roman"/>
                <w:iCs/>
                <w:sz w:val="20"/>
                <w:szCs w:val="20"/>
              </w:rPr>
            </w:pPr>
            <w:r w:rsidRPr="00FE4F4C">
              <w:rPr>
                <w:rFonts w:cs="Times New Roman"/>
                <w:iCs/>
                <w:sz w:val="20"/>
                <w:szCs w:val="20"/>
              </w:rPr>
              <w:t>0.</w:t>
            </w:r>
            <w:r>
              <w:rPr>
                <w:rFonts w:cs="Times New Roman"/>
                <w:iCs/>
                <w:sz w:val="20"/>
                <w:szCs w:val="20"/>
              </w:rPr>
              <w:t>243</w:t>
            </w:r>
          </w:p>
        </w:tc>
        <w:tc>
          <w:tcPr>
            <w:tcW w:w="231" w:type="pct"/>
            <w:gridSpan w:val="2"/>
            <w:tcBorders>
              <w:top w:val="nil"/>
              <w:left w:val="nil"/>
              <w:bottom w:val="nil"/>
              <w:right w:val="nil"/>
            </w:tcBorders>
          </w:tcPr>
          <w:p w14:paraId="1F495524"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nil"/>
              <w:right w:val="nil"/>
            </w:tcBorders>
          </w:tcPr>
          <w:p w14:paraId="5B53FDAC" w14:textId="77777777" w:rsidR="007162DB" w:rsidRPr="00FE4F4C" w:rsidRDefault="007162DB" w:rsidP="007238C3">
            <w:pPr>
              <w:spacing w:line="192" w:lineRule="auto"/>
              <w:jc w:val="center"/>
              <w:rPr>
                <w:rFonts w:cs="Times New Roman"/>
                <w:sz w:val="20"/>
                <w:szCs w:val="20"/>
              </w:rPr>
            </w:pPr>
          </w:p>
        </w:tc>
      </w:tr>
      <w:tr w:rsidR="007162DB" w:rsidRPr="00FE4F4C" w14:paraId="224E8F6B" w14:textId="77777777" w:rsidTr="007238C3">
        <w:trPr>
          <w:gridAfter w:val="1"/>
          <w:wAfter w:w="230" w:type="pct"/>
          <w:trHeight w:val="337"/>
        </w:trPr>
        <w:tc>
          <w:tcPr>
            <w:tcW w:w="1585" w:type="pct"/>
            <w:tcBorders>
              <w:left w:val="nil"/>
              <w:right w:val="nil"/>
            </w:tcBorders>
            <w:shd w:val="clear" w:color="auto" w:fill="auto"/>
            <w:noWrap/>
          </w:tcPr>
          <w:p w14:paraId="3214135B" w14:textId="77777777" w:rsidR="007162DB" w:rsidRPr="00FE4F4C" w:rsidRDefault="007162DB" w:rsidP="007238C3">
            <w:pPr>
              <w:spacing w:line="240" w:lineRule="auto"/>
              <w:rPr>
                <w:rFonts w:cs="Times New Roman"/>
                <w:sz w:val="20"/>
                <w:szCs w:val="20"/>
              </w:rPr>
            </w:pPr>
            <w:r w:rsidRPr="00FE4F4C">
              <w:rPr>
                <w:rFonts w:cs="Times New Roman"/>
                <w:sz w:val="20"/>
                <w:szCs w:val="20"/>
              </w:rPr>
              <w:t>Stimulation Order (Exc-Inh, %)</w:t>
            </w:r>
          </w:p>
        </w:tc>
        <w:tc>
          <w:tcPr>
            <w:tcW w:w="543" w:type="pct"/>
            <w:tcBorders>
              <w:left w:val="nil"/>
              <w:right w:val="nil"/>
            </w:tcBorders>
          </w:tcPr>
          <w:p w14:paraId="47374687" w14:textId="77777777" w:rsidR="007162DB" w:rsidRPr="00FE4F4C" w:rsidRDefault="007162DB" w:rsidP="007238C3">
            <w:pPr>
              <w:spacing w:line="240" w:lineRule="auto"/>
              <w:rPr>
                <w:rFonts w:cs="Times New Roman"/>
                <w:sz w:val="20"/>
                <w:szCs w:val="20"/>
              </w:rPr>
            </w:pPr>
            <w:r>
              <w:rPr>
                <w:rFonts w:eastAsia="Times New Roman" w:cs="Times New Roman"/>
                <w:sz w:val="20"/>
                <w:szCs w:val="20"/>
              </w:rPr>
              <w:t>19</w:t>
            </w:r>
            <w:r w:rsidRPr="00FE4F4C">
              <w:rPr>
                <w:rFonts w:eastAsia="Times New Roman" w:cs="Times New Roman"/>
                <w:sz w:val="20"/>
                <w:szCs w:val="20"/>
              </w:rPr>
              <w:t xml:space="preserve"> (51.</w:t>
            </w:r>
            <w:r>
              <w:rPr>
                <w:rFonts w:eastAsia="Times New Roman" w:cs="Times New Roman"/>
                <w:sz w:val="20"/>
                <w:szCs w:val="20"/>
              </w:rPr>
              <w:t>4</w:t>
            </w:r>
            <w:r w:rsidRPr="00FE4F4C">
              <w:rPr>
                <w:rFonts w:eastAsia="Times New Roman" w:cs="Times New Roman"/>
                <w:sz w:val="20"/>
                <w:szCs w:val="20"/>
              </w:rPr>
              <w:t>)</w:t>
            </w:r>
          </w:p>
        </w:tc>
        <w:tc>
          <w:tcPr>
            <w:tcW w:w="570" w:type="pct"/>
            <w:gridSpan w:val="3"/>
            <w:tcBorders>
              <w:left w:val="nil"/>
              <w:right w:val="nil"/>
            </w:tcBorders>
          </w:tcPr>
          <w:p w14:paraId="2E9972EC" w14:textId="77777777" w:rsidR="007162DB" w:rsidRPr="00FE4F4C" w:rsidRDefault="007162DB" w:rsidP="007238C3">
            <w:pPr>
              <w:spacing w:line="240" w:lineRule="auto"/>
              <w:rPr>
                <w:rFonts w:eastAsia="Times New Roman" w:cs="Times New Roman"/>
                <w:sz w:val="20"/>
                <w:szCs w:val="20"/>
              </w:rPr>
            </w:pPr>
            <w:r w:rsidRPr="00FE4F4C">
              <w:rPr>
                <w:rFonts w:eastAsia="Times New Roman" w:cs="Times New Roman"/>
                <w:sz w:val="20"/>
                <w:szCs w:val="20"/>
              </w:rPr>
              <w:t>-</w:t>
            </w:r>
          </w:p>
        </w:tc>
        <w:tc>
          <w:tcPr>
            <w:tcW w:w="765" w:type="pct"/>
            <w:gridSpan w:val="4"/>
            <w:tcBorders>
              <w:left w:val="nil"/>
              <w:right w:val="nil"/>
            </w:tcBorders>
          </w:tcPr>
          <w:p w14:paraId="4FDAA552" w14:textId="77777777" w:rsidR="007162DB" w:rsidRPr="00FE4F4C" w:rsidRDefault="007162DB" w:rsidP="007238C3">
            <w:pPr>
              <w:spacing w:line="240" w:lineRule="auto"/>
              <w:rPr>
                <w:rFonts w:cs="Times New Roman"/>
                <w:i/>
                <w:sz w:val="20"/>
                <w:szCs w:val="20"/>
              </w:rPr>
            </w:pPr>
            <w:r w:rsidRPr="00FE4F4C">
              <w:rPr>
                <w:rFonts w:cs="Times New Roman"/>
                <w:i/>
                <w:iCs/>
                <w:sz w:val="20"/>
                <w:szCs w:val="20"/>
              </w:rPr>
              <w:t>0.0</w:t>
            </w:r>
            <w:r>
              <w:rPr>
                <w:rFonts w:cs="Times New Roman"/>
                <w:i/>
                <w:iCs/>
                <w:sz w:val="20"/>
                <w:szCs w:val="20"/>
              </w:rPr>
              <w:t>3</w:t>
            </w:r>
          </w:p>
        </w:tc>
        <w:tc>
          <w:tcPr>
            <w:tcW w:w="220" w:type="pct"/>
            <w:tcBorders>
              <w:left w:val="nil"/>
              <w:right w:val="nil"/>
            </w:tcBorders>
          </w:tcPr>
          <w:p w14:paraId="12050F9C" w14:textId="77777777" w:rsidR="007162DB" w:rsidRPr="00FE4F4C" w:rsidRDefault="007162DB" w:rsidP="007238C3">
            <w:pPr>
              <w:spacing w:line="240" w:lineRule="auto"/>
              <w:rPr>
                <w:rFonts w:cs="Times New Roman"/>
                <w:iCs/>
                <w:sz w:val="20"/>
                <w:szCs w:val="20"/>
              </w:rPr>
            </w:pPr>
            <w:r w:rsidRPr="00FE4F4C">
              <w:rPr>
                <w:rFonts w:cs="Times New Roman"/>
                <w:iCs/>
                <w:sz w:val="20"/>
                <w:szCs w:val="20"/>
              </w:rPr>
              <w:t>1</w:t>
            </w:r>
          </w:p>
        </w:tc>
        <w:tc>
          <w:tcPr>
            <w:tcW w:w="484" w:type="pct"/>
            <w:gridSpan w:val="5"/>
            <w:tcBorders>
              <w:top w:val="nil"/>
              <w:left w:val="nil"/>
              <w:right w:val="nil"/>
            </w:tcBorders>
          </w:tcPr>
          <w:p w14:paraId="67349ED3" w14:textId="77777777" w:rsidR="007162DB" w:rsidRPr="00FE4F4C" w:rsidRDefault="007162DB" w:rsidP="007238C3">
            <w:pPr>
              <w:spacing w:line="240" w:lineRule="auto"/>
              <w:rPr>
                <w:rFonts w:cs="Times New Roman"/>
                <w:iCs/>
                <w:sz w:val="20"/>
                <w:szCs w:val="20"/>
              </w:rPr>
            </w:pPr>
            <w:r w:rsidRPr="00FE4F4C">
              <w:rPr>
                <w:rFonts w:cs="Times New Roman"/>
                <w:iCs/>
                <w:sz w:val="20"/>
                <w:szCs w:val="20"/>
              </w:rPr>
              <w:t>0.8</w:t>
            </w:r>
            <w:r>
              <w:rPr>
                <w:rFonts w:cs="Times New Roman"/>
                <w:iCs/>
                <w:sz w:val="20"/>
                <w:szCs w:val="20"/>
              </w:rPr>
              <w:t>69</w:t>
            </w:r>
          </w:p>
        </w:tc>
        <w:tc>
          <w:tcPr>
            <w:tcW w:w="231" w:type="pct"/>
            <w:gridSpan w:val="2"/>
            <w:tcBorders>
              <w:top w:val="nil"/>
              <w:left w:val="nil"/>
              <w:right w:val="nil"/>
            </w:tcBorders>
          </w:tcPr>
          <w:p w14:paraId="68BDE59B"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right w:val="nil"/>
            </w:tcBorders>
          </w:tcPr>
          <w:p w14:paraId="581E6D28" w14:textId="77777777" w:rsidR="007162DB" w:rsidRPr="00FE4F4C" w:rsidRDefault="007162DB" w:rsidP="007238C3">
            <w:pPr>
              <w:spacing w:line="192" w:lineRule="auto"/>
              <w:jc w:val="center"/>
              <w:rPr>
                <w:rFonts w:cs="Times New Roman"/>
                <w:sz w:val="20"/>
                <w:szCs w:val="20"/>
              </w:rPr>
            </w:pPr>
          </w:p>
        </w:tc>
      </w:tr>
      <w:tr w:rsidR="007162DB" w:rsidRPr="00FE4F4C" w14:paraId="3A5C62B4" w14:textId="77777777" w:rsidTr="007238C3">
        <w:trPr>
          <w:gridAfter w:val="1"/>
          <w:wAfter w:w="230" w:type="pct"/>
          <w:trHeight w:val="337"/>
        </w:trPr>
        <w:tc>
          <w:tcPr>
            <w:tcW w:w="1585" w:type="pct"/>
            <w:tcBorders>
              <w:left w:val="nil"/>
              <w:bottom w:val="single" w:sz="4" w:space="0" w:color="auto"/>
              <w:right w:val="nil"/>
            </w:tcBorders>
            <w:shd w:val="clear" w:color="auto" w:fill="auto"/>
            <w:noWrap/>
            <w:vAlign w:val="center"/>
          </w:tcPr>
          <w:p w14:paraId="3AE0C753" w14:textId="77777777" w:rsidR="007162DB" w:rsidRPr="00FE4F4C" w:rsidRDefault="007162DB" w:rsidP="007238C3">
            <w:pPr>
              <w:spacing w:line="240" w:lineRule="auto"/>
              <w:rPr>
                <w:rFonts w:eastAsia="Times New Roman" w:cs="Times New Roman"/>
                <w:sz w:val="20"/>
                <w:szCs w:val="20"/>
              </w:rPr>
            </w:pPr>
            <w:r w:rsidRPr="00FE4F4C">
              <w:rPr>
                <w:rFonts w:eastAsia="Times New Roman" w:cs="Times New Roman"/>
                <w:sz w:val="20"/>
                <w:szCs w:val="20"/>
              </w:rPr>
              <w:t xml:space="preserve">Age (years) </w:t>
            </w:r>
          </w:p>
        </w:tc>
        <w:tc>
          <w:tcPr>
            <w:tcW w:w="543" w:type="pct"/>
            <w:tcBorders>
              <w:left w:val="nil"/>
              <w:bottom w:val="single" w:sz="4" w:space="0" w:color="auto"/>
              <w:right w:val="nil"/>
            </w:tcBorders>
          </w:tcPr>
          <w:p w14:paraId="5C4B919E" w14:textId="77777777" w:rsidR="007162DB" w:rsidRPr="00FE4F4C" w:rsidRDefault="007162DB" w:rsidP="007238C3">
            <w:pPr>
              <w:spacing w:line="240" w:lineRule="auto"/>
              <w:rPr>
                <w:rFonts w:eastAsia="Times New Roman" w:cs="Times New Roman"/>
                <w:sz w:val="20"/>
                <w:szCs w:val="20"/>
              </w:rPr>
            </w:pPr>
            <w:r w:rsidRPr="00FE4F4C">
              <w:rPr>
                <w:rFonts w:eastAsia="Times New Roman" w:cs="Times New Roman"/>
                <w:sz w:val="20"/>
                <w:szCs w:val="20"/>
              </w:rPr>
              <w:t>23.</w:t>
            </w:r>
            <w:r>
              <w:rPr>
                <w:rFonts w:eastAsia="Times New Roman" w:cs="Times New Roman"/>
                <w:sz w:val="20"/>
                <w:szCs w:val="20"/>
              </w:rPr>
              <w:t>42</w:t>
            </w:r>
          </w:p>
        </w:tc>
        <w:tc>
          <w:tcPr>
            <w:tcW w:w="570" w:type="pct"/>
            <w:gridSpan w:val="3"/>
            <w:tcBorders>
              <w:left w:val="nil"/>
              <w:bottom w:val="single" w:sz="4" w:space="0" w:color="auto"/>
              <w:right w:val="nil"/>
            </w:tcBorders>
          </w:tcPr>
          <w:p w14:paraId="5A1E4BC4"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2.70</w:t>
            </w:r>
          </w:p>
        </w:tc>
        <w:tc>
          <w:tcPr>
            <w:tcW w:w="765" w:type="pct"/>
            <w:gridSpan w:val="4"/>
            <w:tcBorders>
              <w:left w:val="nil"/>
              <w:bottom w:val="single" w:sz="4" w:space="0" w:color="auto"/>
              <w:right w:val="nil"/>
            </w:tcBorders>
          </w:tcPr>
          <w:p w14:paraId="574D7139" w14:textId="77777777" w:rsidR="007162DB" w:rsidRPr="00FE4F4C" w:rsidRDefault="007162DB" w:rsidP="007238C3">
            <w:pPr>
              <w:spacing w:line="240" w:lineRule="auto"/>
              <w:rPr>
                <w:rFonts w:eastAsia="Times New Roman" w:cs="Times New Roman"/>
                <w:sz w:val="20"/>
                <w:szCs w:val="20"/>
              </w:rPr>
            </w:pPr>
          </w:p>
        </w:tc>
        <w:tc>
          <w:tcPr>
            <w:tcW w:w="220" w:type="pct"/>
            <w:tcBorders>
              <w:left w:val="nil"/>
              <w:bottom w:val="single" w:sz="4" w:space="0" w:color="auto"/>
              <w:right w:val="nil"/>
            </w:tcBorders>
          </w:tcPr>
          <w:p w14:paraId="50FD7B70"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top w:val="nil"/>
              <w:left w:val="nil"/>
              <w:bottom w:val="single" w:sz="4" w:space="0" w:color="auto"/>
              <w:right w:val="nil"/>
            </w:tcBorders>
            <w:vAlign w:val="center"/>
          </w:tcPr>
          <w:p w14:paraId="27754876"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top w:val="nil"/>
              <w:left w:val="nil"/>
              <w:bottom w:val="single" w:sz="4" w:space="0" w:color="auto"/>
              <w:right w:val="nil"/>
            </w:tcBorders>
          </w:tcPr>
          <w:p w14:paraId="5969A95D"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single" w:sz="4" w:space="0" w:color="auto"/>
              <w:right w:val="nil"/>
            </w:tcBorders>
          </w:tcPr>
          <w:p w14:paraId="45932E1A" w14:textId="77777777" w:rsidR="007162DB" w:rsidRPr="00FE4F4C" w:rsidRDefault="007162DB" w:rsidP="007238C3">
            <w:pPr>
              <w:spacing w:line="240" w:lineRule="auto"/>
              <w:rPr>
                <w:rFonts w:cs="Times New Roman"/>
                <w:sz w:val="20"/>
                <w:szCs w:val="24"/>
              </w:rPr>
            </w:pPr>
          </w:p>
        </w:tc>
      </w:tr>
      <w:tr w:rsidR="007162DB" w:rsidRPr="00FE4F4C" w14:paraId="5CF8A611" w14:textId="77777777" w:rsidTr="007238C3">
        <w:trPr>
          <w:gridAfter w:val="13"/>
          <w:wAfter w:w="2071" w:type="pct"/>
          <w:trHeight w:val="337"/>
        </w:trPr>
        <w:tc>
          <w:tcPr>
            <w:tcW w:w="1585" w:type="pct"/>
            <w:tcBorders>
              <w:left w:val="nil"/>
              <w:bottom w:val="nil"/>
              <w:right w:val="nil"/>
            </w:tcBorders>
            <w:shd w:val="clear" w:color="auto" w:fill="auto"/>
            <w:noWrap/>
            <w:vAlign w:val="center"/>
          </w:tcPr>
          <w:p w14:paraId="05436345" w14:textId="77777777" w:rsidR="007162DB" w:rsidRPr="00FE4F4C" w:rsidRDefault="007162DB" w:rsidP="007238C3">
            <w:pPr>
              <w:spacing w:after="0" w:line="240" w:lineRule="auto"/>
              <w:rPr>
                <w:rFonts w:eastAsia="Times New Roman" w:cs="Times New Roman"/>
                <w:b/>
                <w:sz w:val="20"/>
                <w:szCs w:val="20"/>
              </w:rPr>
            </w:pPr>
            <w:r w:rsidRPr="00FE4F4C">
              <w:rPr>
                <w:rFonts w:eastAsia="Times New Roman" w:cs="Times New Roman"/>
                <w:b/>
                <w:sz w:val="20"/>
                <w:szCs w:val="20"/>
              </w:rPr>
              <w:t xml:space="preserve">Psychometric </w:t>
            </w:r>
          </w:p>
          <w:p w14:paraId="0543F34F" w14:textId="77777777" w:rsidR="007162DB" w:rsidRPr="00FE4F4C" w:rsidRDefault="007162DB" w:rsidP="007238C3">
            <w:pPr>
              <w:spacing w:line="240" w:lineRule="auto"/>
              <w:rPr>
                <w:rFonts w:cs="Times New Roman"/>
                <w:sz w:val="20"/>
                <w:szCs w:val="20"/>
              </w:rPr>
            </w:pPr>
            <w:r w:rsidRPr="00FE4F4C">
              <w:rPr>
                <w:rFonts w:eastAsia="Times New Roman" w:cs="Times New Roman"/>
                <w:b/>
                <w:sz w:val="20"/>
                <w:szCs w:val="20"/>
              </w:rPr>
              <w:t xml:space="preserve">Characteristics </w:t>
            </w:r>
          </w:p>
        </w:tc>
        <w:tc>
          <w:tcPr>
            <w:tcW w:w="543" w:type="pct"/>
            <w:tcBorders>
              <w:left w:val="nil"/>
              <w:bottom w:val="nil"/>
              <w:right w:val="nil"/>
            </w:tcBorders>
            <w:vAlign w:val="center"/>
          </w:tcPr>
          <w:p w14:paraId="1AD9DBBE" w14:textId="77777777" w:rsidR="007162DB" w:rsidRPr="00FE4F4C" w:rsidRDefault="007162DB" w:rsidP="007238C3">
            <w:pPr>
              <w:spacing w:line="240" w:lineRule="auto"/>
              <w:rPr>
                <w:rFonts w:cs="Times New Roman"/>
                <w:sz w:val="20"/>
                <w:szCs w:val="20"/>
              </w:rPr>
            </w:pPr>
          </w:p>
        </w:tc>
        <w:tc>
          <w:tcPr>
            <w:tcW w:w="570" w:type="pct"/>
            <w:gridSpan w:val="3"/>
            <w:tcBorders>
              <w:left w:val="nil"/>
              <w:bottom w:val="nil"/>
              <w:right w:val="nil"/>
            </w:tcBorders>
          </w:tcPr>
          <w:p w14:paraId="32CFCAC9" w14:textId="77777777" w:rsidR="007162DB" w:rsidRPr="00FE4F4C" w:rsidRDefault="007162DB" w:rsidP="007238C3">
            <w:pPr>
              <w:spacing w:line="240" w:lineRule="auto"/>
              <w:rPr>
                <w:rFonts w:cs="Times New Roman"/>
                <w:sz w:val="20"/>
                <w:szCs w:val="20"/>
              </w:rPr>
            </w:pPr>
          </w:p>
        </w:tc>
        <w:tc>
          <w:tcPr>
            <w:tcW w:w="231" w:type="pct"/>
            <w:tcBorders>
              <w:top w:val="nil"/>
              <w:left w:val="nil"/>
              <w:bottom w:val="nil"/>
              <w:right w:val="nil"/>
            </w:tcBorders>
          </w:tcPr>
          <w:p w14:paraId="68A354CA" w14:textId="77777777" w:rsidR="007162DB" w:rsidRPr="00FE4F4C" w:rsidRDefault="007162DB" w:rsidP="007238C3">
            <w:pPr>
              <w:spacing w:line="240" w:lineRule="auto"/>
              <w:rPr>
                <w:rFonts w:eastAsia="Times New Roman" w:cs="Times New Roman"/>
                <w:sz w:val="20"/>
                <w:szCs w:val="20"/>
              </w:rPr>
            </w:pPr>
          </w:p>
        </w:tc>
      </w:tr>
      <w:tr w:rsidR="007162DB" w:rsidRPr="00FE4F4C" w14:paraId="3054DB38" w14:textId="77777777" w:rsidTr="007238C3">
        <w:trPr>
          <w:gridAfter w:val="13"/>
          <w:wAfter w:w="2071" w:type="pct"/>
          <w:trHeight w:val="337"/>
        </w:trPr>
        <w:tc>
          <w:tcPr>
            <w:tcW w:w="1585" w:type="pct"/>
            <w:tcBorders>
              <w:left w:val="nil"/>
              <w:bottom w:val="nil"/>
              <w:right w:val="nil"/>
            </w:tcBorders>
            <w:shd w:val="clear" w:color="auto" w:fill="auto"/>
            <w:noWrap/>
          </w:tcPr>
          <w:p w14:paraId="4A07CE77" w14:textId="77777777" w:rsidR="007162DB" w:rsidRPr="00FE4F4C" w:rsidRDefault="007162DB" w:rsidP="007238C3">
            <w:pPr>
              <w:spacing w:line="240" w:lineRule="auto"/>
              <w:rPr>
                <w:rFonts w:cs="Times New Roman"/>
                <w:sz w:val="20"/>
                <w:szCs w:val="20"/>
              </w:rPr>
            </w:pPr>
            <w:r w:rsidRPr="00FE4F4C">
              <w:rPr>
                <w:rFonts w:cs="Times New Roman"/>
                <w:sz w:val="20"/>
                <w:szCs w:val="20"/>
              </w:rPr>
              <w:lastRenderedPageBreak/>
              <w:t>BDI-II</w:t>
            </w:r>
          </w:p>
        </w:tc>
        <w:tc>
          <w:tcPr>
            <w:tcW w:w="543" w:type="pct"/>
            <w:tcBorders>
              <w:left w:val="nil"/>
              <w:bottom w:val="nil"/>
              <w:right w:val="nil"/>
            </w:tcBorders>
          </w:tcPr>
          <w:p w14:paraId="2888817A" w14:textId="77777777" w:rsidR="007162DB" w:rsidRPr="00FE4F4C" w:rsidRDefault="007162DB" w:rsidP="007238C3">
            <w:pPr>
              <w:spacing w:line="240" w:lineRule="auto"/>
              <w:rPr>
                <w:rFonts w:cs="Times New Roman"/>
                <w:sz w:val="20"/>
                <w:szCs w:val="20"/>
              </w:rPr>
            </w:pPr>
            <w:r>
              <w:rPr>
                <w:rFonts w:cs="Times New Roman"/>
                <w:sz w:val="20"/>
                <w:szCs w:val="20"/>
              </w:rPr>
              <w:t>2.78</w:t>
            </w:r>
          </w:p>
        </w:tc>
        <w:tc>
          <w:tcPr>
            <w:tcW w:w="570" w:type="pct"/>
            <w:gridSpan w:val="3"/>
            <w:tcBorders>
              <w:left w:val="nil"/>
              <w:bottom w:val="nil"/>
              <w:right w:val="nil"/>
            </w:tcBorders>
          </w:tcPr>
          <w:p w14:paraId="17DBDB6C" w14:textId="77777777" w:rsidR="007162DB" w:rsidRPr="00FE4F4C" w:rsidRDefault="007162DB" w:rsidP="007238C3">
            <w:pPr>
              <w:spacing w:line="240" w:lineRule="auto"/>
              <w:rPr>
                <w:rFonts w:cs="Times New Roman"/>
                <w:sz w:val="20"/>
                <w:szCs w:val="20"/>
              </w:rPr>
            </w:pPr>
            <w:r w:rsidRPr="00FE4F4C">
              <w:rPr>
                <w:rFonts w:cs="Times New Roman"/>
                <w:sz w:val="20"/>
                <w:szCs w:val="20"/>
              </w:rPr>
              <w:t>2.</w:t>
            </w:r>
            <w:r>
              <w:rPr>
                <w:rFonts w:cs="Times New Roman"/>
                <w:sz w:val="20"/>
                <w:szCs w:val="20"/>
              </w:rPr>
              <w:t>65</w:t>
            </w:r>
          </w:p>
        </w:tc>
        <w:tc>
          <w:tcPr>
            <w:tcW w:w="231" w:type="pct"/>
            <w:tcBorders>
              <w:top w:val="nil"/>
              <w:left w:val="nil"/>
              <w:bottom w:val="nil"/>
              <w:right w:val="nil"/>
            </w:tcBorders>
          </w:tcPr>
          <w:p w14:paraId="687D7741" w14:textId="77777777" w:rsidR="007162DB" w:rsidRPr="00FE4F4C" w:rsidRDefault="007162DB" w:rsidP="007238C3">
            <w:pPr>
              <w:spacing w:line="240" w:lineRule="auto"/>
              <w:rPr>
                <w:rFonts w:eastAsia="Times New Roman" w:cs="Times New Roman"/>
                <w:sz w:val="20"/>
                <w:szCs w:val="20"/>
              </w:rPr>
            </w:pPr>
          </w:p>
        </w:tc>
      </w:tr>
      <w:tr w:rsidR="007162DB" w:rsidRPr="00FE4F4C" w14:paraId="7C048E72" w14:textId="77777777" w:rsidTr="007238C3">
        <w:trPr>
          <w:gridAfter w:val="13"/>
          <w:wAfter w:w="2071" w:type="pct"/>
          <w:trHeight w:val="337"/>
        </w:trPr>
        <w:tc>
          <w:tcPr>
            <w:tcW w:w="1585" w:type="pct"/>
            <w:tcBorders>
              <w:left w:val="nil"/>
              <w:right w:val="nil"/>
            </w:tcBorders>
            <w:shd w:val="clear" w:color="auto" w:fill="auto"/>
            <w:noWrap/>
          </w:tcPr>
          <w:p w14:paraId="426ACEAE" w14:textId="77777777" w:rsidR="007162DB" w:rsidRPr="00FE4F4C" w:rsidRDefault="007162DB" w:rsidP="007238C3">
            <w:pPr>
              <w:spacing w:line="240" w:lineRule="auto"/>
              <w:rPr>
                <w:rFonts w:eastAsia="Times New Roman" w:cs="Times New Roman"/>
                <w:sz w:val="20"/>
                <w:szCs w:val="20"/>
              </w:rPr>
            </w:pPr>
            <w:r w:rsidRPr="00FE4F4C">
              <w:rPr>
                <w:rFonts w:cs="Times New Roman"/>
                <w:sz w:val="20"/>
                <w:szCs w:val="20"/>
              </w:rPr>
              <w:t>RR</w:t>
            </w:r>
          </w:p>
        </w:tc>
        <w:tc>
          <w:tcPr>
            <w:tcW w:w="543" w:type="pct"/>
            <w:tcBorders>
              <w:left w:val="nil"/>
              <w:right w:val="nil"/>
            </w:tcBorders>
          </w:tcPr>
          <w:p w14:paraId="1687D32A" w14:textId="77777777" w:rsidR="007162DB" w:rsidRPr="00FE4F4C" w:rsidRDefault="007162DB" w:rsidP="007238C3">
            <w:pPr>
              <w:spacing w:line="240" w:lineRule="auto"/>
              <w:rPr>
                <w:rFonts w:eastAsia="Times New Roman" w:cs="Times New Roman"/>
                <w:sz w:val="20"/>
                <w:szCs w:val="20"/>
              </w:rPr>
            </w:pPr>
            <w:r w:rsidRPr="00FE4F4C">
              <w:rPr>
                <w:rFonts w:cs="Times New Roman"/>
                <w:sz w:val="20"/>
                <w:szCs w:val="20"/>
              </w:rPr>
              <w:t>25.</w:t>
            </w:r>
            <w:r>
              <w:rPr>
                <w:rFonts w:cs="Times New Roman"/>
                <w:sz w:val="20"/>
                <w:szCs w:val="20"/>
              </w:rPr>
              <w:t>7</w:t>
            </w:r>
            <w:r w:rsidRPr="00FE4F4C">
              <w:rPr>
                <w:rFonts w:cs="Times New Roman"/>
                <w:sz w:val="20"/>
                <w:szCs w:val="20"/>
              </w:rPr>
              <w:t>0</w:t>
            </w:r>
          </w:p>
        </w:tc>
        <w:tc>
          <w:tcPr>
            <w:tcW w:w="570" w:type="pct"/>
            <w:gridSpan w:val="3"/>
            <w:tcBorders>
              <w:left w:val="nil"/>
              <w:right w:val="nil"/>
            </w:tcBorders>
          </w:tcPr>
          <w:p w14:paraId="73BC9F96" w14:textId="77777777" w:rsidR="007162DB" w:rsidRPr="00FE4F4C" w:rsidRDefault="007162DB" w:rsidP="007238C3">
            <w:pPr>
              <w:spacing w:line="240" w:lineRule="auto"/>
              <w:rPr>
                <w:rFonts w:eastAsia="Times New Roman" w:cs="Times New Roman"/>
                <w:sz w:val="20"/>
                <w:szCs w:val="20"/>
              </w:rPr>
            </w:pPr>
            <w:r>
              <w:rPr>
                <w:rFonts w:cs="Times New Roman"/>
                <w:sz w:val="20"/>
                <w:szCs w:val="20"/>
              </w:rPr>
              <w:t>2</w:t>
            </w:r>
            <w:r w:rsidRPr="00FE4F4C">
              <w:rPr>
                <w:rFonts w:cs="Times New Roman"/>
                <w:sz w:val="20"/>
                <w:szCs w:val="20"/>
              </w:rPr>
              <w:t>.</w:t>
            </w:r>
            <w:r>
              <w:rPr>
                <w:rFonts w:cs="Times New Roman"/>
                <w:sz w:val="20"/>
                <w:szCs w:val="20"/>
              </w:rPr>
              <w:t>6</w:t>
            </w:r>
            <w:r w:rsidRPr="00FE4F4C">
              <w:rPr>
                <w:rFonts w:cs="Times New Roman"/>
                <w:sz w:val="20"/>
                <w:szCs w:val="20"/>
              </w:rPr>
              <w:t>5</w:t>
            </w:r>
          </w:p>
        </w:tc>
        <w:tc>
          <w:tcPr>
            <w:tcW w:w="231" w:type="pct"/>
            <w:tcBorders>
              <w:top w:val="nil"/>
              <w:left w:val="nil"/>
              <w:right w:val="nil"/>
            </w:tcBorders>
          </w:tcPr>
          <w:p w14:paraId="26433993" w14:textId="77777777" w:rsidR="007162DB" w:rsidRPr="00FE4F4C" w:rsidRDefault="007162DB" w:rsidP="007238C3">
            <w:pPr>
              <w:spacing w:line="240" w:lineRule="auto"/>
              <w:rPr>
                <w:rFonts w:eastAsia="Times New Roman" w:cs="Times New Roman"/>
                <w:sz w:val="20"/>
                <w:szCs w:val="20"/>
              </w:rPr>
            </w:pPr>
          </w:p>
        </w:tc>
      </w:tr>
      <w:tr w:rsidR="007162DB" w:rsidRPr="00FE4F4C" w14:paraId="0522068B" w14:textId="77777777" w:rsidTr="007238C3">
        <w:trPr>
          <w:gridAfter w:val="13"/>
          <w:wAfter w:w="2071" w:type="pct"/>
          <w:trHeight w:val="337"/>
        </w:trPr>
        <w:tc>
          <w:tcPr>
            <w:tcW w:w="1585" w:type="pct"/>
            <w:tcBorders>
              <w:left w:val="nil"/>
              <w:right w:val="nil"/>
            </w:tcBorders>
            <w:shd w:val="clear" w:color="auto" w:fill="auto"/>
            <w:noWrap/>
          </w:tcPr>
          <w:p w14:paraId="55D9A7A5" w14:textId="77777777" w:rsidR="007162DB" w:rsidRPr="00FE4F4C" w:rsidRDefault="007162DB" w:rsidP="007238C3">
            <w:pPr>
              <w:spacing w:line="240" w:lineRule="auto"/>
              <w:rPr>
                <w:rFonts w:eastAsia="Times New Roman" w:cs="Times New Roman"/>
                <w:b/>
                <w:sz w:val="20"/>
                <w:szCs w:val="20"/>
              </w:rPr>
            </w:pPr>
            <w:r w:rsidRPr="00FE4F4C">
              <w:rPr>
                <w:rFonts w:cs="Times New Roman"/>
                <w:sz w:val="20"/>
                <w:szCs w:val="20"/>
              </w:rPr>
              <w:t>UI-18</w:t>
            </w:r>
          </w:p>
        </w:tc>
        <w:tc>
          <w:tcPr>
            <w:tcW w:w="543" w:type="pct"/>
            <w:tcBorders>
              <w:left w:val="nil"/>
              <w:right w:val="nil"/>
            </w:tcBorders>
          </w:tcPr>
          <w:p w14:paraId="1A014514"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40.60</w:t>
            </w:r>
          </w:p>
        </w:tc>
        <w:tc>
          <w:tcPr>
            <w:tcW w:w="570" w:type="pct"/>
            <w:gridSpan w:val="3"/>
            <w:tcBorders>
              <w:left w:val="nil"/>
              <w:right w:val="nil"/>
            </w:tcBorders>
          </w:tcPr>
          <w:p w14:paraId="3DC3C577" w14:textId="77777777" w:rsidR="007162DB" w:rsidRPr="00FE4F4C" w:rsidRDefault="007162DB" w:rsidP="007238C3">
            <w:pPr>
              <w:spacing w:line="240" w:lineRule="auto"/>
              <w:rPr>
                <w:rFonts w:eastAsia="Times New Roman" w:cs="Times New Roman"/>
                <w:sz w:val="20"/>
                <w:szCs w:val="20"/>
              </w:rPr>
            </w:pPr>
            <w:r w:rsidRPr="00FE4F4C">
              <w:rPr>
                <w:rFonts w:eastAsia="Times New Roman" w:cs="Times New Roman"/>
                <w:sz w:val="20"/>
                <w:szCs w:val="20"/>
              </w:rPr>
              <w:t>1</w:t>
            </w:r>
            <w:r>
              <w:rPr>
                <w:rFonts w:eastAsia="Times New Roman" w:cs="Times New Roman"/>
                <w:sz w:val="20"/>
                <w:szCs w:val="20"/>
              </w:rPr>
              <w:t>0</w:t>
            </w:r>
            <w:r w:rsidRPr="00FE4F4C">
              <w:rPr>
                <w:rFonts w:eastAsia="Times New Roman" w:cs="Times New Roman"/>
                <w:sz w:val="20"/>
                <w:szCs w:val="20"/>
              </w:rPr>
              <w:t>.</w:t>
            </w:r>
            <w:r>
              <w:rPr>
                <w:rFonts w:eastAsia="Times New Roman" w:cs="Times New Roman"/>
                <w:sz w:val="20"/>
                <w:szCs w:val="20"/>
              </w:rPr>
              <w:t>7</w:t>
            </w:r>
            <w:r w:rsidRPr="00FE4F4C">
              <w:rPr>
                <w:rFonts w:eastAsia="Times New Roman" w:cs="Times New Roman"/>
                <w:sz w:val="20"/>
                <w:szCs w:val="20"/>
              </w:rPr>
              <w:t>8</w:t>
            </w:r>
          </w:p>
        </w:tc>
        <w:tc>
          <w:tcPr>
            <w:tcW w:w="231" w:type="pct"/>
            <w:tcBorders>
              <w:top w:val="nil"/>
              <w:left w:val="nil"/>
              <w:right w:val="nil"/>
            </w:tcBorders>
          </w:tcPr>
          <w:p w14:paraId="1A7B3EB9" w14:textId="77777777" w:rsidR="007162DB" w:rsidRPr="00FE4F4C" w:rsidRDefault="007162DB" w:rsidP="007238C3">
            <w:pPr>
              <w:spacing w:line="240" w:lineRule="auto"/>
              <w:rPr>
                <w:rFonts w:eastAsia="Times New Roman" w:cs="Times New Roman"/>
                <w:sz w:val="20"/>
                <w:szCs w:val="20"/>
              </w:rPr>
            </w:pPr>
          </w:p>
        </w:tc>
      </w:tr>
      <w:tr w:rsidR="007162DB" w:rsidRPr="00FE4F4C" w14:paraId="6161B64F" w14:textId="77777777" w:rsidTr="007238C3">
        <w:trPr>
          <w:gridAfter w:val="1"/>
          <w:wAfter w:w="230" w:type="pct"/>
          <w:trHeight w:val="337"/>
        </w:trPr>
        <w:tc>
          <w:tcPr>
            <w:tcW w:w="1585" w:type="pct"/>
            <w:tcBorders>
              <w:left w:val="nil"/>
              <w:right w:val="nil"/>
            </w:tcBorders>
            <w:shd w:val="clear" w:color="auto" w:fill="auto"/>
            <w:noWrap/>
          </w:tcPr>
          <w:p w14:paraId="0561B2FB" w14:textId="77777777" w:rsidR="007162DB" w:rsidRPr="00FE4F4C" w:rsidRDefault="007162DB" w:rsidP="007238C3">
            <w:pPr>
              <w:spacing w:line="240" w:lineRule="auto"/>
              <w:rPr>
                <w:rFonts w:eastAsia="Times New Roman" w:cs="Times New Roman"/>
                <w:sz w:val="20"/>
                <w:szCs w:val="20"/>
              </w:rPr>
            </w:pPr>
            <w:r w:rsidRPr="00FE4F4C">
              <w:rPr>
                <w:rFonts w:cs="Times New Roman"/>
                <w:sz w:val="20"/>
                <w:szCs w:val="20"/>
              </w:rPr>
              <w:t>SDS</w:t>
            </w:r>
          </w:p>
        </w:tc>
        <w:tc>
          <w:tcPr>
            <w:tcW w:w="543" w:type="pct"/>
            <w:tcBorders>
              <w:left w:val="nil"/>
              <w:right w:val="nil"/>
            </w:tcBorders>
          </w:tcPr>
          <w:p w14:paraId="101BE84E" w14:textId="77777777" w:rsidR="007162DB" w:rsidRPr="00FE4F4C" w:rsidRDefault="007162DB" w:rsidP="007238C3">
            <w:pPr>
              <w:spacing w:line="240" w:lineRule="auto"/>
              <w:rPr>
                <w:rFonts w:eastAsia="Times New Roman" w:cs="Times New Roman"/>
                <w:sz w:val="20"/>
                <w:szCs w:val="20"/>
              </w:rPr>
            </w:pPr>
            <w:r w:rsidRPr="00FE4F4C">
              <w:rPr>
                <w:rFonts w:eastAsia="Times New Roman" w:cs="Times New Roman"/>
                <w:sz w:val="20"/>
                <w:szCs w:val="20"/>
              </w:rPr>
              <w:t>14.</w:t>
            </w:r>
            <w:r>
              <w:rPr>
                <w:rFonts w:eastAsia="Times New Roman" w:cs="Times New Roman"/>
                <w:sz w:val="20"/>
                <w:szCs w:val="20"/>
              </w:rPr>
              <w:t>02</w:t>
            </w:r>
          </w:p>
        </w:tc>
        <w:tc>
          <w:tcPr>
            <w:tcW w:w="570" w:type="pct"/>
            <w:gridSpan w:val="3"/>
            <w:tcBorders>
              <w:left w:val="nil"/>
              <w:right w:val="nil"/>
            </w:tcBorders>
          </w:tcPr>
          <w:p w14:paraId="19ABB6C1"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3.64</w:t>
            </w:r>
          </w:p>
        </w:tc>
        <w:tc>
          <w:tcPr>
            <w:tcW w:w="765" w:type="pct"/>
            <w:gridSpan w:val="4"/>
            <w:tcBorders>
              <w:left w:val="nil"/>
              <w:right w:val="nil"/>
            </w:tcBorders>
          </w:tcPr>
          <w:p w14:paraId="6B8EC95A" w14:textId="77777777" w:rsidR="007162DB" w:rsidRPr="00FE4F4C" w:rsidRDefault="007162DB" w:rsidP="007238C3">
            <w:pPr>
              <w:spacing w:line="240" w:lineRule="auto"/>
              <w:rPr>
                <w:rFonts w:eastAsia="Times New Roman" w:cs="Times New Roman"/>
                <w:sz w:val="20"/>
                <w:szCs w:val="20"/>
              </w:rPr>
            </w:pPr>
          </w:p>
        </w:tc>
        <w:tc>
          <w:tcPr>
            <w:tcW w:w="220" w:type="pct"/>
            <w:tcBorders>
              <w:left w:val="nil"/>
              <w:right w:val="nil"/>
            </w:tcBorders>
          </w:tcPr>
          <w:p w14:paraId="5FCF6739"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top w:val="nil"/>
              <w:left w:val="nil"/>
              <w:bottom w:val="nil"/>
              <w:right w:val="nil"/>
            </w:tcBorders>
            <w:vAlign w:val="center"/>
          </w:tcPr>
          <w:p w14:paraId="32B7D458"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top w:val="nil"/>
              <w:left w:val="nil"/>
              <w:bottom w:val="nil"/>
              <w:right w:val="nil"/>
            </w:tcBorders>
          </w:tcPr>
          <w:p w14:paraId="5159F741"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nil"/>
              <w:right w:val="nil"/>
            </w:tcBorders>
          </w:tcPr>
          <w:p w14:paraId="036F56CD" w14:textId="77777777" w:rsidR="007162DB" w:rsidRPr="00FE4F4C" w:rsidRDefault="007162DB" w:rsidP="007238C3">
            <w:pPr>
              <w:spacing w:line="240" w:lineRule="auto"/>
              <w:rPr>
                <w:rFonts w:cs="Times New Roman"/>
                <w:sz w:val="20"/>
                <w:szCs w:val="24"/>
              </w:rPr>
            </w:pPr>
          </w:p>
        </w:tc>
      </w:tr>
      <w:tr w:rsidR="007162DB" w:rsidRPr="00FE4F4C" w14:paraId="293BE315" w14:textId="77777777" w:rsidTr="007238C3">
        <w:trPr>
          <w:gridAfter w:val="1"/>
          <w:wAfter w:w="230" w:type="pct"/>
          <w:trHeight w:val="337"/>
        </w:trPr>
        <w:tc>
          <w:tcPr>
            <w:tcW w:w="1585" w:type="pct"/>
            <w:tcBorders>
              <w:left w:val="nil"/>
              <w:right w:val="nil"/>
            </w:tcBorders>
            <w:shd w:val="clear" w:color="auto" w:fill="auto"/>
            <w:noWrap/>
          </w:tcPr>
          <w:p w14:paraId="7C9BEB9B" w14:textId="77777777" w:rsidR="007162DB" w:rsidRPr="00FE4F4C" w:rsidRDefault="007162DB" w:rsidP="007238C3">
            <w:pPr>
              <w:spacing w:line="240" w:lineRule="auto"/>
              <w:rPr>
                <w:rFonts w:cs="Times New Roman"/>
                <w:sz w:val="20"/>
                <w:szCs w:val="20"/>
              </w:rPr>
            </w:pPr>
            <w:r>
              <w:rPr>
                <w:rFonts w:cs="Times New Roman"/>
                <w:sz w:val="20"/>
                <w:szCs w:val="20"/>
              </w:rPr>
              <w:t>PANAS-Pos-Exc</w:t>
            </w:r>
          </w:p>
        </w:tc>
        <w:tc>
          <w:tcPr>
            <w:tcW w:w="543" w:type="pct"/>
            <w:tcBorders>
              <w:left w:val="nil"/>
              <w:right w:val="nil"/>
            </w:tcBorders>
          </w:tcPr>
          <w:p w14:paraId="04AAA3A1"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30.08</w:t>
            </w:r>
          </w:p>
        </w:tc>
        <w:tc>
          <w:tcPr>
            <w:tcW w:w="570" w:type="pct"/>
            <w:gridSpan w:val="3"/>
            <w:tcBorders>
              <w:left w:val="nil"/>
              <w:right w:val="nil"/>
            </w:tcBorders>
          </w:tcPr>
          <w:p w14:paraId="215416F4" w14:textId="77777777" w:rsidR="007162DB" w:rsidRDefault="007162DB" w:rsidP="007238C3">
            <w:pPr>
              <w:spacing w:line="240" w:lineRule="auto"/>
              <w:rPr>
                <w:rFonts w:eastAsia="Times New Roman" w:cs="Times New Roman"/>
                <w:sz w:val="20"/>
                <w:szCs w:val="20"/>
              </w:rPr>
            </w:pPr>
            <w:r>
              <w:rPr>
                <w:rFonts w:eastAsia="Times New Roman" w:cs="Times New Roman"/>
                <w:sz w:val="20"/>
                <w:szCs w:val="20"/>
              </w:rPr>
              <w:t>6.63</w:t>
            </w:r>
          </w:p>
        </w:tc>
        <w:tc>
          <w:tcPr>
            <w:tcW w:w="765" w:type="pct"/>
            <w:gridSpan w:val="4"/>
            <w:tcBorders>
              <w:left w:val="nil"/>
              <w:right w:val="nil"/>
            </w:tcBorders>
          </w:tcPr>
          <w:p w14:paraId="320162B6" w14:textId="77777777" w:rsidR="007162DB" w:rsidRPr="00FE4F4C" w:rsidRDefault="007162DB" w:rsidP="007238C3">
            <w:pPr>
              <w:spacing w:line="240" w:lineRule="auto"/>
              <w:rPr>
                <w:rFonts w:eastAsia="Times New Roman" w:cs="Times New Roman"/>
                <w:sz w:val="20"/>
                <w:szCs w:val="20"/>
              </w:rPr>
            </w:pPr>
          </w:p>
        </w:tc>
        <w:tc>
          <w:tcPr>
            <w:tcW w:w="220" w:type="pct"/>
            <w:tcBorders>
              <w:left w:val="nil"/>
              <w:right w:val="nil"/>
            </w:tcBorders>
          </w:tcPr>
          <w:p w14:paraId="7A34B24F"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top w:val="nil"/>
              <w:left w:val="nil"/>
              <w:bottom w:val="nil"/>
              <w:right w:val="nil"/>
            </w:tcBorders>
            <w:vAlign w:val="center"/>
          </w:tcPr>
          <w:p w14:paraId="52A98ADE"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top w:val="nil"/>
              <w:left w:val="nil"/>
              <w:bottom w:val="nil"/>
              <w:right w:val="nil"/>
            </w:tcBorders>
          </w:tcPr>
          <w:p w14:paraId="4D413E64"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nil"/>
              <w:right w:val="nil"/>
            </w:tcBorders>
          </w:tcPr>
          <w:p w14:paraId="5B0350B4" w14:textId="77777777" w:rsidR="007162DB" w:rsidRPr="00FE4F4C" w:rsidRDefault="007162DB" w:rsidP="007238C3">
            <w:pPr>
              <w:spacing w:line="240" w:lineRule="auto"/>
              <w:rPr>
                <w:rFonts w:cs="Times New Roman"/>
                <w:sz w:val="20"/>
                <w:szCs w:val="24"/>
              </w:rPr>
            </w:pPr>
          </w:p>
        </w:tc>
      </w:tr>
      <w:tr w:rsidR="007162DB" w:rsidRPr="00FE4F4C" w14:paraId="72B2064B" w14:textId="77777777" w:rsidTr="007238C3">
        <w:trPr>
          <w:gridAfter w:val="1"/>
          <w:wAfter w:w="230" w:type="pct"/>
          <w:trHeight w:val="337"/>
        </w:trPr>
        <w:tc>
          <w:tcPr>
            <w:tcW w:w="1585" w:type="pct"/>
            <w:tcBorders>
              <w:left w:val="nil"/>
              <w:right w:val="nil"/>
            </w:tcBorders>
            <w:shd w:val="clear" w:color="auto" w:fill="auto"/>
            <w:noWrap/>
          </w:tcPr>
          <w:p w14:paraId="7983605C" w14:textId="77777777" w:rsidR="007162DB" w:rsidRDefault="007162DB" w:rsidP="007238C3">
            <w:pPr>
              <w:spacing w:line="240" w:lineRule="auto"/>
              <w:rPr>
                <w:rFonts w:cs="Times New Roman"/>
                <w:sz w:val="20"/>
                <w:szCs w:val="20"/>
              </w:rPr>
            </w:pPr>
            <w:r>
              <w:rPr>
                <w:rFonts w:cs="Times New Roman"/>
                <w:sz w:val="20"/>
                <w:szCs w:val="20"/>
              </w:rPr>
              <w:t>PANAS-Pos-Inh</w:t>
            </w:r>
          </w:p>
        </w:tc>
        <w:tc>
          <w:tcPr>
            <w:tcW w:w="543" w:type="pct"/>
            <w:tcBorders>
              <w:left w:val="nil"/>
              <w:right w:val="nil"/>
            </w:tcBorders>
          </w:tcPr>
          <w:p w14:paraId="4014B16B"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29.83</w:t>
            </w:r>
          </w:p>
        </w:tc>
        <w:tc>
          <w:tcPr>
            <w:tcW w:w="570" w:type="pct"/>
            <w:gridSpan w:val="3"/>
            <w:tcBorders>
              <w:left w:val="nil"/>
              <w:right w:val="nil"/>
            </w:tcBorders>
          </w:tcPr>
          <w:p w14:paraId="74E7236B" w14:textId="77777777" w:rsidR="007162DB" w:rsidRDefault="007162DB" w:rsidP="007238C3">
            <w:pPr>
              <w:spacing w:line="240" w:lineRule="auto"/>
              <w:rPr>
                <w:rFonts w:eastAsia="Times New Roman" w:cs="Times New Roman"/>
                <w:sz w:val="20"/>
                <w:szCs w:val="20"/>
              </w:rPr>
            </w:pPr>
            <w:r>
              <w:rPr>
                <w:rFonts w:eastAsia="Times New Roman" w:cs="Times New Roman"/>
                <w:sz w:val="20"/>
                <w:szCs w:val="20"/>
              </w:rPr>
              <w:t>6.80</w:t>
            </w:r>
          </w:p>
        </w:tc>
        <w:tc>
          <w:tcPr>
            <w:tcW w:w="765" w:type="pct"/>
            <w:gridSpan w:val="4"/>
            <w:tcBorders>
              <w:left w:val="nil"/>
              <w:right w:val="nil"/>
            </w:tcBorders>
          </w:tcPr>
          <w:p w14:paraId="6246BFFF" w14:textId="77777777" w:rsidR="007162DB" w:rsidRPr="00FE4F4C" w:rsidRDefault="007162DB" w:rsidP="007238C3">
            <w:pPr>
              <w:spacing w:line="240" w:lineRule="auto"/>
              <w:rPr>
                <w:rFonts w:eastAsia="Times New Roman" w:cs="Times New Roman"/>
                <w:sz w:val="20"/>
                <w:szCs w:val="20"/>
              </w:rPr>
            </w:pPr>
          </w:p>
        </w:tc>
        <w:tc>
          <w:tcPr>
            <w:tcW w:w="220" w:type="pct"/>
            <w:tcBorders>
              <w:left w:val="nil"/>
              <w:right w:val="nil"/>
            </w:tcBorders>
          </w:tcPr>
          <w:p w14:paraId="4F408ADA"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top w:val="nil"/>
              <w:left w:val="nil"/>
              <w:bottom w:val="nil"/>
              <w:right w:val="nil"/>
            </w:tcBorders>
            <w:vAlign w:val="center"/>
          </w:tcPr>
          <w:p w14:paraId="7A1BB8A4"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top w:val="nil"/>
              <w:left w:val="nil"/>
              <w:bottom w:val="nil"/>
              <w:right w:val="nil"/>
            </w:tcBorders>
          </w:tcPr>
          <w:p w14:paraId="1487578E"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nil"/>
              <w:right w:val="nil"/>
            </w:tcBorders>
          </w:tcPr>
          <w:p w14:paraId="27368C53" w14:textId="77777777" w:rsidR="007162DB" w:rsidRPr="00FE4F4C" w:rsidRDefault="007162DB" w:rsidP="007238C3">
            <w:pPr>
              <w:spacing w:line="240" w:lineRule="auto"/>
              <w:rPr>
                <w:rFonts w:cs="Times New Roman"/>
                <w:sz w:val="20"/>
                <w:szCs w:val="24"/>
              </w:rPr>
            </w:pPr>
          </w:p>
        </w:tc>
      </w:tr>
      <w:tr w:rsidR="007162DB" w:rsidRPr="00FE4F4C" w14:paraId="53181EC0" w14:textId="77777777" w:rsidTr="007238C3">
        <w:trPr>
          <w:gridAfter w:val="1"/>
          <w:wAfter w:w="230" w:type="pct"/>
          <w:trHeight w:val="337"/>
        </w:trPr>
        <w:tc>
          <w:tcPr>
            <w:tcW w:w="1585" w:type="pct"/>
            <w:tcBorders>
              <w:left w:val="nil"/>
              <w:right w:val="nil"/>
            </w:tcBorders>
            <w:shd w:val="clear" w:color="auto" w:fill="auto"/>
            <w:noWrap/>
          </w:tcPr>
          <w:p w14:paraId="32A869A7" w14:textId="77777777" w:rsidR="007162DB" w:rsidRDefault="007162DB" w:rsidP="007238C3">
            <w:pPr>
              <w:spacing w:line="240" w:lineRule="auto"/>
              <w:rPr>
                <w:rFonts w:cs="Times New Roman"/>
                <w:sz w:val="20"/>
                <w:szCs w:val="20"/>
              </w:rPr>
            </w:pPr>
            <w:r>
              <w:rPr>
                <w:rFonts w:cs="Times New Roman"/>
                <w:sz w:val="20"/>
                <w:szCs w:val="20"/>
              </w:rPr>
              <w:t>PANAS-Neg-Exc</w:t>
            </w:r>
          </w:p>
        </w:tc>
        <w:tc>
          <w:tcPr>
            <w:tcW w:w="543" w:type="pct"/>
            <w:tcBorders>
              <w:left w:val="nil"/>
              <w:right w:val="nil"/>
            </w:tcBorders>
          </w:tcPr>
          <w:p w14:paraId="01E9EFA2"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11.61</w:t>
            </w:r>
          </w:p>
        </w:tc>
        <w:tc>
          <w:tcPr>
            <w:tcW w:w="570" w:type="pct"/>
            <w:gridSpan w:val="3"/>
            <w:tcBorders>
              <w:left w:val="nil"/>
              <w:right w:val="nil"/>
            </w:tcBorders>
          </w:tcPr>
          <w:p w14:paraId="069AC3AA" w14:textId="77777777" w:rsidR="007162DB" w:rsidRDefault="007162DB" w:rsidP="007238C3">
            <w:pPr>
              <w:spacing w:line="240" w:lineRule="auto"/>
              <w:rPr>
                <w:rFonts w:eastAsia="Times New Roman" w:cs="Times New Roman"/>
                <w:sz w:val="20"/>
                <w:szCs w:val="20"/>
              </w:rPr>
            </w:pPr>
            <w:r>
              <w:rPr>
                <w:rFonts w:eastAsia="Times New Roman" w:cs="Times New Roman"/>
                <w:sz w:val="20"/>
                <w:szCs w:val="20"/>
              </w:rPr>
              <w:t>2.35</w:t>
            </w:r>
          </w:p>
        </w:tc>
        <w:tc>
          <w:tcPr>
            <w:tcW w:w="765" w:type="pct"/>
            <w:gridSpan w:val="4"/>
            <w:tcBorders>
              <w:left w:val="nil"/>
              <w:right w:val="nil"/>
            </w:tcBorders>
          </w:tcPr>
          <w:p w14:paraId="7A5111DF" w14:textId="77777777" w:rsidR="007162DB" w:rsidRPr="00FE4F4C" w:rsidRDefault="007162DB" w:rsidP="007238C3">
            <w:pPr>
              <w:spacing w:line="240" w:lineRule="auto"/>
              <w:rPr>
                <w:rFonts w:eastAsia="Times New Roman" w:cs="Times New Roman"/>
                <w:sz w:val="20"/>
                <w:szCs w:val="20"/>
              </w:rPr>
            </w:pPr>
          </w:p>
        </w:tc>
        <w:tc>
          <w:tcPr>
            <w:tcW w:w="220" w:type="pct"/>
            <w:tcBorders>
              <w:left w:val="nil"/>
              <w:right w:val="nil"/>
            </w:tcBorders>
          </w:tcPr>
          <w:p w14:paraId="132782EE"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top w:val="nil"/>
              <w:left w:val="nil"/>
              <w:bottom w:val="nil"/>
              <w:right w:val="nil"/>
            </w:tcBorders>
            <w:vAlign w:val="center"/>
          </w:tcPr>
          <w:p w14:paraId="6DD69071"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top w:val="nil"/>
              <w:left w:val="nil"/>
              <w:bottom w:val="nil"/>
              <w:right w:val="nil"/>
            </w:tcBorders>
          </w:tcPr>
          <w:p w14:paraId="5B7030CA"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nil"/>
              <w:right w:val="nil"/>
            </w:tcBorders>
          </w:tcPr>
          <w:p w14:paraId="7A0CAB64" w14:textId="77777777" w:rsidR="007162DB" w:rsidRPr="00FE4F4C" w:rsidRDefault="007162DB" w:rsidP="007238C3">
            <w:pPr>
              <w:spacing w:line="240" w:lineRule="auto"/>
              <w:rPr>
                <w:rFonts w:cs="Times New Roman"/>
                <w:sz w:val="20"/>
                <w:szCs w:val="24"/>
              </w:rPr>
            </w:pPr>
          </w:p>
        </w:tc>
      </w:tr>
      <w:tr w:rsidR="007162DB" w:rsidRPr="00FE4F4C" w14:paraId="41467DE7" w14:textId="77777777" w:rsidTr="007238C3">
        <w:trPr>
          <w:gridAfter w:val="1"/>
          <w:wAfter w:w="230" w:type="pct"/>
          <w:trHeight w:val="337"/>
        </w:trPr>
        <w:tc>
          <w:tcPr>
            <w:tcW w:w="1585" w:type="pct"/>
            <w:tcBorders>
              <w:left w:val="nil"/>
              <w:bottom w:val="single" w:sz="4" w:space="0" w:color="auto"/>
              <w:right w:val="nil"/>
            </w:tcBorders>
            <w:shd w:val="clear" w:color="auto" w:fill="auto"/>
            <w:noWrap/>
          </w:tcPr>
          <w:p w14:paraId="5F609CAA" w14:textId="77777777" w:rsidR="007162DB" w:rsidRDefault="007162DB" w:rsidP="007238C3">
            <w:pPr>
              <w:spacing w:line="240" w:lineRule="auto"/>
              <w:rPr>
                <w:rFonts w:cs="Times New Roman"/>
                <w:sz w:val="20"/>
                <w:szCs w:val="20"/>
              </w:rPr>
            </w:pPr>
            <w:r>
              <w:rPr>
                <w:rFonts w:cs="Times New Roman"/>
                <w:sz w:val="20"/>
                <w:szCs w:val="20"/>
              </w:rPr>
              <w:t>PANAS-Neg-Inh</w:t>
            </w:r>
          </w:p>
        </w:tc>
        <w:tc>
          <w:tcPr>
            <w:tcW w:w="543" w:type="pct"/>
            <w:tcBorders>
              <w:left w:val="nil"/>
              <w:bottom w:val="single" w:sz="4" w:space="0" w:color="auto"/>
              <w:right w:val="nil"/>
            </w:tcBorders>
          </w:tcPr>
          <w:p w14:paraId="18671BB3" w14:textId="77777777" w:rsidR="007162DB" w:rsidRPr="00FE4F4C" w:rsidRDefault="007162DB" w:rsidP="007238C3">
            <w:pPr>
              <w:spacing w:line="240" w:lineRule="auto"/>
              <w:rPr>
                <w:rFonts w:eastAsia="Times New Roman" w:cs="Times New Roman"/>
                <w:sz w:val="20"/>
                <w:szCs w:val="20"/>
              </w:rPr>
            </w:pPr>
            <w:r>
              <w:rPr>
                <w:rFonts w:eastAsia="Times New Roman" w:cs="Times New Roman"/>
                <w:sz w:val="20"/>
                <w:szCs w:val="20"/>
              </w:rPr>
              <w:t>12.41</w:t>
            </w:r>
          </w:p>
        </w:tc>
        <w:tc>
          <w:tcPr>
            <w:tcW w:w="570" w:type="pct"/>
            <w:gridSpan w:val="3"/>
            <w:tcBorders>
              <w:left w:val="nil"/>
              <w:bottom w:val="single" w:sz="4" w:space="0" w:color="auto"/>
              <w:right w:val="nil"/>
            </w:tcBorders>
          </w:tcPr>
          <w:p w14:paraId="469E51C2" w14:textId="77777777" w:rsidR="007162DB" w:rsidRDefault="007162DB" w:rsidP="007238C3">
            <w:pPr>
              <w:spacing w:line="240" w:lineRule="auto"/>
              <w:rPr>
                <w:rFonts w:eastAsia="Times New Roman" w:cs="Times New Roman"/>
                <w:sz w:val="20"/>
                <w:szCs w:val="20"/>
              </w:rPr>
            </w:pPr>
            <w:r>
              <w:rPr>
                <w:rFonts w:eastAsia="Times New Roman" w:cs="Times New Roman"/>
                <w:sz w:val="20"/>
                <w:szCs w:val="20"/>
              </w:rPr>
              <w:t>4.16</w:t>
            </w:r>
          </w:p>
        </w:tc>
        <w:tc>
          <w:tcPr>
            <w:tcW w:w="765" w:type="pct"/>
            <w:gridSpan w:val="4"/>
            <w:tcBorders>
              <w:left w:val="nil"/>
              <w:bottom w:val="single" w:sz="4" w:space="0" w:color="auto"/>
              <w:right w:val="nil"/>
            </w:tcBorders>
          </w:tcPr>
          <w:p w14:paraId="42B34E00" w14:textId="77777777" w:rsidR="007162DB" w:rsidRPr="00FE4F4C" w:rsidRDefault="007162DB" w:rsidP="007238C3">
            <w:pPr>
              <w:spacing w:line="240" w:lineRule="auto"/>
              <w:rPr>
                <w:rFonts w:eastAsia="Times New Roman" w:cs="Times New Roman"/>
                <w:sz w:val="20"/>
                <w:szCs w:val="20"/>
              </w:rPr>
            </w:pPr>
          </w:p>
        </w:tc>
        <w:tc>
          <w:tcPr>
            <w:tcW w:w="220" w:type="pct"/>
            <w:tcBorders>
              <w:left w:val="nil"/>
              <w:bottom w:val="single" w:sz="4" w:space="0" w:color="auto"/>
              <w:right w:val="nil"/>
            </w:tcBorders>
          </w:tcPr>
          <w:p w14:paraId="73C43D9F" w14:textId="77777777" w:rsidR="007162DB" w:rsidRPr="00FE4F4C" w:rsidRDefault="007162DB" w:rsidP="007238C3">
            <w:pPr>
              <w:spacing w:line="240" w:lineRule="auto"/>
              <w:rPr>
                <w:rFonts w:eastAsia="Times New Roman" w:cs="Times New Roman"/>
                <w:sz w:val="20"/>
                <w:szCs w:val="20"/>
              </w:rPr>
            </w:pPr>
          </w:p>
        </w:tc>
        <w:tc>
          <w:tcPr>
            <w:tcW w:w="484" w:type="pct"/>
            <w:gridSpan w:val="5"/>
            <w:tcBorders>
              <w:top w:val="nil"/>
              <w:left w:val="nil"/>
              <w:bottom w:val="single" w:sz="4" w:space="0" w:color="auto"/>
              <w:right w:val="nil"/>
            </w:tcBorders>
            <w:vAlign w:val="center"/>
          </w:tcPr>
          <w:p w14:paraId="4A7D04FB" w14:textId="77777777" w:rsidR="007162DB" w:rsidRPr="00FE4F4C" w:rsidRDefault="007162DB" w:rsidP="007238C3">
            <w:pPr>
              <w:spacing w:line="240" w:lineRule="auto"/>
              <w:rPr>
                <w:rFonts w:eastAsia="Times New Roman" w:cs="Times New Roman"/>
                <w:sz w:val="20"/>
                <w:szCs w:val="20"/>
              </w:rPr>
            </w:pPr>
          </w:p>
        </w:tc>
        <w:tc>
          <w:tcPr>
            <w:tcW w:w="231" w:type="pct"/>
            <w:gridSpan w:val="2"/>
            <w:tcBorders>
              <w:top w:val="nil"/>
              <w:left w:val="nil"/>
              <w:bottom w:val="single" w:sz="4" w:space="0" w:color="auto"/>
              <w:right w:val="nil"/>
            </w:tcBorders>
          </w:tcPr>
          <w:p w14:paraId="3934F3B7" w14:textId="77777777" w:rsidR="007162DB" w:rsidRPr="00FE4F4C" w:rsidRDefault="007162DB" w:rsidP="007238C3">
            <w:pPr>
              <w:spacing w:line="240" w:lineRule="auto"/>
              <w:rPr>
                <w:rFonts w:eastAsia="Times New Roman" w:cs="Times New Roman"/>
                <w:sz w:val="20"/>
                <w:szCs w:val="20"/>
              </w:rPr>
            </w:pPr>
          </w:p>
        </w:tc>
        <w:tc>
          <w:tcPr>
            <w:tcW w:w="372" w:type="pct"/>
            <w:tcBorders>
              <w:top w:val="nil"/>
              <w:left w:val="nil"/>
              <w:bottom w:val="single" w:sz="4" w:space="0" w:color="auto"/>
              <w:right w:val="nil"/>
            </w:tcBorders>
          </w:tcPr>
          <w:p w14:paraId="3F7687DA" w14:textId="77777777" w:rsidR="007162DB" w:rsidRPr="00FE4F4C" w:rsidRDefault="007162DB" w:rsidP="007238C3">
            <w:pPr>
              <w:spacing w:line="240" w:lineRule="auto"/>
              <w:rPr>
                <w:rFonts w:cs="Times New Roman"/>
                <w:sz w:val="20"/>
                <w:szCs w:val="24"/>
              </w:rPr>
            </w:pPr>
          </w:p>
        </w:tc>
      </w:tr>
    </w:tbl>
    <w:p w14:paraId="3C6230F1" w14:textId="77777777" w:rsidR="007238C3" w:rsidRPr="006825A4" w:rsidRDefault="007162DB" w:rsidP="007238C3">
      <w:pPr>
        <w:spacing w:after="0" w:line="240" w:lineRule="auto"/>
        <w:rPr>
          <w:rFonts w:cs="Times New Roman"/>
          <w:sz w:val="20"/>
        </w:rPr>
      </w:pPr>
      <w:bookmarkStart w:id="1" w:name="_Hlk63341465"/>
      <w:r w:rsidRPr="00FE4F4C">
        <w:rPr>
          <w:rFonts w:cs="Times New Roman"/>
          <w:i/>
          <w:sz w:val="20"/>
        </w:rPr>
        <w:t>Note.</w:t>
      </w:r>
      <w:bookmarkEnd w:id="1"/>
      <w:r w:rsidRPr="00FE4F4C">
        <w:rPr>
          <w:rFonts w:cs="Times New Roman"/>
          <w:sz w:val="20"/>
        </w:rPr>
        <w:t xml:space="preserve"> </w:t>
      </w:r>
      <w:r w:rsidR="007238C3" w:rsidRPr="006825A4">
        <w:rPr>
          <w:rFonts w:cs="Times New Roman"/>
          <w:sz w:val="20"/>
        </w:rPr>
        <w:t xml:space="preserve">Stimulation </w:t>
      </w:r>
      <w:r w:rsidR="007238C3">
        <w:rPr>
          <w:rFonts w:cs="Times New Roman"/>
          <w:sz w:val="20"/>
        </w:rPr>
        <w:t>o</w:t>
      </w:r>
      <w:r w:rsidR="007238C3" w:rsidRPr="006825A4">
        <w:rPr>
          <w:rFonts w:cs="Times New Roman"/>
          <w:sz w:val="20"/>
        </w:rPr>
        <w:t xml:space="preserve">rder – </w:t>
      </w:r>
      <w:r w:rsidR="007238C3">
        <w:rPr>
          <w:rFonts w:cs="Times New Roman"/>
          <w:sz w:val="20"/>
        </w:rPr>
        <w:t>e</w:t>
      </w:r>
      <w:r w:rsidR="007238C3" w:rsidRPr="006825A4">
        <w:rPr>
          <w:rFonts w:cs="Times New Roman"/>
          <w:sz w:val="20"/>
        </w:rPr>
        <w:t xml:space="preserve">xcitatory first, </w:t>
      </w:r>
      <w:r w:rsidR="007238C3">
        <w:rPr>
          <w:rFonts w:cs="Times New Roman"/>
          <w:sz w:val="20"/>
        </w:rPr>
        <w:t>i</w:t>
      </w:r>
      <w:r w:rsidR="007238C3" w:rsidRPr="006825A4">
        <w:rPr>
          <w:rFonts w:cs="Times New Roman"/>
          <w:sz w:val="20"/>
        </w:rPr>
        <w:t xml:space="preserve">nhibitory </w:t>
      </w:r>
      <w:r w:rsidR="007238C3">
        <w:rPr>
          <w:rFonts w:cs="Times New Roman"/>
          <w:sz w:val="20"/>
        </w:rPr>
        <w:t>s</w:t>
      </w:r>
      <w:r w:rsidR="007238C3" w:rsidRPr="006825A4">
        <w:rPr>
          <w:rFonts w:cs="Times New Roman"/>
          <w:sz w:val="20"/>
        </w:rPr>
        <w:t xml:space="preserve">econd: N = 21; </w:t>
      </w:r>
      <w:r w:rsidR="007238C3">
        <w:rPr>
          <w:rFonts w:cs="Times New Roman"/>
          <w:sz w:val="20"/>
        </w:rPr>
        <w:t>i</w:t>
      </w:r>
      <w:r w:rsidR="007238C3" w:rsidRPr="006825A4">
        <w:rPr>
          <w:rFonts w:cs="Times New Roman"/>
          <w:sz w:val="20"/>
        </w:rPr>
        <w:t xml:space="preserve">nhibitory first, </w:t>
      </w:r>
      <w:r w:rsidR="007238C3">
        <w:rPr>
          <w:rFonts w:cs="Times New Roman"/>
          <w:sz w:val="20"/>
        </w:rPr>
        <w:t>e</w:t>
      </w:r>
      <w:r w:rsidR="007238C3" w:rsidRPr="006825A4">
        <w:rPr>
          <w:rFonts w:cs="Times New Roman"/>
          <w:sz w:val="20"/>
        </w:rPr>
        <w:t xml:space="preserve">xcitatory </w:t>
      </w:r>
      <w:r w:rsidR="007238C3">
        <w:rPr>
          <w:rFonts w:cs="Times New Roman"/>
          <w:sz w:val="20"/>
        </w:rPr>
        <w:t>s</w:t>
      </w:r>
      <w:r w:rsidR="007238C3" w:rsidRPr="006825A4">
        <w:rPr>
          <w:rFonts w:cs="Times New Roman"/>
          <w:sz w:val="20"/>
        </w:rPr>
        <w:t>econd: N = 20. BDI-II = Beck Depression Inventory</w:t>
      </w:r>
      <w:r w:rsidR="007238C3" w:rsidRPr="006825A4">
        <w:rPr>
          <w:rFonts w:cs="Times New Roman"/>
          <w:sz w:val="20"/>
        </w:rPr>
        <w:fldChar w:fldCharType="begin" w:fldLock="1"/>
      </w:r>
      <w:r w:rsidR="007238C3" w:rsidRPr="006825A4">
        <w:rPr>
          <w:rFonts w:cs="Times New Roman"/>
          <w:sz w:val="20"/>
        </w:rPr>
        <w:instrText>ADDIN CSL_CITATION {"citationItems":[{"id":"ITEM-1","itemData":{"author":[{"dropping-particle":"","family":"Beck","given":"Aaron T","non-dropping-particle":"","parse-names":false,"suffix":""},{"dropping-particle":"","family":"Steer","given":"Robert A","non-dropping-particle":"","parse-names":false,"suffix":""},{"dropping-particle":"","family":"Brown","given":"Gregory K","non-dropping-particle":"","parse-names":false,"suffix":""}],"id":"ITEM-1","issued":{"date-parts":[["1996"]]},"publisher":"San Antonio, TX: The Psychological Corporation","title":"BDI-II","type":"article"},"uris":["http://www.mendeley.com/documents/?uuid=0aaf11b6-997c-4253-849b-1eaaa5c26db3"]}],"mendeley":{"formattedCitation":"&lt;sup&gt;4&lt;/sup&gt;","plainTextFormattedCitation":"4","previouslyFormattedCitation":"&lt;sup&gt;4&lt;/sup&gt;"},"properties":{"noteIndex":0},"schema":"https://github.com/citation-style-language/schema/raw/master/csl-citation.json"}</w:instrText>
      </w:r>
      <w:r w:rsidR="007238C3" w:rsidRPr="006825A4">
        <w:rPr>
          <w:rFonts w:cs="Times New Roman"/>
          <w:sz w:val="20"/>
        </w:rPr>
        <w:fldChar w:fldCharType="separate"/>
      </w:r>
      <w:r w:rsidR="007238C3" w:rsidRPr="006825A4">
        <w:rPr>
          <w:rFonts w:cs="Times New Roman"/>
          <w:noProof/>
          <w:sz w:val="20"/>
          <w:vertAlign w:val="superscript"/>
        </w:rPr>
        <w:t>4</w:t>
      </w:r>
      <w:r w:rsidR="007238C3" w:rsidRPr="006825A4">
        <w:rPr>
          <w:rFonts w:cs="Times New Roman"/>
          <w:sz w:val="20"/>
        </w:rPr>
        <w:fldChar w:fldCharType="end"/>
      </w:r>
      <w:r w:rsidR="007238C3" w:rsidRPr="006825A4">
        <w:rPr>
          <w:rFonts w:cs="Times New Roman"/>
          <w:sz w:val="20"/>
        </w:rPr>
        <w:t xml:space="preserve">. RR = </w:t>
      </w:r>
      <w:r w:rsidR="007238C3" w:rsidRPr="006825A4">
        <w:rPr>
          <w:rFonts w:cs="Times New Roman"/>
          <w:sz w:val="20"/>
          <w:szCs w:val="24"/>
        </w:rPr>
        <w:t xml:space="preserve">Reward </w:t>
      </w:r>
      <w:r w:rsidR="007238C3">
        <w:rPr>
          <w:rFonts w:cs="Times New Roman"/>
          <w:sz w:val="20"/>
          <w:szCs w:val="24"/>
        </w:rPr>
        <w:t>r</w:t>
      </w:r>
      <w:r w:rsidR="007238C3" w:rsidRPr="006825A4">
        <w:rPr>
          <w:rFonts w:cs="Times New Roman"/>
          <w:sz w:val="20"/>
          <w:szCs w:val="24"/>
        </w:rPr>
        <w:t>esponsiveness</w:t>
      </w:r>
      <w:r w:rsidR="007238C3">
        <w:rPr>
          <w:rFonts w:cs="Times New Roman"/>
          <w:sz w:val="20"/>
          <w:szCs w:val="24"/>
        </w:rPr>
        <w:t xml:space="preserve"> scale</w:t>
      </w:r>
      <w:r w:rsidR="007238C3" w:rsidRPr="006825A4">
        <w:rPr>
          <w:rFonts w:cs="Times New Roman"/>
          <w:sz w:val="20"/>
          <w:szCs w:val="24"/>
        </w:rPr>
        <w:fldChar w:fldCharType="begin" w:fldLock="1"/>
      </w:r>
      <w:r w:rsidR="007238C3" w:rsidRPr="006825A4">
        <w:rPr>
          <w:rFonts w:cs="Times New Roman"/>
          <w:sz w:val="20"/>
          <w:szCs w:val="24"/>
        </w:rPr>
        <w:instrText>ADDIN CSL_CITATION {"citationItems":[{"id":"ITEM-1","itemData":{"DOI":"10.3389/fpsyg.2010.00239","ISSN":"16641078","abstract":"Several psychological theories assume that there are two basic brain mechanisms that guide behavior: an avoidance or inhibition system, which is responsive to signals of punishment, and an approach or activation system, which is sensitive to signals of reward. Several self-report scales have been developed to assess the sensitivity to punishment and reward, and these instruments have been shown to be useful in research on personality, psychopathology, and underlying biological substrates. However, it is also true that in particular scales for measuring reward responsiveness (RR) suffer from various inadequacies. Therefore, a new RR scale was developed and subjected to an extensive psychometric evaluation. The results show that this scale measures a single factor, RR that is clearly independent of punishment sensitivity. Further, the data indicated that the internal consistency, convergent validity, discriminant validity, test-retest reliability, and predictive properties of the new scale were all adequate. It can be concluded that the RR scale is a psychometrically sound instrument that may be useful for researchers with interest in the personality construct of RR. © 2010 Van den Berg, Frankenand Muris.","author":[{"dropping-particle":"","family":"Berg","given":"Ivo","non-dropping-particle":"Van den","parse-names":false,"suffix":""},{"dropping-particle":"","family":"Franken","given":"Ingmar H.A.","non-dropping-particle":"","parse-names":false,"suffix":""},{"dropping-particle":"","family":"Muris","given":"Peter","non-dropping-particle":"","parse-names":false,"suffix":""}],"container-title":"Frontiers in Psychology","id":"ITEM-1","issue":"DEC","issued":{"date-parts":[["2010"]]},"page":"1-7","title":"A new scale for measuring reward responsiveness","type":"article-journal","volume":"1"},"uris":["http://www.mendeley.com/documents/?uuid=079e89b9-35ac-488d-ac68-a9cef21a60c5"]}],"mendeley":{"formattedCitation":"&lt;sup&gt;1&lt;/sup&gt;","plainTextFormattedCitation":"1","previouslyFormattedCitation":"&lt;sup&gt;1&lt;/sup&gt;"},"properties":{"noteIndex":0},"schema":"https://github.com/citation-style-language/schema/raw/master/csl-citation.json"}</w:instrText>
      </w:r>
      <w:r w:rsidR="007238C3" w:rsidRPr="006825A4">
        <w:rPr>
          <w:rFonts w:cs="Times New Roman"/>
          <w:sz w:val="20"/>
          <w:szCs w:val="24"/>
        </w:rPr>
        <w:fldChar w:fldCharType="separate"/>
      </w:r>
      <w:r w:rsidR="007238C3" w:rsidRPr="006825A4">
        <w:rPr>
          <w:rFonts w:cs="Times New Roman"/>
          <w:noProof/>
          <w:sz w:val="20"/>
          <w:szCs w:val="24"/>
          <w:vertAlign w:val="superscript"/>
        </w:rPr>
        <w:t>1</w:t>
      </w:r>
      <w:r w:rsidR="007238C3" w:rsidRPr="006825A4">
        <w:rPr>
          <w:rFonts w:cs="Times New Roman"/>
          <w:sz w:val="20"/>
          <w:szCs w:val="24"/>
        </w:rPr>
        <w:fldChar w:fldCharType="end"/>
      </w:r>
      <w:r w:rsidR="007238C3" w:rsidRPr="006825A4">
        <w:rPr>
          <w:rFonts w:cs="Times New Roman"/>
          <w:sz w:val="20"/>
          <w:szCs w:val="24"/>
        </w:rPr>
        <w:t xml:space="preserve">. </w:t>
      </w:r>
      <w:r w:rsidR="007238C3" w:rsidRPr="006825A4">
        <w:rPr>
          <w:rFonts w:cs="Times New Roman"/>
          <w:sz w:val="20"/>
        </w:rPr>
        <w:t>UI-18 = Intolerance of Uncertainty scale</w:t>
      </w:r>
      <w:r w:rsidR="007238C3" w:rsidRPr="006825A4">
        <w:rPr>
          <w:rFonts w:cs="Times New Roman"/>
          <w:sz w:val="20"/>
        </w:rPr>
        <w:fldChar w:fldCharType="begin" w:fldLock="1"/>
      </w:r>
      <w:r w:rsidR="007238C3" w:rsidRPr="006825A4">
        <w:rPr>
          <w:rFonts w:cs="Times New Roman"/>
          <w:sz w:val="20"/>
        </w:rPr>
        <w:instrText>ADDIN CSL_CITATION {"citationItems":[{"id":"ITEM-1","itemData":{"DOI":"10.1026/1616-3443.37.3.190","ISSN":"16163443","abstract":"Background: Intolerance of uncertainty (IU) has recently been discussed as an important factor the development and maintenance of generalized anxiety disorder (GAD). So far, an adequate instrument to assess IU in German is missing. Objective: What are the psychometric properties of the German intolerance of uncertainty scale? What is it underlying factor structure? Is it possible to shorten the instrument? Is it possible to replicate the new factor structure in an independent sample? How much variance of worrying (PSWQ) can IU explain? Is it possible to integrate IU with other relevant constructs into a theoretical model of GAD? Methods: The factor structure of the German translation of the IU scale was analyzed in a group of students (N = 682) using exploratory factor analysis. On this basis, a shortened version of the IU scale (IU-18) was developed. The factor structure of this instrument was confirmed in a second independent student sample (N = 540). In order to validate the construct, we calculated a regression model predicting worrying. Results: The new IU-18 scale measures three replicable factors (\"reduced ability to act due to IU\", \"burden due to IU\" and \"vigilance due to IU\"). The subscales \"burden\" and \"vigilance\" of the IU-18 scale, four scales of the meta cognitions questionnaire, as well as gender, all significantly predict worrying. Conclusions: IU can be measured reliably. Against the background of these results we present a theoretical model of GAD that integrates IU, metacognitions concerning worrying, and the avoidance theory of worrying. © Hogrefe Verlag Göttingen 2008. © Hogrefe Verlag Göttingen 2008.","author":[{"dropping-particle":"","family":"Gerlach","given":"Alexander L.","non-dropping-particle":"","parse-names":false,"suffix":""},{"dropping-particle":"","family":"Andor","given":"Tanja","non-dropping-particle":"","parse-names":false,"suffix":""},{"dropping-particle":"","family":"Patzelt","given":"Julia","non-dropping-particle":"","parse-names":false,"suffix":""}],"container-title":"Zeitschrift fur Klinische Psychologie und Psychotherapie","id":"ITEM-1","issue":"3","issued":{"date-parts":[["2008","7"]]},"page":"190-199","publisher":" Hogrefe Verlag Göttingen ","title":"Die bedeutung von unsicherheits-intoleranz für die generalisierte angststörung: Modellüberlegungen und Entwicklung einer deutschen version der unsicherheitsintoleranz-skala","type":"article-journal","volume":"37"},"uris":["http://www.mendeley.com/documents/?uuid=28603ad4-771a-4fea-85ae-685ed722dbc9"]}],"mendeley":{"formattedCitation":"&lt;sup&gt;2&lt;/sup&gt;","plainTextFormattedCitation":"2","previouslyFormattedCitation":"&lt;sup&gt;2&lt;/sup&gt;"},"properties":{"noteIndex":0},"schema":"https://github.com/citation-style-language/schema/raw/master/csl-citation.json"}</w:instrText>
      </w:r>
      <w:r w:rsidR="007238C3" w:rsidRPr="006825A4">
        <w:rPr>
          <w:rFonts w:cs="Times New Roman"/>
          <w:sz w:val="20"/>
        </w:rPr>
        <w:fldChar w:fldCharType="separate"/>
      </w:r>
      <w:r w:rsidR="007238C3" w:rsidRPr="006825A4">
        <w:rPr>
          <w:rFonts w:cs="Times New Roman"/>
          <w:noProof/>
          <w:sz w:val="20"/>
          <w:vertAlign w:val="superscript"/>
        </w:rPr>
        <w:t>2</w:t>
      </w:r>
      <w:r w:rsidR="007238C3" w:rsidRPr="006825A4">
        <w:rPr>
          <w:rFonts w:cs="Times New Roman"/>
          <w:sz w:val="20"/>
        </w:rPr>
        <w:fldChar w:fldCharType="end"/>
      </w:r>
      <w:r w:rsidR="007238C3" w:rsidRPr="006825A4">
        <w:rPr>
          <w:rFonts w:cs="Times New Roman"/>
          <w:sz w:val="20"/>
        </w:rPr>
        <w:t xml:space="preserve">. SDS-CM = Social </w:t>
      </w:r>
      <w:r w:rsidR="007238C3">
        <w:rPr>
          <w:rFonts w:cs="Times New Roman"/>
          <w:sz w:val="20"/>
        </w:rPr>
        <w:t>d</w:t>
      </w:r>
      <w:r w:rsidR="007238C3" w:rsidRPr="006825A4">
        <w:rPr>
          <w:rFonts w:cs="Times New Roman"/>
          <w:sz w:val="20"/>
        </w:rPr>
        <w:t xml:space="preserve">esirability </w:t>
      </w:r>
      <w:r w:rsidR="007238C3">
        <w:rPr>
          <w:rFonts w:cs="Times New Roman"/>
          <w:sz w:val="20"/>
        </w:rPr>
        <w:t>s</w:t>
      </w:r>
      <w:r w:rsidR="007238C3" w:rsidRPr="006825A4">
        <w:rPr>
          <w:rFonts w:cs="Times New Roman"/>
          <w:sz w:val="20"/>
        </w:rPr>
        <w:t>cale</w:t>
      </w:r>
      <w:r w:rsidR="007238C3" w:rsidRPr="006825A4">
        <w:rPr>
          <w:rFonts w:cs="Times New Roman"/>
          <w:sz w:val="20"/>
        </w:rPr>
        <w:fldChar w:fldCharType="begin" w:fldLock="1"/>
      </w:r>
      <w:r w:rsidR="007238C3" w:rsidRPr="006825A4">
        <w:rPr>
          <w:rFonts w:cs="Times New Roman"/>
          <w:sz w:val="20"/>
        </w:rPr>
        <w:instrText>ADDIN CSL_CITATION {"citationItems":[{"id":"ITEM-1","itemData":{"DOI":"10.1037/h0047358","ISSN":"00958891","PMID":"13813058","abstract":"A new social desirability scale was constructed and correlated with MMPI scales. Comparison was made with correlations of the Edwards Social Desirability scale. The new scale correlated highly with MMPI scales and supported the definition of social desirability. Ss need to respond in \"culturally sanctioned ways.\" (PsycINFO Database Record (c) 2006 APA, all rights reserved). © 1960 American Psychological Association.","author":[{"dropping-particle":"","family":"Crowne","given":"Douglas P.","non-dropping-particle":"","parse-names":false,"suffix":""},{"dropping-particle":"","family":"Marlowe","given":"David","non-dropping-particle":"","parse-names":false,"suffix":""}],"container-title":"Journal of Consulting Psychology","id":"ITEM-1","issue":"4","issued":{"date-parts":[["1960"]]},"page":"349-354","title":"A new scale of social desirability independent of psychopathology","type":"article-journal","volume":"24"},"uris":["http://www.mendeley.com/documents/?uuid=18dc2bff-da2c-48d6-8ae4-3eaddb1a7cd6"]}],"mendeley":{"formattedCitation":"&lt;sup&gt;3&lt;/sup&gt;","plainTextFormattedCitation":"3","previouslyFormattedCitation":"&lt;sup&gt;3&lt;/sup&gt;"},"properties":{"noteIndex":0},"schema":"https://github.com/citation-style-language/schema/raw/master/csl-citation.json"}</w:instrText>
      </w:r>
      <w:r w:rsidR="007238C3" w:rsidRPr="006825A4">
        <w:rPr>
          <w:rFonts w:cs="Times New Roman"/>
          <w:sz w:val="20"/>
        </w:rPr>
        <w:fldChar w:fldCharType="separate"/>
      </w:r>
      <w:r w:rsidR="007238C3" w:rsidRPr="006825A4">
        <w:rPr>
          <w:rFonts w:cs="Times New Roman"/>
          <w:noProof/>
          <w:sz w:val="20"/>
          <w:vertAlign w:val="superscript"/>
        </w:rPr>
        <w:t>3</w:t>
      </w:r>
      <w:r w:rsidR="007238C3" w:rsidRPr="006825A4">
        <w:rPr>
          <w:rFonts w:cs="Times New Roman"/>
          <w:sz w:val="20"/>
        </w:rPr>
        <w:fldChar w:fldCharType="end"/>
      </w:r>
      <w:r w:rsidR="007238C3" w:rsidRPr="006825A4">
        <w:rPr>
          <w:rFonts w:cs="Times New Roman"/>
          <w:sz w:val="20"/>
        </w:rPr>
        <w:t xml:space="preserve">. PANAS = Positive and </w:t>
      </w:r>
      <w:r w:rsidR="007238C3">
        <w:rPr>
          <w:rFonts w:cs="Times New Roman"/>
          <w:sz w:val="20"/>
        </w:rPr>
        <w:t>n</w:t>
      </w:r>
      <w:r w:rsidR="007238C3" w:rsidRPr="006825A4">
        <w:rPr>
          <w:rFonts w:cs="Times New Roman"/>
          <w:sz w:val="20"/>
        </w:rPr>
        <w:t xml:space="preserve">egative </w:t>
      </w:r>
      <w:r w:rsidR="007238C3">
        <w:rPr>
          <w:rFonts w:cs="Times New Roman"/>
          <w:sz w:val="20"/>
        </w:rPr>
        <w:t>a</w:t>
      </w:r>
      <w:r w:rsidR="007238C3" w:rsidRPr="006825A4">
        <w:rPr>
          <w:rFonts w:cs="Times New Roman"/>
          <w:sz w:val="20"/>
        </w:rPr>
        <w:t xml:space="preserve">ffective </w:t>
      </w:r>
      <w:r w:rsidR="007238C3">
        <w:rPr>
          <w:rFonts w:cs="Times New Roman"/>
          <w:sz w:val="20"/>
        </w:rPr>
        <w:t>a</w:t>
      </w:r>
      <w:r w:rsidR="007238C3" w:rsidRPr="006825A4">
        <w:rPr>
          <w:rFonts w:cs="Times New Roman"/>
          <w:sz w:val="20"/>
        </w:rPr>
        <w:t>chedule</w:t>
      </w:r>
      <w:r w:rsidR="007238C3" w:rsidRPr="006825A4">
        <w:rPr>
          <w:rFonts w:cs="Times New Roman"/>
          <w:sz w:val="20"/>
        </w:rPr>
        <w:fldChar w:fldCharType="begin" w:fldLock="1"/>
      </w:r>
      <w:r w:rsidR="007238C3" w:rsidRPr="006825A4">
        <w:rPr>
          <w:rFonts w:cs="Times New Roman"/>
          <w:sz w:val="20"/>
        </w:rPr>
        <w:instrText>ADDIN CSL_CITATION {"citationItems":[{"id":"ITEM-1","itemData":{"DOI":"10.1037//0022-3514.54.6.1063","ISSN":"0022-3514 (Print)","PMID":"3397865","abstract":"In recent studies of the structure of affect, positive and negative affect have  consistently emerged as two dominant and relatively independent dimensions. A number of mood scales have been created to measure these factors; however, many existing measures are inadequate, showing low reliability or poor convergent or discriminant validity. To fill the need for reliable and valid Positive Affect and Negative Affect scales that are also brief and easy to administer, we developed two 10-item mood scales that comprise the Positive and Negative Affect Schedule (PANAS). The scales are shown to be highly internally consistent, largely uncorrelated, and stable at appropriate levels over a 2-month time period. Normative data and factorial and external evidence of convergent and discriminant validity for the scales are also presented.","author":[{"dropping-particle":"","family":"Watson","given":"D","non-dropping-particle":"","parse-names":false,"suffix":""},{"dropping-particle":"","family":"Clark","given":"L A","non-dropping-particle":"","parse-names":false,"suffix":""},{"dropping-particle":"","family":"Tellegen","given":"A","non-dropping-particle":"","parse-names":false,"suffix":""}],"container-title":"Journal of personality and social psychology","id":"ITEM-1","issue":"6","issued":{"date-parts":[["1988","6"]]},"language":"eng","page":"1063-1070","publisher-place":"United States","title":"Development and validation of brief measures of positive and negative affect: the  PANAS scales.","type":"article-journal","volume":"54"},"uris":["http://www.mendeley.com/documents/?uuid=97a35e4e-89df-440e-9a9d-42c43e501244"]}],"mendeley":{"formattedCitation":"&lt;sup&gt;5&lt;/sup&gt;","plainTextFormattedCitation":"5","previouslyFormattedCitation":"&lt;sup&gt;5&lt;/sup&gt;"},"properties":{"noteIndex":0},"schema":"https://github.com/citation-style-language/schema/raw/master/csl-citation.json"}</w:instrText>
      </w:r>
      <w:r w:rsidR="007238C3" w:rsidRPr="006825A4">
        <w:rPr>
          <w:rFonts w:cs="Times New Roman"/>
          <w:sz w:val="20"/>
        </w:rPr>
        <w:fldChar w:fldCharType="separate"/>
      </w:r>
      <w:r w:rsidR="007238C3" w:rsidRPr="006825A4">
        <w:rPr>
          <w:rFonts w:cs="Times New Roman"/>
          <w:noProof/>
          <w:sz w:val="20"/>
          <w:vertAlign w:val="superscript"/>
        </w:rPr>
        <w:t>5</w:t>
      </w:r>
      <w:r w:rsidR="007238C3" w:rsidRPr="006825A4">
        <w:rPr>
          <w:rFonts w:cs="Times New Roman"/>
          <w:sz w:val="20"/>
        </w:rPr>
        <w:fldChar w:fldCharType="end"/>
      </w:r>
      <w:r w:rsidR="007238C3">
        <w:rPr>
          <w:rFonts w:cs="Times New Roman"/>
          <w:sz w:val="20"/>
        </w:rPr>
        <w:t>.</w:t>
      </w:r>
    </w:p>
    <w:p w14:paraId="38D6B94F" w14:textId="76ABEAF8" w:rsidR="00FE4F4C" w:rsidRPr="007377F1" w:rsidRDefault="00FE4F4C" w:rsidP="007238C3">
      <w:pPr>
        <w:spacing w:after="0" w:line="240" w:lineRule="auto"/>
        <w:rPr>
          <w:sz w:val="20"/>
        </w:rPr>
      </w:pPr>
    </w:p>
    <w:p w14:paraId="01232FD8" w14:textId="3DEF20E6" w:rsidR="000B60A9" w:rsidRDefault="000B60A9" w:rsidP="008F05E1">
      <w:pPr>
        <w:pStyle w:val="StandardWeb"/>
        <w:spacing w:before="240" w:beforeAutospacing="0" w:after="240" w:afterAutospacing="0" w:line="480" w:lineRule="auto"/>
        <w:jc w:val="both"/>
      </w:pPr>
    </w:p>
    <w:p w14:paraId="22B87EC4" w14:textId="0700871E" w:rsidR="006E59BB" w:rsidRPr="00793F8B" w:rsidRDefault="006E59BB" w:rsidP="0061333A">
      <w:pPr>
        <w:pStyle w:val="berschrift2"/>
      </w:pPr>
      <w:r>
        <w:t>1.</w:t>
      </w:r>
      <w:r w:rsidR="00760971">
        <w:t>2</w:t>
      </w:r>
      <w:r>
        <w:t>.</w:t>
      </w:r>
      <w:r w:rsidRPr="00793F8B">
        <w:t xml:space="preserve"> Recording and preprocessing of MEG</w:t>
      </w:r>
    </w:p>
    <w:p w14:paraId="1AE3E678" w14:textId="77777777" w:rsidR="005E5B9C" w:rsidRDefault="005E5B9C" w:rsidP="006E59BB">
      <w:pPr>
        <w:pStyle w:val="StandardWeb"/>
        <w:spacing w:before="240" w:beforeAutospacing="0" w:after="240" w:afterAutospacing="0" w:line="480" w:lineRule="auto"/>
        <w:ind w:firstLine="720"/>
        <w:jc w:val="both"/>
      </w:pPr>
      <w:r w:rsidRPr="000B0787">
        <w:t>We conducted MEG measurements with a 275 whole-head sensor system (CTF Systems) with first-order axial gradiometers</w:t>
      </w:r>
      <w:r w:rsidRPr="009E266B">
        <w:t xml:space="preserve"> to record the visually evoked magnetic fields (Omega 275; CTF, VSM MedTech Ltd., Coquitlam, Canada). </w:t>
      </w:r>
      <w:r>
        <w:t xml:space="preserve">Frequencies between 0 and 150 Hz were gathered with a sampling rate of 600 Hz. To capture the participants individual head shapes </w:t>
      </w:r>
      <w:r w:rsidRPr="009E266B">
        <w:t xml:space="preserve">a 3D tracking device (Polhemus, Colchester, VT, USA; </w:t>
      </w:r>
      <w:r w:rsidRPr="00D71DFA">
        <w:t>http://www.polhemus.com/</w:t>
      </w:r>
      <w:r w:rsidRPr="009E266B">
        <w:t>)</w:t>
      </w:r>
      <w:r>
        <w:t xml:space="preserve"> was used and the position in the scanner was ascertained by three landmark coils in the ears and on the nasion. </w:t>
      </w:r>
    </w:p>
    <w:p w14:paraId="4549C788" w14:textId="77777777" w:rsidR="007238C3" w:rsidRPr="006825A4" w:rsidRDefault="007238C3" w:rsidP="007238C3">
      <w:pPr>
        <w:pStyle w:val="StandardWeb"/>
        <w:spacing w:before="240" w:beforeAutospacing="0" w:after="240" w:afterAutospacing="0" w:line="480" w:lineRule="auto"/>
        <w:ind w:firstLine="720"/>
        <w:jc w:val="both"/>
        <w:rPr>
          <w:color w:val="000000"/>
        </w:rPr>
      </w:pPr>
      <w:r w:rsidRPr="006825A4">
        <w:rPr>
          <w:color w:val="000000"/>
        </w:rPr>
        <w:t>Experimental conditions of the choice stimulus (decision-making) contained the factors game</w:t>
      </w:r>
      <w:r>
        <w:rPr>
          <w:color w:val="000000"/>
        </w:rPr>
        <w:t xml:space="preserve"> </w:t>
      </w:r>
      <w:r w:rsidRPr="006825A4">
        <w:rPr>
          <w:color w:val="000000"/>
        </w:rPr>
        <w:t>stake</w:t>
      </w:r>
      <w:r>
        <w:rPr>
          <w:color w:val="000000"/>
        </w:rPr>
        <w:t>s</w:t>
      </w:r>
      <w:r w:rsidRPr="006825A4">
        <w:rPr>
          <w:color w:val="000000"/>
        </w:rPr>
        <w:t xml:space="preserve"> (25ct, 50ct, 75ct and 100ct), risk</w:t>
      </w:r>
      <w:r>
        <w:rPr>
          <w:color w:val="000000"/>
        </w:rPr>
        <w:t>-</w:t>
      </w:r>
      <w:r w:rsidRPr="006825A4">
        <w:rPr>
          <w:color w:val="000000"/>
        </w:rPr>
        <w:t>to</w:t>
      </w:r>
      <w:r>
        <w:rPr>
          <w:color w:val="000000"/>
        </w:rPr>
        <w:t>-</w:t>
      </w:r>
      <w:r w:rsidRPr="006825A4">
        <w:rPr>
          <w:color w:val="000000"/>
        </w:rPr>
        <w:t xml:space="preserve">lose </w:t>
      </w:r>
      <w:r>
        <w:rPr>
          <w:color w:val="000000"/>
        </w:rPr>
        <w:t xml:space="preserve">condition </w:t>
      </w:r>
      <w:r w:rsidRPr="006825A4">
        <w:rPr>
          <w:color w:val="000000"/>
        </w:rPr>
        <w:t>(20%, 40%, 60%, 80%), decision (gamble, keep), frame (gain</w:t>
      </w:r>
      <w:r>
        <w:rPr>
          <w:color w:val="000000"/>
        </w:rPr>
        <w:t xml:space="preserve"> </w:t>
      </w:r>
      <w:r w:rsidRPr="006825A4">
        <w:rPr>
          <w:color w:val="000000"/>
        </w:rPr>
        <w:t>frame, loss</w:t>
      </w:r>
      <w:r>
        <w:rPr>
          <w:color w:val="000000"/>
        </w:rPr>
        <w:t xml:space="preserve"> </w:t>
      </w:r>
      <w:r w:rsidRPr="006825A4">
        <w:rPr>
          <w:color w:val="000000"/>
        </w:rPr>
        <w:t>frame) and stimulation (excitatory, inhibitory). Since the accuracy of inverse source modeling (see below) does strongly depend on the signal</w:t>
      </w:r>
      <w:r>
        <w:rPr>
          <w:color w:val="000000"/>
        </w:rPr>
        <w:t>-</w:t>
      </w:r>
      <w:r w:rsidRPr="006825A4">
        <w:rPr>
          <w:color w:val="000000"/>
        </w:rPr>
        <w:t>to</w:t>
      </w:r>
      <w:r>
        <w:rPr>
          <w:color w:val="000000"/>
        </w:rPr>
        <w:t>-</w:t>
      </w:r>
      <w:r w:rsidRPr="006825A4">
        <w:rPr>
          <w:color w:val="000000"/>
        </w:rPr>
        <w:t xml:space="preserve">noise ratio, which increases with the square-root of the number of trials averaged per condition, we averaged across factors </w:t>
      </w:r>
      <w:r>
        <w:rPr>
          <w:color w:val="000000"/>
        </w:rPr>
        <w:t>that</w:t>
      </w:r>
      <w:r w:rsidRPr="006825A4">
        <w:rPr>
          <w:color w:val="000000"/>
        </w:rPr>
        <w:t xml:space="preserve"> were no</w:t>
      </w:r>
      <w:r>
        <w:rPr>
          <w:color w:val="000000"/>
        </w:rPr>
        <w:t xml:space="preserve">t </w:t>
      </w:r>
      <w:r w:rsidRPr="006825A4">
        <w:rPr>
          <w:color w:val="000000"/>
        </w:rPr>
        <w:t xml:space="preserve">relevant for a distinct research question. Testing the impact of </w:t>
      </w:r>
      <w:r w:rsidRPr="006825A4">
        <w:rPr>
          <w:color w:val="000000"/>
        </w:rPr>
        <w:lastRenderedPageBreak/>
        <w:t>stimulation and framing on decision (see Fig.1C main text)</w:t>
      </w:r>
      <w:r>
        <w:rPr>
          <w:color w:val="000000"/>
        </w:rPr>
        <w:t>,</w:t>
      </w:r>
      <w:r w:rsidRPr="006825A4">
        <w:rPr>
          <w:color w:val="000000"/>
        </w:rPr>
        <w:t xml:space="preserve"> we thus averaged across the factors game</w:t>
      </w:r>
      <w:r>
        <w:rPr>
          <w:color w:val="000000"/>
        </w:rPr>
        <w:t xml:space="preserve"> </w:t>
      </w:r>
      <w:r w:rsidRPr="006825A4">
        <w:rPr>
          <w:color w:val="000000"/>
        </w:rPr>
        <w:t>stake</w:t>
      </w:r>
      <w:r>
        <w:rPr>
          <w:color w:val="000000"/>
        </w:rPr>
        <w:t>s</w:t>
      </w:r>
      <w:r w:rsidRPr="006825A4">
        <w:rPr>
          <w:color w:val="000000"/>
        </w:rPr>
        <w:t xml:space="preserve"> and risk-to-lose</w:t>
      </w:r>
      <w:r>
        <w:rPr>
          <w:color w:val="000000"/>
        </w:rPr>
        <w:t xml:space="preserve"> condition</w:t>
      </w:r>
      <w:r w:rsidRPr="006825A4">
        <w:rPr>
          <w:color w:val="000000"/>
        </w:rPr>
        <w:t xml:space="preserve">. Testing for the impact of stimulation on the factor risk-to-lose </w:t>
      </w:r>
      <w:r>
        <w:rPr>
          <w:color w:val="000000"/>
        </w:rPr>
        <w:t xml:space="preserve">condition </w:t>
      </w:r>
      <w:r w:rsidRPr="006825A4">
        <w:rPr>
          <w:color w:val="000000"/>
        </w:rPr>
        <w:t>(see Fig.2D main text)</w:t>
      </w:r>
      <w:r>
        <w:rPr>
          <w:color w:val="000000"/>
        </w:rPr>
        <w:t>,</w:t>
      </w:r>
      <w:r w:rsidRPr="006825A4">
        <w:rPr>
          <w:color w:val="000000"/>
        </w:rPr>
        <w:t xml:space="preserve"> we averaged across the factors game</w:t>
      </w:r>
      <w:r>
        <w:rPr>
          <w:color w:val="000000"/>
        </w:rPr>
        <w:t xml:space="preserve"> </w:t>
      </w:r>
      <w:r w:rsidRPr="006825A4">
        <w:rPr>
          <w:color w:val="000000"/>
        </w:rPr>
        <w:t>stake</w:t>
      </w:r>
      <w:r>
        <w:rPr>
          <w:color w:val="000000"/>
        </w:rPr>
        <w:t>s</w:t>
      </w:r>
      <w:r w:rsidRPr="006825A4">
        <w:rPr>
          <w:color w:val="000000"/>
        </w:rPr>
        <w:t>, decision and frame. Experimental conditions of the feedback stimulus (feedback</w:t>
      </w:r>
      <w:r>
        <w:rPr>
          <w:color w:val="000000"/>
        </w:rPr>
        <w:t xml:space="preserve"> </w:t>
      </w:r>
      <w:r w:rsidRPr="006825A4">
        <w:rPr>
          <w:color w:val="000000"/>
        </w:rPr>
        <w:t>processing) contained the factors game</w:t>
      </w:r>
      <w:r>
        <w:rPr>
          <w:color w:val="000000"/>
        </w:rPr>
        <w:t xml:space="preserve"> </w:t>
      </w:r>
      <w:r w:rsidRPr="006825A4">
        <w:rPr>
          <w:color w:val="000000"/>
        </w:rPr>
        <w:t>stake</w:t>
      </w:r>
      <w:r>
        <w:rPr>
          <w:color w:val="000000"/>
        </w:rPr>
        <w:t>s</w:t>
      </w:r>
      <w:r w:rsidRPr="006825A4">
        <w:rPr>
          <w:color w:val="000000"/>
        </w:rPr>
        <w:t>, risk</w:t>
      </w:r>
      <w:r>
        <w:rPr>
          <w:color w:val="000000"/>
        </w:rPr>
        <w:t>-</w:t>
      </w:r>
      <w:r w:rsidRPr="006825A4">
        <w:rPr>
          <w:color w:val="000000"/>
        </w:rPr>
        <w:t>to</w:t>
      </w:r>
      <w:r>
        <w:rPr>
          <w:color w:val="000000"/>
        </w:rPr>
        <w:t>-</w:t>
      </w:r>
      <w:r w:rsidRPr="006825A4">
        <w:rPr>
          <w:color w:val="000000"/>
        </w:rPr>
        <w:t>lose</w:t>
      </w:r>
      <w:r>
        <w:rPr>
          <w:color w:val="000000"/>
        </w:rPr>
        <w:t xml:space="preserve"> condition</w:t>
      </w:r>
      <w:r w:rsidRPr="006825A4">
        <w:rPr>
          <w:color w:val="000000"/>
        </w:rPr>
        <w:t>, decision, frame, stimulation and outcome (gain, loss). Testing the impact of stimulation on outcome in the relevant ‘keep’ condition (see Fig. 3C main text)</w:t>
      </w:r>
      <w:r>
        <w:rPr>
          <w:color w:val="000000"/>
        </w:rPr>
        <w:t>,</w:t>
      </w:r>
      <w:r w:rsidRPr="006825A4">
        <w:rPr>
          <w:color w:val="000000"/>
        </w:rPr>
        <w:t xml:space="preserve"> we averaged across the factors game</w:t>
      </w:r>
      <w:r>
        <w:rPr>
          <w:color w:val="000000"/>
        </w:rPr>
        <w:t xml:space="preserve"> </w:t>
      </w:r>
      <w:r w:rsidRPr="006825A4">
        <w:rPr>
          <w:color w:val="000000"/>
        </w:rPr>
        <w:t>stake</w:t>
      </w:r>
      <w:r>
        <w:rPr>
          <w:color w:val="000000"/>
        </w:rPr>
        <w:t>s</w:t>
      </w:r>
      <w:r w:rsidRPr="006825A4">
        <w:rPr>
          <w:color w:val="000000"/>
        </w:rPr>
        <w:t xml:space="preserve">, risk-to-lose </w:t>
      </w:r>
      <w:r>
        <w:rPr>
          <w:color w:val="000000"/>
        </w:rPr>
        <w:t xml:space="preserve">condition </w:t>
      </w:r>
      <w:r w:rsidRPr="006825A4">
        <w:rPr>
          <w:color w:val="000000"/>
        </w:rPr>
        <w:t>and decision.</w:t>
      </w:r>
    </w:p>
    <w:p w14:paraId="358C726A" w14:textId="77777777" w:rsidR="007238C3" w:rsidRPr="006825A4" w:rsidRDefault="007238C3" w:rsidP="007238C3">
      <w:pPr>
        <w:pStyle w:val="StandardWeb"/>
        <w:spacing w:before="240" w:beforeAutospacing="0" w:after="240" w:afterAutospacing="0" w:line="480" w:lineRule="auto"/>
        <w:ind w:firstLine="720"/>
        <w:jc w:val="both"/>
        <w:rPr>
          <w:color w:val="000000"/>
        </w:rPr>
      </w:pPr>
      <w:r w:rsidRPr="006825A4">
        <w:rPr>
          <w:color w:val="000000"/>
        </w:rPr>
        <w:t xml:space="preserve">Following the averaging, </w:t>
      </w:r>
      <w:r>
        <w:rPr>
          <w:color w:val="000000"/>
        </w:rPr>
        <w:t xml:space="preserve">the </w:t>
      </w:r>
      <w:r w:rsidRPr="006825A4">
        <w:rPr>
          <w:color w:val="000000"/>
        </w:rPr>
        <w:t>underlying neural sources were estimated by the L2</w:t>
      </w:r>
      <w:r>
        <w:rPr>
          <w:color w:val="000000"/>
        </w:rPr>
        <w:t xml:space="preserve"> m</w:t>
      </w:r>
      <w:r w:rsidRPr="006825A4">
        <w:rPr>
          <w:color w:val="000000"/>
        </w:rPr>
        <w:t>inimum-</w:t>
      </w:r>
      <w:r>
        <w:rPr>
          <w:color w:val="000000"/>
        </w:rPr>
        <w:t>n</w:t>
      </w:r>
      <w:r w:rsidRPr="006825A4">
        <w:rPr>
          <w:color w:val="000000"/>
        </w:rPr>
        <w:t>orm</w:t>
      </w:r>
      <w:r>
        <w:rPr>
          <w:color w:val="000000"/>
        </w:rPr>
        <w:t xml:space="preserve"> e</w:t>
      </w:r>
      <w:r w:rsidRPr="006825A4">
        <w:rPr>
          <w:color w:val="000000"/>
        </w:rPr>
        <w:t>stimation</w:t>
      </w:r>
      <w:r w:rsidRPr="006825A4">
        <w:rPr>
          <w:color w:val="000000"/>
        </w:rPr>
        <w:fldChar w:fldCharType="begin" w:fldLock="1"/>
      </w:r>
      <w:r w:rsidRPr="006825A4">
        <w:rPr>
          <w:color w:val="000000"/>
        </w:rPr>
        <w:instrText>ADDIN CSL_CITATION {"citationItems":[{"id":"ITEM-1","itemData":{"DOI":"10.1007/BF02512476","ISSN":"1741-0444","abstract":"The authors have applied estimation theory to the problem of determining primary current distributions from measured neuromagnetic fields. In this procedure, essentially nothing is assumed about the source currents, except that they are spatially restricted to a certain region. Simulation experiments show that the results can describe the structure of the current flow fairly well. By increasing the number of measurements, the estimate can be made more localised. The current distributions may be also used as an interpolation and an extrapolation for the measured field patterns.","author":[{"dropping-particle":"","family":"Hämäläinen","given":"M S","non-dropping-particle":"","parse-names":false,"suffix":""},{"dropping-particle":"","family":"Ilmoniemi","given":"R J","non-dropping-particle":"","parse-names":false,"suffix":""}],"container-title":"Medical &amp; Biological Engineering &amp; Computing","id":"ITEM-1","issue":"1","issued":{"date-parts":[["1994"]]},"note":"we estimated the underlying neural sources of the recorded ERFs using the L2 minimum norm approach","page":"35-42","title":"Interpreting magnetic fields of the brain: minimum norm estimates","type":"article-journal","volume":"32"},"uris":["http://www.mendeley.com/documents/?uuid=037e30b3-55de-457a-bafe-04319f93ab68"]}],"mendeley":{"formattedCitation":"&lt;sup&gt;6&lt;/sup&gt;","plainTextFormattedCitation":"6","previouslyFormattedCitation":"&lt;sup&gt;6&lt;/sup&gt;"},"properties":{"noteIndex":0},"schema":"https://github.com/citation-style-language/schema/raw/master/csl-citation.json"}</w:instrText>
      </w:r>
      <w:r w:rsidRPr="006825A4">
        <w:rPr>
          <w:color w:val="000000"/>
        </w:rPr>
        <w:fldChar w:fldCharType="separate"/>
      </w:r>
      <w:r w:rsidRPr="006825A4">
        <w:rPr>
          <w:noProof/>
          <w:color w:val="000000"/>
          <w:vertAlign w:val="superscript"/>
        </w:rPr>
        <w:t>6</w:t>
      </w:r>
      <w:r w:rsidRPr="006825A4">
        <w:rPr>
          <w:color w:val="000000"/>
        </w:rPr>
        <w:fldChar w:fldCharType="end"/>
      </w:r>
      <w:r w:rsidRPr="006825A4">
        <w:rPr>
          <w:color w:val="000000"/>
        </w:rPr>
        <w:t xml:space="preserve">, an inverse modeling technique that does not need </w:t>
      </w:r>
      <w:r w:rsidRPr="00342E67">
        <w:rPr>
          <w:i/>
          <w:iCs/>
          <w:color w:val="000000"/>
        </w:rPr>
        <w:t>a priori</w:t>
      </w:r>
      <w:r w:rsidRPr="006825A4">
        <w:rPr>
          <w:color w:val="000000"/>
        </w:rPr>
        <w:t xml:space="preserve"> assumptions about the location and distribution of neural generators. A spherical model with 350 evenly distributed dipole pairs (azimuthal and polar direction) and a source shell radius approximately corresponding to the grey matter depth – i.e.</w:t>
      </w:r>
      <w:r>
        <w:rPr>
          <w:color w:val="000000"/>
        </w:rPr>
        <w:t>,</w:t>
      </w:r>
      <w:r w:rsidRPr="006825A4">
        <w:rPr>
          <w:color w:val="000000"/>
        </w:rPr>
        <w:t xml:space="preserve"> 87% of the individually fitted head – was employed as a source model. </w:t>
      </w:r>
      <w:r w:rsidRPr="006825A4">
        <w:rPr>
          <w:rFonts w:eastAsia="Calibri"/>
        </w:rPr>
        <w:t xml:space="preserve">The Tikhonov regularization parameter </w:t>
      </w:r>
      <w:r>
        <w:rPr>
          <w:rFonts w:eastAsia="Calibri"/>
        </w:rPr>
        <w:t>l</w:t>
      </w:r>
      <w:r w:rsidRPr="006825A4">
        <w:rPr>
          <w:rFonts w:eastAsia="Calibri"/>
        </w:rPr>
        <w:t xml:space="preserve">ambda was set to 0.1. </w:t>
      </w:r>
      <w:r w:rsidRPr="006825A4">
        <w:rPr>
          <w:color w:val="000000"/>
        </w:rPr>
        <w:t>The source-direction-independent neural activities (vector length of the estimated source activities at each position) were estimated for each individual participant, condition and time point. In addition to the three participants excluded during artifact inspection, further participants were excluded due to outlier analyses conducted in source space, which were conducted for each of the three neural analyses separately. Regarding the analysis stimulation by decision by frame (decision-making)</w:t>
      </w:r>
      <w:r>
        <w:rPr>
          <w:color w:val="000000"/>
        </w:rPr>
        <w:t>,</w:t>
      </w:r>
      <w:r w:rsidRPr="006825A4">
        <w:rPr>
          <w:color w:val="000000"/>
        </w:rPr>
        <w:t xml:space="preserve"> three participants had to be excluded (final sample: N = 30). In the analysis stimulation by risk-to-lose </w:t>
      </w:r>
      <w:r>
        <w:rPr>
          <w:color w:val="000000"/>
        </w:rPr>
        <w:t xml:space="preserve">condition </w:t>
      </w:r>
      <w:r w:rsidRPr="006825A4">
        <w:rPr>
          <w:color w:val="000000"/>
        </w:rPr>
        <w:t>(decision-making)</w:t>
      </w:r>
      <w:r>
        <w:rPr>
          <w:color w:val="000000"/>
        </w:rPr>
        <w:t>,</w:t>
      </w:r>
      <w:r w:rsidRPr="006825A4">
        <w:rPr>
          <w:color w:val="000000"/>
        </w:rPr>
        <w:t xml:space="preserve"> four participants had to be excluded (final sample: N = 29). Finally, in the analysis stimulation by decision by outcome (feedback</w:t>
      </w:r>
      <w:r>
        <w:rPr>
          <w:color w:val="000000"/>
        </w:rPr>
        <w:t xml:space="preserve"> </w:t>
      </w:r>
      <w:r w:rsidRPr="006825A4">
        <w:rPr>
          <w:color w:val="000000"/>
        </w:rPr>
        <w:t>processing)</w:t>
      </w:r>
      <w:r>
        <w:rPr>
          <w:color w:val="000000"/>
        </w:rPr>
        <w:t>,</w:t>
      </w:r>
      <w:r w:rsidRPr="006825A4">
        <w:rPr>
          <w:color w:val="000000"/>
        </w:rPr>
        <w:t xml:space="preserve"> five participants had to be excluded (final sample: N = 28). In these subjects, in one or both sessions (inhibitory or excitatory stimulation), either the mean of the standard deviation between experimental conditions across time or the maximum of normed (by mean) standard deviation between experimental conditions differed </w:t>
      </w:r>
      <w:r w:rsidRPr="006825A4">
        <w:rPr>
          <w:color w:val="000000"/>
        </w:rPr>
        <w:lastRenderedPageBreak/>
        <w:t>from the sample median by more than four standard deviations. This resulted in the smallest shared sample of 25 participants for the MEG analysis. All behavioral and neural analyses were conducted again with this smallest shared sample</w:t>
      </w:r>
      <w:r>
        <w:rPr>
          <w:color w:val="000000"/>
        </w:rPr>
        <w:t>,</w:t>
      </w:r>
      <w:r w:rsidRPr="006825A4">
        <w:rPr>
          <w:color w:val="000000"/>
        </w:rPr>
        <w:t xml:space="preserve"> and all reported results remained qualitatively equivalent. All effects also remained qualitatively equivalent </w:t>
      </w:r>
      <w:r>
        <w:rPr>
          <w:color w:val="000000"/>
        </w:rPr>
        <w:t xml:space="preserve">when </w:t>
      </w:r>
      <w:r w:rsidRPr="006825A4">
        <w:rPr>
          <w:color w:val="000000"/>
        </w:rPr>
        <w:t>stimulation order (excitatory or inhibitory first) was employed as additional factor.</w:t>
      </w:r>
    </w:p>
    <w:p w14:paraId="680E1244" w14:textId="77777777" w:rsidR="007238C3" w:rsidRPr="006825A4" w:rsidRDefault="007238C3" w:rsidP="007238C3">
      <w:pPr>
        <w:pStyle w:val="berschrift2"/>
      </w:pPr>
      <w:r w:rsidRPr="006825A4">
        <w:t>1.3. Analysis of the behavioral data</w:t>
      </w:r>
    </w:p>
    <w:p w14:paraId="7EDF98A9" w14:textId="77777777" w:rsidR="007238C3" w:rsidRPr="006825A4" w:rsidRDefault="007238C3" w:rsidP="007238C3">
      <w:pPr>
        <w:pStyle w:val="StandardWeb"/>
        <w:spacing w:before="240" w:beforeAutospacing="0" w:after="240" w:afterAutospacing="0" w:line="480" w:lineRule="auto"/>
        <w:ind w:firstLine="720"/>
        <w:jc w:val="both"/>
        <w:rPr>
          <w:color w:val="000000"/>
        </w:rPr>
      </w:pPr>
      <w:r w:rsidRPr="006825A4">
        <w:rPr>
          <w:color w:val="000000"/>
        </w:rPr>
        <w:t>Behavioral measures were analyzed using the statistics program R, applying an α-level of 0.05. If suitable</w:t>
      </w:r>
      <w:r>
        <w:rPr>
          <w:color w:val="000000"/>
        </w:rPr>
        <w:t>,</w:t>
      </w:r>
      <w:r w:rsidRPr="006825A4">
        <w:rPr>
          <w:color w:val="000000"/>
        </w:rPr>
        <w:t xml:space="preserve"> Greenhouse-Geiser corrected statistics were reported. </w:t>
      </w:r>
    </w:p>
    <w:p w14:paraId="62F0830E" w14:textId="77777777" w:rsidR="007238C3" w:rsidRPr="006825A4" w:rsidRDefault="007238C3" w:rsidP="007238C3">
      <w:pPr>
        <w:pStyle w:val="berschrift2"/>
      </w:pPr>
      <w:r w:rsidRPr="006825A4">
        <w:t>1.4. Analysis of neural data</w:t>
      </w:r>
    </w:p>
    <w:p w14:paraId="3FE08D13" w14:textId="56BD45FC" w:rsidR="007238C3" w:rsidRPr="006825A4" w:rsidRDefault="007238C3" w:rsidP="007238C3">
      <w:pPr>
        <w:spacing w:before="240" w:after="240"/>
        <w:ind w:firstLine="720"/>
        <w:jc w:val="both"/>
        <w:rPr>
          <w:rFonts w:eastAsia="Times New Roman" w:cs="Times New Roman"/>
          <w:szCs w:val="24"/>
        </w:rPr>
      </w:pPr>
      <w:r w:rsidRPr="006825A4">
        <w:rPr>
          <w:rFonts w:eastAsia="Times New Roman" w:cs="Times New Roman"/>
          <w:color w:val="000000"/>
          <w:szCs w:val="24"/>
        </w:rPr>
        <w:t>We applied intervals of interest from 0 – 300ms to investigate early bottom-up processes and 300 – 600ms for later more cognitive processes</w:t>
      </w:r>
      <w:r>
        <w:rPr>
          <w:rFonts w:eastAsia="Times New Roman" w:cs="Times New Roman"/>
          <w:color w:val="000000"/>
          <w:szCs w:val="24"/>
        </w:rPr>
        <w:t>,</w:t>
      </w:r>
      <w:r w:rsidRPr="006825A4">
        <w:rPr>
          <w:rFonts w:eastAsia="Times New Roman" w:cs="Times New Roman"/>
          <w:color w:val="000000"/>
          <w:szCs w:val="24"/>
        </w:rPr>
        <w:t xml:space="preserve"> as we did in previous studies</w:t>
      </w:r>
      <w:r w:rsidRPr="006825A4">
        <w:rPr>
          <w:rFonts w:eastAsia="Times New Roman" w:cs="Times New Roman"/>
          <w:color w:val="000000"/>
          <w:szCs w:val="24"/>
        </w:rPr>
        <w:fldChar w:fldCharType="begin" w:fldLock="1"/>
      </w:r>
      <w:r w:rsidRPr="006825A4">
        <w:rPr>
          <w:rFonts w:eastAsia="Times New Roman" w:cs="Times New Roman"/>
          <w:color w:val="000000"/>
          <w:szCs w:val="24"/>
        </w:rPr>
        <w:instrText>ADDIN CSL_CITATION {"citationItems":[{"id":"ITEM-1","itemData":{"DOI":"10.1016/j.bpsc.2021.08.001","ISSN":"2451-9030 (Electronic)","PMID":"34403785","abstract":"BACKGROUND: Overgeneralization of fear is a pathogenic marker of anxiety and  stress-related disorders and has been linked with perceptual discrimination deficits, reduced fear inhibition, and prefrontal hypo-reactivity to safety signaling stimuli. OBJECTIVE: We aimed to examine whether behavioral and neural patterns of fear generalization are influenced by the \"fear-inhibiting\" ventromedial prefrontal cortex (vmPFC). METHODS: Three groups of healthy participants received excitatory (N=27), inhibitory (N=26) or sham (N=26) transcranial direct current stimulation (tDCS) of the vmPFC after a fear conditioning and before a fear generalization phase. As dependent variables, we obtained fear ratings and UCS-expectancy ratings, perceptual aspects of fear generalization (perceptual discrimination), pupil dilations and source estimations of event-related fields elicited by conditioned and generalization stimuli (CS, GS). RESULTS: After inhibitory (compared to excitatory and sham) vmPFC stimulation, we observed reduced performance in perceptual discrimination and less negative \"inhibitory\" gradients in frontal structures at mid-latency and late time intervals. Fear and UCS-expectancy ratings as well as pupil dilation remained unaffected by stimulation. CONCLUSIONS: These findings reveal a causal contribution of vmPFC reactivity to generalization patterns and suggest that vmPFC hypo-reactivity consequent upon inhibitory vmPFC stimulation may serve as a model for pathological processes of fear generalization (reduced discrimination, impaired fear inhibition via frontal brain structures). This encourages further basic and clinical research on the potential of targeted brain stimulation to modulate fear generalization and overgeneralization.","author":[{"dropping-particle":"","family":"Roesmann","given":"Kati","non-dropping-particle":"","parse-names":false,"suffix":""},{"dropping-particle":"","family":"Kroker","given":"Thomas","non-dropping-particle":"","parse-names":false,"suffix":""},{"dropping-particle":"","family":"Hein","given":"Sarah","non-dropping-particle":"","parse-names":false,"suffix":""},{"dropping-particle":"","family":"Rehbein","given":"Maimu","non-dropping-particle":"","parse-names":false,"suffix":""},{"dropping-particle":"","family":"Winker","given":"Constantin","non-dropping-particle":"","parse-names":false,"suffix":""},{"dropping-particle":"","family":"Leehr","given":"Elisabeth Johanna","non-dropping-particle":"","parse-names":false,"suffix":""},{"dropping-particle":"","family":"Klucken","given":"Tim","non-dropping-particle":"","parse-names":false,"suffix":""},{"dropping-particle":"","family":"Junghöfer","given":"Markus","non-dropping-particle":"","parse-names":false,"suffix":""}],"container-title":"Biological psychiatry. Cognitive neuroscience and neuroimaging","id":"ITEM-1","issued":{"date-parts":[["2021","8"]]},"language":"eng","publisher-place":"United States","title":"Transcranial direct current stimulation of the ventromedial prefrontal cortex  modulates perceptual and neural patterns of fear generalization.","type":"article-journal"},"uris":["http://www.mendeley.com/documents/?uuid=8fa17524-1337-49c4-a54c-7e1e94c0ec33"]},{"id":"ITEM-2","itemData":{"DOI":"10.1016/j.neuroimage.2018.03.067","ISSN":"10959572","PMID":"29605579","abstract":"The ventromedial prefrontal cortex (vmPFC) is associated with emotional states that can be characterized as positive affect. Moreover, a variety of psychiatric disorders that are associated with disturbed reactions toward reward- or safety-signaling stimuli reveal functional or structural anomalies within this area. Thus, neuromodulation of this region via transcranial direct current stimulation (tDCS) offers an attractive opportunity to noninvasively influence pleasant emotional and reward processing. Recent experiments revealed hemodynamic and electrophysiological evidence for valence specific modulations of emotional scene processing after excitatory and inhibitory tDCS of the vmPFC. Here, we identified that tDCS modulation of vmPFC during emotional face processing results in effects convergent with scene processing, in that excitatory tDCS increased neural reactivity during happy compared to fearful face perception, whereas inhibitory stimulation led to a converse effect. In addition, behavioral data (affect identification of ambiguous expressive faces) revealed a bias toward preferential processing of happy compared to fearful faces after excitatory compared to after inhibitory stimulation. These results further support the vmPFC as an appropriate target for noninvasive neuromodulation of an appetitive processing network in patients suffering from disturbed cognition of reward- and safety-signaling stimuli. It should however be noted that electrophysiological pre-tDCS differences at earlier time intervals of emotional face and scene processing appeared amplified by tDCS, which remains to be investigated.","author":[{"dropping-particle":"","family":"Winker","given":"Constantin","non-dropping-particle":"","parse-names":false,"suffix":""},{"dropping-particle":"","family":"Rehbein","given":"Maimu Alissa","non-dropping-particle":"","parse-names":false,"suffix":""},{"dropping-particle":"","family":"Sabatinelli","given":"Dean","non-dropping-particle":"","parse-names":false,"suffix":""},{"dropping-particle":"","family":"Dohn","given":"Mira","non-dropping-particle":"","parse-names":false,"suffix":""},{"dropping-particle":"","family":"Maitzen","given":"Julius","non-dropping-particle":"","parse-names":false,"suffix":""},{"dropping-particle":"","family":"Wolters","given":"Carsten H.","non-dropping-particle":"","parse-names":false,"suffix":""},{"dropping-particle":"","family":"Arolt","given":"Volker","non-dropping-particle":"","parse-names":false,"suffix":""},{"dropping-particle":"","family":"Junghofer","given":"Markus","non-dropping-particle":"","parse-names":false,"suffix":""},{"dropping-particle":"","family":"Junghöfer","given":"Markus","non-dropping-particle":"","parse-names":false,"suffix":""}],"container-title":"NeuroImage","id":"ITEM-2","issued":{"date-parts":[["2018","7"]]},"page":"388-401","publisher":"Elsevier Inc.","title":"Noninvasive stimulation of the ventromedial prefrontal cortex modulates emotional face processing","type":"article-journal","volume":"175"},"uris":["http://www.mendeley.com/documents/?uuid=ff9c4ec6-7c96-40ba-89f1-bf75142fe31c"]}],"mendeley":{"formattedCitation":"&lt;sup&gt;7,8&lt;/sup&gt;","plainTextFormattedCitation":"7,8","previouslyFormattedCitation":"&lt;sup&gt;7,8&lt;/sup&gt;"},"properties":{"noteIndex":0},"schema":"https://github.com/citation-style-language/schema/raw/master/csl-citation.json"}</w:instrText>
      </w:r>
      <w:r w:rsidRPr="006825A4">
        <w:rPr>
          <w:rFonts w:eastAsia="Times New Roman" w:cs="Times New Roman"/>
          <w:color w:val="000000"/>
          <w:szCs w:val="24"/>
        </w:rPr>
        <w:fldChar w:fldCharType="separate"/>
      </w:r>
      <w:r w:rsidRPr="006825A4">
        <w:rPr>
          <w:rFonts w:eastAsia="Times New Roman" w:cs="Times New Roman"/>
          <w:noProof/>
          <w:color w:val="000000"/>
          <w:szCs w:val="24"/>
          <w:vertAlign w:val="superscript"/>
        </w:rPr>
        <w:t>7,8</w:t>
      </w:r>
      <w:r w:rsidRPr="006825A4">
        <w:rPr>
          <w:rFonts w:eastAsia="Times New Roman" w:cs="Times New Roman"/>
          <w:color w:val="000000"/>
          <w:szCs w:val="24"/>
        </w:rPr>
        <w:fldChar w:fldCharType="end"/>
      </w:r>
      <w:r w:rsidRPr="006825A4">
        <w:rPr>
          <w:rFonts w:eastAsia="Times New Roman" w:cs="Times New Roman"/>
          <w:color w:val="000000"/>
          <w:szCs w:val="24"/>
        </w:rPr>
        <w:t>. If the temporal extent of any resulting spatio</w:t>
      </w:r>
      <w:r>
        <w:rPr>
          <w:rFonts w:eastAsia="Times New Roman" w:cs="Times New Roman"/>
          <w:color w:val="000000"/>
          <w:szCs w:val="24"/>
        </w:rPr>
        <w:t>-</w:t>
      </w:r>
      <w:r w:rsidRPr="006825A4">
        <w:rPr>
          <w:rFonts w:eastAsia="Times New Roman" w:cs="Times New Roman"/>
          <w:color w:val="000000"/>
          <w:szCs w:val="24"/>
        </w:rPr>
        <w:t>temporal cluster reached the predefined border of 300ms, the interval was stepwise extended by 50ms. To tackle the problem of multiple comparisons, we used a non-parametric correction approach</w:t>
      </w:r>
      <w:r w:rsidRPr="006825A4">
        <w:rPr>
          <w:rFonts w:eastAsia="Times New Roman" w:cs="Times New Roman"/>
          <w:color w:val="000000"/>
          <w:szCs w:val="24"/>
        </w:rPr>
        <w:fldChar w:fldCharType="begin" w:fldLock="1"/>
      </w:r>
      <w:r w:rsidRPr="006825A4">
        <w:rPr>
          <w:rFonts w:eastAsia="Times New Roman" w:cs="Times New Roman"/>
          <w:color w:val="000000"/>
          <w:szCs w:val="24"/>
        </w:rPr>
        <w:instrText>ADDIN CSL_CITATION {"citationItems":[{"id":"ITEM-1","itemData":{"DOI":"https://doi.org/10.1016/j.jneumeth.2007.03.024","ISSN":"0165-0270","abstract":"In this paper, we show how ElectroEncephaloGraphic (EEG) and MagnetoEncephaloGraphic (MEG) data can be analyzed statistically using nonparametric techniques. Nonparametric statistical tests offer complete freedom to the user with respect to the test statistic by means of which the experimental conditions are compared. This freedom provides a straightforward way to solve the multiple comparisons problem (MCP) and it allows to incorporate biophysically motivated constraints in the test statistic, which may drastically increase the sensitivity of the statistical test. The paper is written for two audiences: (1) empirical neuroscientists looking for the most appropriate data analysis method, and (2) methodologists interested in the theoretical concepts behind nonparametric statistical tests. For the empirical neuroscientist, a large part of the paper is written in a tutorial-like fashion, enabling neuroscientists to construct their own statistical test, maximizing the sensitivity to the expected effect. And for the methodologist, it is explained why the nonparametric test is formally correct. This means that we formulate a null hypothesis (identical probability distribution in the different experimental conditions) and show that the nonparametric test controls the false alarm rate under this null hypothesis.","author":[{"dropping-particle":"","family":"Maris","given":"Eric","non-dropping-particle":"","parse-names":false,"suffix":""},{"dropping-particle":"","family":"Oostenveld","given":"Robert","non-dropping-particle":"","parse-names":false,"suffix":""}],"container-title":"Journal of Neuroscience Methods","id":"ITEM-1","issue":"1","issued":{"date-parts":[["2007"]]},"page":"177-190","title":"Nonparametric statistical testing of EEG- and MEG-data","type":"article-journal","volume":"164"},"uris":["http://www.mendeley.com/documents/?uuid=14b39109-7265-4ea1-90ad-82110db25ae0"]}],"mendeley":{"formattedCitation":"&lt;sup&gt;9&lt;/sup&gt;","plainTextFormattedCitation":"9","previouslyFormattedCitation":"&lt;sup&gt;9&lt;/sup&gt;"},"properties":{"noteIndex":0},"schema":"https://github.com/citation-style-language/schema/raw/master/csl-citation.json"}</w:instrText>
      </w:r>
      <w:r w:rsidRPr="006825A4">
        <w:rPr>
          <w:rFonts w:eastAsia="Times New Roman" w:cs="Times New Roman"/>
          <w:color w:val="000000"/>
          <w:szCs w:val="24"/>
        </w:rPr>
        <w:fldChar w:fldCharType="separate"/>
      </w:r>
      <w:r w:rsidRPr="006825A4">
        <w:rPr>
          <w:rFonts w:eastAsia="Times New Roman" w:cs="Times New Roman"/>
          <w:noProof/>
          <w:color w:val="000000"/>
          <w:szCs w:val="24"/>
          <w:vertAlign w:val="superscript"/>
        </w:rPr>
        <w:t>9</w:t>
      </w:r>
      <w:r w:rsidRPr="006825A4">
        <w:rPr>
          <w:rFonts w:eastAsia="Times New Roman" w:cs="Times New Roman"/>
          <w:color w:val="000000"/>
          <w:szCs w:val="24"/>
        </w:rPr>
        <w:fldChar w:fldCharType="end"/>
      </w:r>
      <w:r w:rsidRPr="006825A4">
        <w:rPr>
          <w:rFonts w:eastAsia="Times New Roman" w:cs="Times New Roman"/>
          <w:color w:val="000000"/>
          <w:szCs w:val="24"/>
        </w:rPr>
        <w:t xml:space="preserve">. </w:t>
      </w:r>
      <w:r w:rsidRPr="006825A4">
        <w:rPr>
          <w:rFonts w:eastAsia="Calibri" w:cs="Times New Roman"/>
          <w:szCs w:val="24"/>
        </w:rPr>
        <w:t>In this procedure, statistical values (i.e.</w:t>
      </w:r>
      <w:r>
        <w:rPr>
          <w:rFonts w:eastAsia="Calibri" w:cs="Times New Roman"/>
          <w:szCs w:val="24"/>
        </w:rPr>
        <w:t>,</w:t>
      </w:r>
      <w:r w:rsidRPr="006825A4">
        <w:rPr>
          <w:rFonts w:eastAsia="Calibri" w:cs="Times New Roman"/>
          <w:szCs w:val="24"/>
        </w:rPr>
        <w:t xml:space="preserve"> F</w:t>
      </w:r>
      <w:r>
        <w:rPr>
          <w:rFonts w:eastAsia="Calibri" w:cs="Times New Roman"/>
          <w:szCs w:val="24"/>
        </w:rPr>
        <w:t xml:space="preserve"> </w:t>
      </w:r>
      <w:r w:rsidRPr="006825A4">
        <w:rPr>
          <w:rFonts w:eastAsia="Calibri" w:cs="Times New Roman"/>
          <w:szCs w:val="24"/>
        </w:rPr>
        <w:t>values of the respective ANOVA analyses, t</w:t>
      </w:r>
      <w:r>
        <w:rPr>
          <w:rFonts w:eastAsia="Calibri" w:cs="Times New Roman"/>
          <w:szCs w:val="24"/>
        </w:rPr>
        <w:t xml:space="preserve"> </w:t>
      </w:r>
      <w:r w:rsidRPr="006825A4">
        <w:rPr>
          <w:rFonts w:eastAsia="Calibri" w:cs="Times New Roman"/>
          <w:szCs w:val="24"/>
        </w:rPr>
        <w:t>values of t-tests, r</w:t>
      </w:r>
      <w:r>
        <w:rPr>
          <w:rFonts w:eastAsia="Calibri" w:cs="Times New Roman"/>
          <w:szCs w:val="24"/>
        </w:rPr>
        <w:t xml:space="preserve"> </w:t>
      </w:r>
      <w:r w:rsidRPr="006825A4">
        <w:rPr>
          <w:rFonts w:eastAsia="Calibri" w:cs="Times New Roman"/>
          <w:szCs w:val="24"/>
        </w:rPr>
        <w:t>values for correlational analyses) per time point and estimated test dipole entered so-called spatio-temporal cluster masses if the respective test statistic exceeded a critical alpha level of p = 0.01 (sensor-level criterion)</w:t>
      </w:r>
      <w:r w:rsidRPr="006825A4">
        <w:rPr>
          <w:rFonts w:eastAsia="Times New Roman" w:cs="Times New Roman"/>
          <w:color w:val="000000"/>
          <w:szCs w:val="24"/>
        </w:rPr>
        <w:t>. The cluster</w:t>
      </w:r>
      <w:r>
        <w:rPr>
          <w:rFonts w:eastAsia="Times New Roman" w:cs="Times New Roman"/>
          <w:color w:val="000000"/>
          <w:szCs w:val="24"/>
        </w:rPr>
        <w:t xml:space="preserve"> </w:t>
      </w:r>
      <w:r w:rsidRPr="006825A4">
        <w:rPr>
          <w:rFonts w:eastAsia="Times New Roman" w:cs="Times New Roman"/>
          <w:color w:val="000000"/>
          <w:szCs w:val="24"/>
        </w:rPr>
        <w:t>mass was calculated as the three-dimensional spatio-temporal integral of the statistical values (i.e.</w:t>
      </w:r>
      <w:r>
        <w:rPr>
          <w:rFonts w:eastAsia="Times New Roman" w:cs="Times New Roman"/>
          <w:color w:val="000000"/>
          <w:szCs w:val="24"/>
        </w:rPr>
        <w:t>,</w:t>
      </w:r>
      <w:r w:rsidRPr="006825A4">
        <w:rPr>
          <w:rFonts w:eastAsia="Times New Roman" w:cs="Times New Roman"/>
          <w:color w:val="000000"/>
          <w:szCs w:val="24"/>
        </w:rPr>
        <w:t xml:space="preserve"> the statistical value reflects the ‘density’ within the cluster</w:t>
      </w:r>
      <w:r>
        <w:rPr>
          <w:rFonts w:eastAsia="Times New Roman" w:cs="Times New Roman"/>
          <w:color w:val="000000"/>
          <w:szCs w:val="24"/>
        </w:rPr>
        <w:t xml:space="preserve"> </w:t>
      </w:r>
      <w:r w:rsidRPr="006825A4">
        <w:rPr>
          <w:rFonts w:eastAsia="Times New Roman" w:cs="Times New Roman"/>
          <w:color w:val="000000"/>
          <w:szCs w:val="24"/>
        </w:rPr>
        <w:t>volume</w:t>
      </w:r>
      <w:r>
        <w:rPr>
          <w:rFonts w:eastAsia="Times New Roman" w:cs="Times New Roman"/>
          <w:color w:val="000000"/>
          <w:szCs w:val="24"/>
        </w:rPr>
        <w:t>,</w:t>
      </w:r>
      <w:r w:rsidRPr="006825A4">
        <w:rPr>
          <w:rFonts w:eastAsia="Times New Roman" w:cs="Times New Roman"/>
          <w:color w:val="000000"/>
          <w:szCs w:val="24"/>
        </w:rPr>
        <w:t xml:space="preserve"> resulting in the ‘mass’ of the cluster). In a second step, cluster masses within the pre-defined intervals of interest (early: 0-300ms, late: 300-600ms) and within the prefrontal region of interest (</w:t>
      </w:r>
      <w:r w:rsidRPr="006825A4">
        <w:rPr>
          <w:rFonts w:eastAsia="Calibri" w:cs="Times New Roman"/>
          <w:szCs w:val="24"/>
        </w:rPr>
        <w:t xml:space="preserve">based on anterior vs. posterior characterization of the head model implemented in EMEGS) </w:t>
      </w:r>
      <w:r w:rsidRPr="006825A4">
        <w:rPr>
          <w:rFonts w:eastAsia="Times New Roman" w:cs="Times New Roman"/>
          <w:color w:val="000000"/>
          <w:szCs w:val="24"/>
        </w:rPr>
        <w:t xml:space="preserve">were tested against cluster masses of identical test statistics, </w:t>
      </w:r>
      <w:r w:rsidRPr="006825A4">
        <w:rPr>
          <w:rFonts w:eastAsia="Times New Roman" w:cs="Times New Roman"/>
          <w:color w:val="000000"/>
          <w:szCs w:val="24"/>
        </w:rPr>
        <w:lastRenderedPageBreak/>
        <w:t>yielded by 1,000 permuted drawings from the same dataset. The distribution of the permutations was employed to determine the cluster</w:t>
      </w:r>
      <w:r>
        <w:rPr>
          <w:rFonts w:eastAsia="Times New Roman" w:cs="Times New Roman"/>
          <w:color w:val="000000"/>
          <w:szCs w:val="24"/>
        </w:rPr>
        <w:t xml:space="preserve"> </w:t>
      </w:r>
      <w:r w:rsidRPr="006825A4">
        <w:rPr>
          <w:rFonts w:eastAsia="Times New Roman" w:cs="Times New Roman"/>
          <w:color w:val="000000"/>
          <w:szCs w:val="24"/>
        </w:rPr>
        <w:t>criterion. If the actual cluster</w:t>
      </w:r>
      <w:r>
        <w:rPr>
          <w:rFonts w:eastAsia="Times New Roman" w:cs="Times New Roman"/>
          <w:color w:val="000000"/>
          <w:szCs w:val="24"/>
        </w:rPr>
        <w:t xml:space="preserve"> </w:t>
      </w:r>
      <w:r w:rsidRPr="006825A4">
        <w:rPr>
          <w:rFonts w:eastAsia="Times New Roman" w:cs="Times New Roman"/>
          <w:color w:val="000000"/>
          <w:szCs w:val="24"/>
        </w:rPr>
        <w:t>mass exceeded this critical cluster</w:t>
      </w:r>
      <w:r>
        <w:rPr>
          <w:rFonts w:eastAsia="Times New Roman" w:cs="Times New Roman"/>
          <w:color w:val="000000"/>
          <w:szCs w:val="24"/>
        </w:rPr>
        <w:t xml:space="preserve"> </w:t>
      </w:r>
      <w:r w:rsidRPr="006825A4">
        <w:rPr>
          <w:rFonts w:eastAsia="Times New Roman" w:cs="Times New Roman"/>
          <w:color w:val="000000"/>
          <w:szCs w:val="24"/>
        </w:rPr>
        <w:t xml:space="preserve">mass of </w:t>
      </w:r>
      <w:r w:rsidRPr="006825A4">
        <w:rPr>
          <w:rFonts w:eastAsia="Times New Roman" w:cs="Times New Roman"/>
          <w:i/>
          <w:color w:val="000000"/>
          <w:szCs w:val="24"/>
        </w:rPr>
        <w:t>p</w:t>
      </w:r>
      <w:r w:rsidRPr="006825A4">
        <w:rPr>
          <w:rFonts w:eastAsia="Times New Roman" w:cs="Times New Roman"/>
          <w:color w:val="000000"/>
          <w:szCs w:val="24"/>
        </w:rPr>
        <w:t xml:space="preserve"> = 0.05 (i.e.</w:t>
      </w:r>
      <w:r>
        <w:rPr>
          <w:rFonts w:eastAsia="Times New Roman" w:cs="Times New Roman"/>
          <w:color w:val="000000"/>
          <w:szCs w:val="24"/>
        </w:rPr>
        <w:t>,</w:t>
      </w:r>
      <w:r w:rsidRPr="006825A4">
        <w:rPr>
          <w:rFonts w:eastAsia="Times New Roman" w:cs="Times New Roman"/>
          <w:color w:val="000000"/>
          <w:szCs w:val="24"/>
        </w:rPr>
        <w:t xml:space="preserve"> greater than 95% of the biggest cluster</w:t>
      </w:r>
      <w:r>
        <w:rPr>
          <w:rFonts w:eastAsia="Times New Roman" w:cs="Times New Roman"/>
          <w:color w:val="000000"/>
          <w:szCs w:val="24"/>
        </w:rPr>
        <w:t xml:space="preserve"> </w:t>
      </w:r>
      <w:r w:rsidRPr="006825A4">
        <w:rPr>
          <w:rFonts w:eastAsia="Times New Roman" w:cs="Times New Roman"/>
          <w:color w:val="000000"/>
          <w:szCs w:val="24"/>
        </w:rPr>
        <w:t>masses of each of the 1,000 permuted drawings; cluster-level criterion), the cluster was classified as significant. The duration of the clusters was rounded to the nearest 10ms, since this reduces the risk of excessive accuracy for the given temporal resolution of cluster onsets and offsets. This procedure was implemented for all examined effects.</w:t>
      </w:r>
    </w:p>
    <w:p w14:paraId="2490D557" w14:textId="77777777"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For visualization purposes,</w:t>
      </w:r>
      <w:r w:rsidRPr="006825A4">
        <w:rPr>
          <w:color w:val="000000"/>
        </w:rPr>
        <w:t xml:space="preserve"> spherical </w:t>
      </w:r>
      <w:r w:rsidRPr="006825A4">
        <w:rPr>
          <w:rFonts w:eastAsia="Times New Roman" w:cs="Times New Roman"/>
          <w:color w:val="000000"/>
          <w:szCs w:val="24"/>
        </w:rPr>
        <w:t>L2-MNE topographies were projected on standard 3D brain models.</w:t>
      </w:r>
    </w:p>
    <w:p w14:paraId="73E027C2" w14:textId="77777777" w:rsidR="00026B6C" w:rsidRPr="00FE639E" w:rsidRDefault="00026B6C" w:rsidP="00FE639E">
      <w:pPr>
        <w:spacing w:before="240" w:after="240"/>
        <w:ind w:firstLine="720"/>
        <w:jc w:val="both"/>
        <w:rPr>
          <w:rFonts w:eastAsia="Times New Roman" w:cs="Times New Roman"/>
          <w:szCs w:val="24"/>
        </w:rPr>
      </w:pPr>
    </w:p>
    <w:p w14:paraId="68D197A8" w14:textId="77777777" w:rsidR="007238C3" w:rsidRPr="006825A4" w:rsidRDefault="007238C3" w:rsidP="007238C3">
      <w:pPr>
        <w:pStyle w:val="berschrift1"/>
        <w:jc w:val="center"/>
        <w:rPr>
          <w:rFonts w:ascii="Times New Roman" w:hAnsi="Times New Roman" w:cs="Times New Roman"/>
          <w:b/>
          <w:color w:val="000000" w:themeColor="text1"/>
          <w:sz w:val="28"/>
        </w:rPr>
      </w:pPr>
      <w:r w:rsidRPr="006825A4">
        <w:rPr>
          <w:rFonts w:ascii="Times New Roman" w:hAnsi="Times New Roman" w:cs="Times New Roman"/>
          <w:b/>
          <w:color w:val="000000" w:themeColor="text1"/>
          <w:sz w:val="28"/>
        </w:rPr>
        <w:t>SM2.Results and Discussion</w:t>
      </w:r>
    </w:p>
    <w:p w14:paraId="4BB405E9" w14:textId="77777777" w:rsidR="007238C3" w:rsidRPr="006825A4" w:rsidRDefault="007238C3" w:rsidP="007238C3">
      <w:pPr>
        <w:pStyle w:val="berschrift2"/>
        <w:spacing w:before="160" w:after="160"/>
      </w:pPr>
      <w:r w:rsidRPr="006825A4">
        <w:t>2.1. tDCS</w:t>
      </w:r>
      <w:r>
        <w:t xml:space="preserve"> </w:t>
      </w:r>
      <w:r w:rsidRPr="006825A4">
        <w:t>perception</w:t>
      </w:r>
    </w:p>
    <w:p w14:paraId="54539B7A" w14:textId="77777777" w:rsidR="007238C3" w:rsidRPr="006825A4" w:rsidRDefault="007238C3" w:rsidP="007238C3">
      <w:pPr>
        <w:spacing w:before="160"/>
        <w:ind w:firstLine="720"/>
        <w:jc w:val="both"/>
        <w:rPr>
          <w:rFonts w:eastAsia="Times New Roman" w:cs="Times New Roman"/>
          <w:color w:val="000000"/>
          <w:szCs w:val="24"/>
        </w:rPr>
      </w:pPr>
      <w:r w:rsidRPr="006825A4">
        <w:rPr>
          <w:rFonts w:eastAsia="Times New Roman" w:cs="Times New Roman"/>
          <w:color w:val="000000"/>
          <w:szCs w:val="24"/>
        </w:rPr>
        <w:t>No significant differences between excitatory and inhibitory stimulation in perceived hedonic valence (</w:t>
      </w:r>
      <w:proofErr w:type="gramStart"/>
      <w:r w:rsidRPr="006825A4">
        <w:rPr>
          <w:rFonts w:eastAsia="Times New Roman" w:cs="Times New Roman"/>
          <w:i/>
          <w:color w:val="000000"/>
          <w:szCs w:val="24"/>
        </w:rPr>
        <w:t>t</w:t>
      </w:r>
      <w:r w:rsidRPr="006825A4">
        <w:rPr>
          <w:rFonts w:eastAsia="Times New Roman" w:cs="Times New Roman"/>
          <w:color w:val="000000"/>
          <w:szCs w:val="24"/>
        </w:rPr>
        <w:t>(</w:t>
      </w:r>
      <w:proofErr w:type="gramEnd"/>
      <w:r w:rsidRPr="006825A4">
        <w:rPr>
          <w:rFonts w:eastAsia="Times New Roman" w:cs="Times New Roman"/>
          <w:color w:val="000000"/>
          <w:szCs w:val="24"/>
        </w:rPr>
        <w:t xml:space="preserve">35) = -1.27, </w:t>
      </w:r>
      <w:r w:rsidRPr="006825A4">
        <w:rPr>
          <w:rFonts w:eastAsia="Times New Roman" w:cs="Times New Roman"/>
          <w:i/>
          <w:color w:val="000000"/>
          <w:szCs w:val="24"/>
        </w:rPr>
        <w:t>p</w:t>
      </w:r>
      <w:r w:rsidRPr="006825A4">
        <w:rPr>
          <w:rFonts w:eastAsia="Times New Roman" w:cs="Times New Roman"/>
          <w:color w:val="000000"/>
          <w:szCs w:val="24"/>
        </w:rPr>
        <w:t xml:space="preserve"> = 0.212) and intensity (</w:t>
      </w:r>
      <w:r w:rsidRPr="006825A4">
        <w:rPr>
          <w:rFonts w:eastAsia="Times New Roman" w:cs="Times New Roman"/>
          <w:i/>
          <w:color w:val="000000"/>
          <w:szCs w:val="24"/>
        </w:rPr>
        <w:t>t</w:t>
      </w:r>
      <w:r w:rsidRPr="006825A4">
        <w:rPr>
          <w:rFonts w:eastAsia="Times New Roman" w:cs="Times New Roman"/>
          <w:color w:val="000000"/>
          <w:szCs w:val="24"/>
        </w:rPr>
        <w:t xml:space="preserve">(35) = -0.13, </w:t>
      </w:r>
      <w:r w:rsidRPr="006825A4">
        <w:rPr>
          <w:rFonts w:eastAsia="Times New Roman" w:cs="Times New Roman"/>
          <w:i/>
          <w:color w:val="000000"/>
          <w:szCs w:val="24"/>
        </w:rPr>
        <w:t>p</w:t>
      </w:r>
      <w:r w:rsidRPr="006825A4">
        <w:rPr>
          <w:rFonts w:eastAsia="Times New Roman" w:cs="Times New Roman"/>
          <w:color w:val="000000"/>
          <w:szCs w:val="24"/>
        </w:rPr>
        <w:t xml:space="preserve"> = 0.900) emerged. Thus, participants were not able to differentiate between the stimulation conditions. </w:t>
      </w:r>
    </w:p>
    <w:p w14:paraId="26807D60" w14:textId="77777777" w:rsidR="007238C3" w:rsidRPr="006825A4" w:rsidRDefault="007238C3" w:rsidP="007238C3">
      <w:pPr>
        <w:pStyle w:val="berschrift2"/>
        <w:spacing w:before="160" w:after="160"/>
      </w:pPr>
      <w:r w:rsidRPr="006825A4">
        <w:t>2.2. Investigation of mood effects</w:t>
      </w:r>
    </w:p>
    <w:p w14:paraId="2A568E7D" w14:textId="77777777" w:rsidR="007238C3" w:rsidRPr="006825A4" w:rsidRDefault="007238C3" w:rsidP="007238C3">
      <w:pPr>
        <w:spacing w:before="160"/>
        <w:ind w:firstLine="720"/>
        <w:rPr>
          <w:color w:val="000000"/>
          <w:sz w:val="22"/>
        </w:rPr>
      </w:pPr>
      <w:r w:rsidRPr="006825A4">
        <w:rPr>
          <w:rFonts w:eastAsia="Times New Roman" w:cs="Times New Roman"/>
          <w:color w:val="000000"/>
          <w:szCs w:val="24"/>
        </w:rPr>
        <w:t>To control for modulations of mood effects by the stimulation</w:t>
      </w:r>
      <w:r>
        <w:rPr>
          <w:rFonts w:eastAsia="Times New Roman" w:cs="Times New Roman"/>
          <w:color w:val="000000"/>
          <w:szCs w:val="24"/>
        </w:rPr>
        <w:t>,</w:t>
      </w:r>
      <w:r w:rsidRPr="006825A4">
        <w:rPr>
          <w:rFonts w:eastAsia="Times New Roman" w:cs="Times New Roman"/>
          <w:color w:val="000000"/>
          <w:szCs w:val="24"/>
        </w:rPr>
        <w:t xml:space="preserve"> we calculated a 2x2 repeated-measures ANOVA with the factors stimulation (excitatory, inhibitory) and affect (positive</w:t>
      </w:r>
      <w:r w:rsidRPr="006825A4">
        <w:rPr>
          <w:rFonts w:cs="Times New Roman"/>
          <w:color w:val="000000"/>
        </w:rPr>
        <w:t xml:space="preserve"> PANAS scale</w:t>
      </w:r>
      <w:r w:rsidRPr="006825A4">
        <w:rPr>
          <w:rFonts w:eastAsia="Times New Roman" w:cs="Times New Roman"/>
          <w:color w:val="000000"/>
          <w:szCs w:val="24"/>
        </w:rPr>
        <w:t>,</w:t>
      </w:r>
      <w:r w:rsidRPr="006825A4">
        <w:rPr>
          <w:rFonts w:cs="Times New Roman"/>
          <w:color w:val="000000"/>
        </w:rPr>
        <w:t xml:space="preserve"> </w:t>
      </w:r>
      <w:r w:rsidRPr="006825A4">
        <w:rPr>
          <w:rFonts w:eastAsia="Times New Roman" w:cs="Times New Roman"/>
          <w:color w:val="000000"/>
          <w:szCs w:val="24"/>
        </w:rPr>
        <w:t>negative PANAS scale)</w:t>
      </w:r>
      <w:r>
        <w:rPr>
          <w:rFonts w:eastAsia="Times New Roman" w:cs="Times New Roman"/>
          <w:color w:val="000000"/>
          <w:szCs w:val="24"/>
        </w:rPr>
        <w:t>.</w:t>
      </w:r>
      <w:r w:rsidRPr="006825A4">
        <w:rPr>
          <w:rFonts w:eastAsia="Times New Roman" w:cs="Times New Roman"/>
          <w:color w:val="000000"/>
          <w:szCs w:val="24"/>
        </w:rPr>
        <w:t xml:space="preserve"> </w:t>
      </w:r>
      <w:r>
        <w:rPr>
          <w:rFonts w:eastAsia="Times New Roman" w:cs="Times New Roman"/>
          <w:color w:val="000000"/>
          <w:szCs w:val="24"/>
        </w:rPr>
        <w:t xml:space="preserve">The analysis </w:t>
      </w:r>
      <w:r w:rsidRPr="006825A4">
        <w:rPr>
          <w:rFonts w:eastAsia="Times New Roman" w:cs="Times New Roman"/>
          <w:color w:val="000000"/>
          <w:szCs w:val="24"/>
        </w:rPr>
        <w:t>did not reveal a main effect of stimulation (</w:t>
      </w:r>
      <w:proofErr w:type="gramStart"/>
      <w:r w:rsidRPr="006825A4">
        <w:rPr>
          <w:rFonts w:eastAsia="Times New Roman" w:cs="Times New Roman"/>
          <w:i/>
          <w:color w:val="000000"/>
          <w:szCs w:val="24"/>
        </w:rPr>
        <w:t>F</w:t>
      </w:r>
      <w:r w:rsidRPr="006825A4">
        <w:rPr>
          <w:rFonts w:eastAsia="Times New Roman" w:cs="Times New Roman"/>
          <w:color w:val="000000"/>
          <w:szCs w:val="24"/>
        </w:rPr>
        <w:t>(</w:t>
      </w:r>
      <w:proofErr w:type="gramEnd"/>
      <w:r w:rsidRPr="006825A4">
        <w:rPr>
          <w:rFonts w:eastAsia="Times New Roman" w:cs="Times New Roman"/>
          <w:color w:val="000000"/>
          <w:szCs w:val="24"/>
        </w:rPr>
        <w:t xml:space="preserve">1,35) = 0.92, </w:t>
      </w:r>
      <w:r w:rsidRPr="006825A4">
        <w:rPr>
          <w:rFonts w:eastAsia="Times New Roman" w:cs="Times New Roman"/>
          <w:i/>
          <w:color w:val="000000"/>
          <w:szCs w:val="24"/>
        </w:rPr>
        <w:t>p</w:t>
      </w:r>
      <w:r w:rsidRPr="006825A4">
        <w:rPr>
          <w:rFonts w:eastAsia="Times New Roman" w:cs="Times New Roman"/>
          <w:color w:val="000000"/>
          <w:szCs w:val="24"/>
        </w:rPr>
        <w:t xml:space="preserve"> = 0.527) nor an interaction of affect by stimulation (</w:t>
      </w:r>
      <w:r w:rsidRPr="006825A4">
        <w:rPr>
          <w:rFonts w:eastAsia="Times New Roman" w:cs="Times New Roman"/>
          <w:i/>
          <w:color w:val="000000"/>
          <w:szCs w:val="24"/>
        </w:rPr>
        <w:t>F</w:t>
      </w:r>
      <w:r w:rsidRPr="006825A4">
        <w:rPr>
          <w:rFonts w:eastAsia="Times New Roman" w:cs="Times New Roman"/>
          <w:color w:val="000000"/>
          <w:szCs w:val="24"/>
        </w:rPr>
        <w:t xml:space="preserve">(1,35) = 0.47, </w:t>
      </w:r>
      <w:r w:rsidRPr="006825A4">
        <w:rPr>
          <w:rFonts w:eastAsia="Times New Roman" w:cs="Times New Roman"/>
          <w:i/>
          <w:color w:val="000000"/>
          <w:szCs w:val="24"/>
        </w:rPr>
        <w:t>p</w:t>
      </w:r>
      <w:r w:rsidRPr="006825A4">
        <w:rPr>
          <w:rFonts w:eastAsia="Times New Roman" w:cs="Times New Roman"/>
          <w:color w:val="000000"/>
          <w:szCs w:val="24"/>
        </w:rPr>
        <w:t xml:space="preserve"> = 0.498). </w:t>
      </w:r>
    </w:p>
    <w:p w14:paraId="55A5173E" w14:textId="77777777" w:rsidR="007238C3" w:rsidRPr="006825A4" w:rsidRDefault="007238C3" w:rsidP="007238C3">
      <w:pPr>
        <w:pStyle w:val="berschrift2"/>
      </w:pPr>
      <w:r w:rsidRPr="006825A4">
        <w:lastRenderedPageBreak/>
        <w:t>2.3. Supplementary analyses on decision-making</w:t>
      </w:r>
    </w:p>
    <w:p w14:paraId="39798A74" w14:textId="77777777" w:rsidR="007238C3" w:rsidRPr="006825A4" w:rsidRDefault="007238C3" w:rsidP="007238C3">
      <w:pPr>
        <w:pStyle w:val="berschrift2"/>
      </w:pPr>
      <w:r w:rsidRPr="006825A4">
        <w:t>2.3.1. Reaction times</w:t>
      </w:r>
    </w:p>
    <w:p w14:paraId="06C15152" w14:textId="77777777" w:rsidR="007238C3" w:rsidRPr="006825A4" w:rsidRDefault="007238C3" w:rsidP="007238C3">
      <w:pPr>
        <w:spacing w:before="240" w:after="240"/>
        <w:ind w:firstLine="720"/>
        <w:jc w:val="both"/>
        <w:rPr>
          <w:rFonts w:cs="Times New Roman"/>
          <w:color w:val="000000"/>
        </w:rPr>
      </w:pPr>
      <w:r w:rsidRPr="006825A4">
        <w:rPr>
          <w:rFonts w:eastAsia="Times New Roman" w:cs="Times New Roman"/>
          <w:color w:val="000000"/>
          <w:szCs w:val="24"/>
        </w:rPr>
        <w:t>A linear regression revealed a slight but significant influence of stimulation on reaction times (</w:t>
      </w:r>
      <w:proofErr w:type="gramStart"/>
      <w:r w:rsidRPr="006825A4">
        <w:rPr>
          <w:rFonts w:eastAsia="Times New Roman" w:cs="Times New Roman"/>
          <w:i/>
          <w:color w:val="000000"/>
          <w:szCs w:val="24"/>
        </w:rPr>
        <w:t>F</w:t>
      </w:r>
      <w:r w:rsidRPr="006825A4">
        <w:rPr>
          <w:rFonts w:cs="Times New Roman"/>
          <w:color w:val="000000"/>
        </w:rPr>
        <w:t>(</w:t>
      </w:r>
      <w:proofErr w:type="gramEnd"/>
      <w:r w:rsidRPr="006825A4">
        <w:rPr>
          <w:rFonts w:cs="Times New Roman"/>
          <w:color w:val="000000"/>
        </w:rPr>
        <w:t xml:space="preserve">1, 23038) = 16.616, </w:t>
      </w:r>
      <w:r w:rsidRPr="006825A4">
        <w:rPr>
          <w:rFonts w:cs="Times New Roman"/>
          <w:i/>
          <w:iCs/>
          <w:color w:val="000000"/>
        </w:rPr>
        <w:t>p</w:t>
      </w:r>
      <w:r w:rsidRPr="006825A4">
        <w:rPr>
          <w:rFonts w:cs="Times New Roman"/>
          <w:color w:val="000000"/>
        </w:rPr>
        <w:t xml:space="preserve"> &lt; 0.001). After excitatory tDCS (</w:t>
      </w:r>
      <w:r w:rsidRPr="006825A4">
        <w:rPr>
          <w:rFonts w:cs="Times New Roman"/>
          <w:i/>
          <w:color w:val="000000"/>
        </w:rPr>
        <w:t>M</w:t>
      </w:r>
      <w:r w:rsidRPr="006825A4">
        <w:rPr>
          <w:rFonts w:cs="Times New Roman"/>
          <w:color w:val="000000"/>
        </w:rPr>
        <w:t xml:space="preserve"> = 1.27 sec)</w:t>
      </w:r>
      <w:r>
        <w:rPr>
          <w:rFonts w:cs="Times New Roman"/>
          <w:color w:val="000000"/>
        </w:rPr>
        <w:t>,</w:t>
      </w:r>
      <w:r w:rsidRPr="006825A4">
        <w:rPr>
          <w:rFonts w:cs="Times New Roman"/>
          <w:color w:val="000000"/>
        </w:rPr>
        <w:t xml:space="preserve"> reaction times were prolonged compared to inhibitory stimulation (</w:t>
      </w:r>
      <w:r w:rsidRPr="006825A4">
        <w:rPr>
          <w:rFonts w:cs="Times New Roman"/>
          <w:i/>
          <w:color w:val="000000"/>
        </w:rPr>
        <w:t>M</w:t>
      </w:r>
      <w:r w:rsidRPr="006825A4">
        <w:rPr>
          <w:rFonts w:cs="Times New Roman"/>
          <w:color w:val="000000"/>
        </w:rPr>
        <w:t xml:space="preserve"> = 1.20 sec)</w:t>
      </w:r>
      <w:r>
        <w:rPr>
          <w:rFonts w:cs="Times New Roman"/>
          <w:color w:val="000000"/>
        </w:rPr>
        <w:t>,</w:t>
      </w:r>
      <w:r w:rsidRPr="006825A4">
        <w:rPr>
          <w:rFonts w:cs="Times New Roman"/>
          <w:color w:val="000000"/>
        </w:rPr>
        <w:t xml:space="preserve"> which was particularly pronounced in the early and middle phase of the gambling paradigm (see Fig. SM1</w:t>
      </w:r>
      <w:r w:rsidRPr="006825A4">
        <w:rPr>
          <w:rFonts w:cs="Times New Roman"/>
          <w:color w:val="000000"/>
          <w:sz w:val="26"/>
        </w:rPr>
        <w:t>)</w:t>
      </w:r>
      <w:r w:rsidRPr="006825A4">
        <w:rPr>
          <w:rFonts w:cs="Times New Roman"/>
          <w:color w:val="000000"/>
        </w:rPr>
        <w:t xml:space="preserve">. </w:t>
      </w:r>
    </w:p>
    <w:p w14:paraId="41596DB6" w14:textId="77777777" w:rsidR="007238C3" w:rsidRPr="006825A4" w:rsidRDefault="007238C3" w:rsidP="007238C3">
      <w:pPr>
        <w:spacing w:before="240" w:after="240"/>
        <w:ind w:firstLine="720"/>
        <w:jc w:val="both"/>
        <w:rPr>
          <w:rFonts w:cs="Times New Roman"/>
          <w:color w:val="000000"/>
        </w:rPr>
      </w:pPr>
    </w:p>
    <w:p w14:paraId="1ED2BE6E" w14:textId="77777777" w:rsidR="007238C3" w:rsidRPr="006825A4" w:rsidRDefault="007238C3" w:rsidP="007238C3">
      <w:pPr>
        <w:spacing w:after="0" w:line="240" w:lineRule="auto"/>
        <w:jc w:val="both"/>
        <w:rPr>
          <w:rFonts w:cs="Times New Roman"/>
          <w:color w:val="000000"/>
        </w:rPr>
      </w:pPr>
      <w:r w:rsidRPr="006825A4">
        <w:rPr>
          <w:noProof/>
        </w:rPr>
        <w:drawing>
          <wp:inline distT="0" distB="0" distL="0" distR="0" wp14:anchorId="15E0373D" wp14:editId="55B3D841">
            <wp:extent cx="5972810" cy="316293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2810" cy="3162935"/>
                    </a:xfrm>
                    <a:prstGeom prst="rect">
                      <a:avLst/>
                    </a:prstGeom>
                    <a:noFill/>
                    <a:ln>
                      <a:noFill/>
                    </a:ln>
                  </pic:spPr>
                </pic:pic>
              </a:graphicData>
            </a:graphic>
          </wp:inline>
        </w:drawing>
      </w:r>
      <w:r w:rsidRPr="006825A4">
        <w:rPr>
          <w:i/>
          <w:iCs/>
          <w:color w:val="000000"/>
          <w:sz w:val="20"/>
          <w:szCs w:val="20"/>
        </w:rPr>
        <w:t>Figure SM1.</w:t>
      </w:r>
      <w:r w:rsidRPr="006825A4">
        <w:rPr>
          <w:iCs/>
          <w:color w:val="000000"/>
          <w:sz w:val="20"/>
          <w:szCs w:val="20"/>
        </w:rPr>
        <w:t xml:space="preserve"> Reaction times (decision to ‘keep’ or ‘gamble’) in dependency of trial number and stimulation condition. Following excitatory stimulation</w:t>
      </w:r>
      <w:r>
        <w:rPr>
          <w:iCs/>
          <w:color w:val="000000"/>
          <w:sz w:val="20"/>
          <w:szCs w:val="20"/>
        </w:rPr>
        <w:t>,</w:t>
      </w:r>
      <w:r w:rsidRPr="006825A4">
        <w:rPr>
          <w:iCs/>
          <w:color w:val="000000"/>
          <w:sz w:val="20"/>
          <w:szCs w:val="20"/>
        </w:rPr>
        <w:t xml:space="preserve"> reaction times were slightly prolonged compared to inhibitory stimulation. This effect particularly occurred in the early and middle phases of the gambling paradigm and might</w:t>
      </w:r>
      <w:r>
        <w:rPr>
          <w:iCs/>
          <w:color w:val="000000"/>
          <w:sz w:val="20"/>
          <w:szCs w:val="20"/>
        </w:rPr>
        <w:t>,</w:t>
      </w:r>
      <w:r w:rsidRPr="006825A4">
        <w:rPr>
          <w:iCs/>
          <w:color w:val="000000"/>
          <w:sz w:val="20"/>
          <w:szCs w:val="20"/>
        </w:rPr>
        <w:t xml:space="preserve"> thus</w:t>
      </w:r>
      <w:r>
        <w:rPr>
          <w:iCs/>
          <w:color w:val="000000"/>
          <w:sz w:val="20"/>
          <w:szCs w:val="20"/>
        </w:rPr>
        <w:t>,</w:t>
      </w:r>
      <w:r w:rsidRPr="006825A4">
        <w:rPr>
          <w:iCs/>
          <w:color w:val="000000"/>
          <w:sz w:val="20"/>
          <w:szCs w:val="20"/>
        </w:rPr>
        <w:t xml:space="preserve"> reflect less impulsive decision-making after vmPFC</w:t>
      </w:r>
      <w:r>
        <w:rPr>
          <w:iCs/>
          <w:color w:val="000000"/>
          <w:sz w:val="20"/>
          <w:szCs w:val="20"/>
        </w:rPr>
        <w:t xml:space="preserve"> </w:t>
      </w:r>
      <w:r w:rsidRPr="006825A4">
        <w:rPr>
          <w:iCs/>
          <w:color w:val="000000"/>
          <w:sz w:val="20"/>
          <w:szCs w:val="20"/>
        </w:rPr>
        <w:t>excitation or more impulsive decisions after inhibitory stimulation.</w:t>
      </w:r>
    </w:p>
    <w:p w14:paraId="57D3C22F" w14:textId="67815CCA" w:rsidR="002570A7" w:rsidRPr="000F35AB" w:rsidRDefault="002570A7" w:rsidP="000F35AB">
      <w:pPr>
        <w:spacing w:after="0" w:line="240" w:lineRule="auto"/>
        <w:jc w:val="both"/>
        <w:rPr>
          <w:rFonts w:cs="Times New Roman"/>
          <w:color w:val="000000"/>
        </w:rPr>
      </w:pPr>
    </w:p>
    <w:p w14:paraId="7E95BE6F" w14:textId="77777777" w:rsidR="002B2EC2" w:rsidRDefault="002B2EC2" w:rsidP="002B2EC2">
      <w:pPr>
        <w:spacing w:before="240" w:after="240"/>
        <w:ind w:firstLine="720"/>
        <w:jc w:val="both"/>
        <w:rPr>
          <w:rFonts w:eastAsia="Times New Roman" w:cs="Times New Roman"/>
          <w:color w:val="000000"/>
          <w:szCs w:val="24"/>
        </w:rPr>
      </w:pPr>
    </w:p>
    <w:p w14:paraId="5CCCD938" w14:textId="169F859E" w:rsidR="000F35AB" w:rsidRDefault="002B2EC2" w:rsidP="001E12C8">
      <w:pPr>
        <w:spacing w:before="240" w:after="240"/>
        <w:ind w:firstLine="720"/>
        <w:jc w:val="both"/>
        <w:rPr>
          <w:rFonts w:eastAsia="Times New Roman" w:cs="Times New Roman"/>
          <w:color w:val="000000"/>
          <w:szCs w:val="24"/>
        </w:rPr>
      </w:pPr>
      <w:r>
        <w:rPr>
          <w:rFonts w:eastAsia="Times New Roman" w:cs="Times New Roman"/>
          <w:color w:val="000000"/>
          <w:szCs w:val="24"/>
        </w:rPr>
        <w:t xml:space="preserve">In conjunction with the </w:t>
      </w:r>
      <w:r w:rsidR="00D5658F">
        <w:rPr>
          <w:rFonts w:eastAsia="Times New Roman" w:cs="Times New Roman"/>
          <w:color w:val="000000"/>
          <w:szCs w:val="24"/>
        </w:rPr>
        <w:t xml:space="preserve">behavioral and </w:t>
      </w:r>
      <w:r>
        <w:rPr>
          <w:rFonts w:eastAsia="Times New Roman" w:cs="Times New Roman"/>
          <w:color w:val="000000"/>
          <w:szCs w:val="24"/>
        </w:rPr>
        <w:t>neural results</w:t>
      </w:r>
      <w:r w:rsidR="00D5658F">
        <w:rPr>
          <w:rFonts w:eastAsia="Times New Roman" w:cs="Times New Roman"/>
          <w:color w:val="000000"/>
          <w:szCs w:val="24"/>
        </w:rPr>
        <w:t xml:space="preserve"> reported in the main text</w:t>
      </w:r>
      <w:r>
        <w:rPr>
          <w:rFonts w:eastAsia="Times New Roman" w:cs="Times New Roman"/>
          <w:color w:val="000000"/>
          <w:szCs w:val="24"/>
        </w:rPr>
        <w:t xml:space="preserve"> this could be </w:t>
      </w:r>
      <w:r w:rsidR="00D5658F">
        <w:rPr>
          <w:rFonts w:eastAsia="Times New Roman" w:cs="Times New Roman"/>
          <w:color w:val="000000"/>
          <w:szCs w:val="24"/>
        </w:rPr>
        <w:t>interpreted as further</w:t>
      </w:r>
      <w:r>
        <w:rPr>
          <w:rFonts w:eastAsia="Times New Roman" w:cs="Times New Roman"/>
          <w:color w:val="000000"/>
          <w:szCs w:val="24"/>
        </w:rPr>
        <w:t xml:space="preserve"> sign for less impulsive decision-making after vmPFC-excitation</w:t>
      </w:r>
      <w:r w:rsidR="00D5658F">
        <w:rPr>
          <w:rFonts w:eastAsia="Times New Roman" w:cs="Times New Roman"/>
          <w:color w:val="000000"/>
          <w:szCs w:val="24"/>
        </w:rPr>
        <w:t xml:space="preserve"> </w:t>
      </w:r>
      <w:r w:rsidR="00D5658F" w:rsidRPr="00D5658F">
        <w:rPr>
          <w:rFonts w:eastAsia="Times New Roman" w:cs="Times New Roman"/>
          <w:color w:val="000000"/>
          <w:szCs w:val="24"/>
        </w:rPr>
        <w:t>or more impulsive decisions after inhibitory stimulation</w:t>
      </w:r>
      <w:r>
        <w:rPr>
          <w:rFonts w:eastAsia="Times New Roman" w:cs="Times New Roman"/>
          <w:color w:val="000000"/>
          <w:szCs w:val="24"/>
        </w:rPr>
        <w:t>.</w:t>
      </w:r>
      <w:r w:rsidRPr="00CB675D">
        <w:rPr>
          <w:rFonts w:eastAsia="Times New Roman" w:cs="Times New Roman"/>
          <w:color w:val="000000"/>
          <w:szCs w:val="24"/>
        </w:rPr>
        <w:t xml:space="preserve"> </w:t>
      </w:r>
      <w:r>
        <w:rPr>
          <w:rFonts w:eastAsia="Times New Roman" w:cs="Times New Roman"/>
          <w:color w:val="000000"/>
          <w:szCs w:val="24"/>
        </w:rPr>
        <w:t xml:space="preserve">This is </w:t>
      </w:r>
      <w:r w:rsidR="00D5658F">
        <w:rPr>
          <w:rFonts w:eastAsia="Times New Roman" w:cs="Times New Roman"/>
          <w:color w:val="000000"/>
          <w:szCs w:val="24"/>
        </w:rPr>
        <w:t xml:space="preserve">also </w:t>
      </w:r>
      <w:r>
        <w:rPr>
          <w:rFonts w:eastAsia="Times New Roman" w:cs="Times New Roman"/>
          <w:color w:val="000000"/>
          <w:szCs w:val="24"/>
        </w:rPr>
        <w:t xml:space="preserve">in line with the time course of the neural results, since clusters that implied greater impulsivity occurred </w:t>
      </w:r>
      <w:r w:rsidR="007D04BE">
        <w:rPr>
          <w:rFonts w:eastAsia="Times New Roman" w:cs="Times New Roman"/>
          <w:color w:val="000000"/>
          <w:szCs w:val="24"/>
        </w:rPr>
        <w:t xml:space="preserve">at </w:t>
      </w:r>
      <w:r>
        <w:rPr>
          <w:rFonts w:eastAsia="Times New Roman" w:cs="Times New Roman"/>
          <w:color w:val="000000"/>
          <w:szCs w:val="24"/>
        </w:rPr>
        <w:t xml:space="preserve">rather early </w:t>
      </w:r>
      <w:r w:rsidR="007D04BE">
        <w:rPr>
          <w:rFonts w:eastAsia="Times New Roman" w:cs="Times New Roman"/>
          <w:color w:val="000000"/>
          <w:szCs w:val="24"/>
        </w:rPr>
        <w:t xml:space="preserve">latencies </w:t>
      </w:r>
      <w:r>
        <w:rPr>
          <w:rFonts w:eastAsia="Times New Roman" w:cs="Times New Roman"/>
          <w:color w:val="000000"/>
          <w:szCs w:val="24"/>
        </w:rPr>
        <w:t>(</w:t>
      </w:r>
      <w:r w:rsidR="00DE609C">
        <w:rPr>
          <w:rFonts w:eastAsia="Times New Roman" w:cs="Times New Roman"/>
          <w:color w:val="000000"/>
          <w:szCs w:val="24"/>
        </w:rPr>
        <w:t>Fig.</w:t>
      </w:r>
      <w:r>
        <w:rPr>
          <w:rFonts w:eastAsia="Times New Roman" w:cs="Times New Roman"/>
          <w:color w:val="000000"/>
          <w:szCs w:val="24"/>
        </w:rPr>
        <w:t xml:space="preserve"> SM</w:t>
      </w:r>
      <w:r w:rsidR="00E63E04">
        <w:rPr>
          <w:rFonts w:eastAsia="Times New Roman" w:cs="Times New Roman"/>
          <w:color w:val="000000"/>
          <w:szCs w:val="24"/>
        </w:rPr>
        <w:t>4</w:t>
      </w:r>
      <w:r>
        <w:rPr>
          <w:rFonts w:eastAsia="Times New Roman" w:cs="Times New Roman"/>
          <w:color w:val="000000"/>
          <w:szCs w:val="24"/>
        </w:rPr>
        <w:t>A and SM</w:t>
      </w:r>
      <w:r w:rsidR="00E63E04">
        <w:rPr>
          <w:rFonts w:eastAsia="Times New Roman" w:cs="Times New Roman"/>
          <w:color w:val="000000"/>
          <w:szCs w:val="24"/>
        </w:rPr>
        <w:t>5</w:t>
      </w:r>
      <w:r>
        <w:rPr>
          <w:rFonts w:eastAsia="Times New Roman" w:cs="Times New Roman"/>
          <w:color w:val="000000"/>
          <w:szCs w:val="24"/>
        </w:rPr>
        <w:t xml:space="preserve">), while effects that were related to increased rationality emerged </w:t>
      </w:r>
      <w:r w:rsidR="007D04BE">
        <w:rPr>
          <w:rFonts w:eastAsia="Times New Roman" w:cs="Times New Roman"/>
          <w:color w:val="000000"/>
          <w:szCs w:val="24"/>
        </w:rPr>
        <w:t>with</w:t>
      </w:r>
      <w:r>
        <w:rPr>
          <w:rFonts w:eastAsia="Times New Roman" w:cs="Times New Roman"/>
          <w:color w:val="000000"/>
          <w:szCs w:val="24"/>
        </w:rPr>
        <w:t xml:space="preserve"> </w:t>
      </w:r>
      <w:r w:rsidRPr="00C90A3E">
        <w:rPr>
          <w:rFonts w:eastAsia="Times New Roman" w:cs="Times New Roman"/>
          <w:color w:val="000000"/>
          <w:szCs w:val="24"/>
        </w:rPr>
        <w:t>late</w:t>
      </w:r>
      <w:r w:rsidR="007D04BE">
        <w:rPr>
          <w:rFonts w:eastAsia="Times New Roman" w:cs="Times New Roman"/>
          <w:color w:val="000000"/>
          <w:szCs w:val="24"/>
        </w:rPr>
        <w:t>r onset</w:t>
      </w:r>
      <w:r w:rsidRPr="00C90A3E">
        <w:rPr>
          <w:rFonts w:eastAsia="Times New Roman" w:cs="Times New Roman"/>
          <w:color w:val="000000"/>
          <w:szCs w:val="24"/>
        </w:rPr>
        <w:t xml:space="preserve"> (</w:t>
      </w:r>
      <w:r w:rsidR="00DE609C">
        <w:rPr>
          <w:rFonts w:eastAsia="Times New Roman" w:cs="Times New Roman"/>
          <w:color w:val="000000"/>
          <w:szCs w:val="24"/>
        </w:rPr>
        <w:t xml:space="preserve">Fig. 1C and </w:t>
      </w:r>
      <w:r w:rsidR="00FB7BE5">
        <w:rPr>
          <w:rFonts w:eastAsia="Times New Roman" w:cs="Times New Roman"/>
          <w:color w:val="000000"/>
          <w:szCs w:val="24"/>
        </w:rPr>
        <w:t>2</w:t>
      </w:r>
      <w:r w:rsidR="00DE609C">
        <w:rPr>
          <w:rFonts w:eastAsia="Times New Roman" w:cs="Times New Roman"/>
          <w:color w:val="000000"/>
          <w:szCs w:val="24"/>
        </w:rPr>
        <w:t>C</w:t>
      </w:r>
      <w:r>
        <w:rPr>
          <w:rFonts w:eastAsia="Times New Roman" w:cs="Times New Roman"/>
          <w:color w:val="000000"/>
          <w:szCs w:val="24"/>
        </w:rPr>
        <w:t xml:space="preserve"> in the main text</w:t>
      </w:r>
      <w:r w:rsidRPr="00C90A3E">
        <w:rPr>
          <w:rFonts w:eastAsia="Times New Roman" w:cs="Times New Roman"/>
          <w:color w:val="000000"/>
          <w:szCs w:val="24"/>
        </w:rPr>
        <w:t xml:space="preserve"> and </w:t>
      </w:r>
      <w:r w:rsidR="00DE609C">
        <w:rPr>
          <w:rFonts w:eastAsia="Times New Roman" w:cs="Times New Roman"/>
          <w:color w:val="000000"/>
          <w:szCs w:val="24"/>
        </w:rPr>
        <w:t>Fig.</w:t>
      </w:r>
      <w:r w:rsidRPr="00C90A3E">
        <w:rPr>
          <w:rFonts w:eastAsia="Times New Roman" w:cs="Times New Roman"/>
          <w:color w:val="000000"/>
          <w:szCs w:val="24"/>
        </w:rPr>
        <w:t xml:space="preserve"> SM</w:t>
      </w:r>
      <w:r w:rsidR="00E63E04">
        <w:rPr>
          <w:rFonts w:eastAsia="Times New Roman" w:cs="Times New Roman"/>
          <w:color w:val="000000"/>
          <w:szCs w:val="24"/>
        </w:rPr>
        <w:t>5</w:t>
      </w:r>
      <w:r>
        <w:rPr>
          <w:rFonts w:eastAsia="Times New Roman" w:cs="Times New Roman"/>
          <w:color w:val="000000"/>
          <w:szCs w:val="24"/>
        </w:rPr>
        <w:t>B</w:t>
      </w:r>
      <w:r w:rsidRPr="00133846">
        <w:rPr>
          <w:rFonts w:eastAsia="Times New Roman" w:cs="Times New Roman"/>
          <w:color w:val="000000"/>
          <w:szCs w:val="24"/>
        </w:rPr>
        <w:t>)</w:t>
      </w:r>
      <w:r>
        <w:rPr>
          <w:rFonts w:eastAsia="Times New Roman" w:cs="Times New Roman"/>
          <w:color w:val="000000"/>
          <w:szCs w:val="24"/>
        </w:rPr>
        <w:t xml:space="preserve">. </w:t>
      </w:r>
      <w:r w:rsidR="00D5658F">
        <w:rPr>
          <w:rFonts w:eastAsia="Times New Roman" w:cs="Times New Roman"/>
          <w:color w:val="000000"/>
          <w:szCs w:val="24"/>
        </w:rPr>
        <w:t>The fact that</w:t>
      </w:r>
      <w:r w:rsidRPr="0075254D">
        <w:rPr>
          <w:rFonts w:eastAsia="Times New Roman" w:cs="Times New Roman"/>
          <w:color w:val="000000"/>
          <w:szCs w:val="24"/>
        </w:rPr>
        <w:t xml:space="preserve"> effect</w:t>
      </w:r>
      <w:r w:rsidR="00D5658F">
        <w:rPr>
          <w:rFonts w:eastAsia="Times New Roman" w:cs="Times New Roman"/>
          <w:color w:val="000000"/>
          <w:szCs w:val="24"/>
        </w:rPr>
        <w:t>s</w:t>
      </w:r>
      <w:r w:rsidRPr="0075254D">
        <w:rPr>
          <w:rFonts w:eastAsia="Times New Roman" w:cs="Times New Roman"/>
          <w:color w:val="000000"/>
          <w:szCs w:val="24"/>
        </w:rPr>
        <w:t xml:space="preserve"> </w:t>
      </w:r>
      <w:r w:rsidR="007D04BE">
        <w:rPr>
          <w:rFonts w:eastAsia="Times New Roman" w:cs="Times New Roman"/>
          <w:color w:val="000000"/>
          <w:szCs w:val="24"/>
        </w:rPr>
        <w:t xml:space="preserve">of stimulation on reaction times </w:t>
      </w:r>
      <w:r w:rsidR="00D5658F">
        <w:rPr>
          <w:rFonts w:eastAsia="Times New Roman" w:cs="Times New Roman"/>
          <w:color w:val="000000"/>
          <w:szCs w:val="24"/>
        </w:rPr>
        <w:t>were</w:t>
      </w:r>
      <w:r w:rsidR="00D5658F" w:rsidRPr="0075254D">
        <w:rPr>
          <w:rFonts w:eastAsia="Times New Roman" w:cs="Times New Roman"/>
          <w:color w:val="000000"/>
          <w:szCs w:val="24"/>
        </w:rPr>
        <w:t xml:space="preserve"> </w:t>
      </w:r>
      <w:r w:rsidRPr="0075254D">
        <w:rPr>
          <w:rFonts w:eastAsia="Times New Roman" w:cs="Times New Roman"/>
          <w:color w:val="000000"/>
          <w:szCs w:val="24"/>
        </w:rPr>
        <w:t>more pronounced in early and middle stages of the gambling paradigm</w:t>
      </w:r>
      <w:r w:rsidR="00D5658F">
        <w:rPr>
          <w:rFonts w:eastAsia="Times New Roman" w:cs="Times New Roman"/>
          <w:color w:val="000000"/>
          <w:szCs w:val="24"/>
        </w:rPr>
        <w:t xml:space="preserve"> could reflect an expected </w:t>
      </w:r>
      <w:r w:rsidR="00D5658F" w:rsidRPr="00D5658F">
        <w:rPr>
          <w:rFonts w:eastAsia="Times New Roman" w:cs="Times New Roman"/>
          <w:color w:val="000000"/>
          <w:szCs w:val="24"/>
        </w:rPr>
        <w:t>logarithmic reduction</w:t>
      </w:r>
      <w:r w:rsidR="00D5658F">
        <w:rPr>
          <w:rFonts w:eastAsia="Times New Roman" w:cs="Times New Roman"/>
          <w:color w:val="000000"/>
          <w:szCs w:val="24"/>
        </w:rPr>
        <w:t xml:space="preserve"> of the impact of the 10 minutes of </w:t>
      </w:r>
      <w:r w:rsidR="007D04BE">
        <w:rPr>
          <w:rFonts w:eastAsia="Times New Roman" w:cs="Times New Roman"/>
          <w:color w:val="000000"/>
          <w:szCs w:val="24"/>
        </w:rPr>
        <w:t xml:space="preserve">tDCS </w:t>
      </w:r>
      <w:r w:rsidR="00D5658F">
        <w:rPr>
          <w:rFonts w:eastAsia="Times New Roman" w:cs="Times New Roman"/>
          <w:color w:val="000000"/>
          <w:szCs w:val="24"/>
        </w:rPr>
        <w:t xml:space="preserve">stimulation across the subsequent 25 minutes of gambling. It </w:t>
      </w:r>
      <w:r>
        <w:rPr>
          <w:rFonts w:eastAsia="Times New Roman" w:cs="Times New Roman"/>
          <w:color w:val="000000"/>
          <w:szCs w:val="24"/>
        </w:rPr>
        <w:t>might</w:t>
      </w:r>
      <w:r w:rsidRPr="0075254D">
        <w:rPr>
          <w:rFonts w:eastAsia="Times New Roman" w:cs="Times New Roman"/>
          <w:color w:val="000000"/>
          <w:szCs w:val="24"/>
        </w:rPr>
        <w:t xml:space="preserve"> </w:t>
      </w:r>
      <w:r w:rsidR="00D5658F">
        <w:rPr>
          <w:rFonts w:eastAsia="Times New Roman" w:cs="Times New Roman"/>
          <w:color w:val="000000"/>
          <w:szCs w:val="24"/>
        </w:rPr>
        <w:t xml:space="preserve">however also </w:t>
      </w:r>
      <w:r w:rsidRPr="0075254D">
        <w:rPr>
          <w:rFonts w:eastAsia="Times New Roman" w:cs="Times New Roman"/>
          <w:color w:val="000000"/>
          <w:szCs w:val="24"/>
        </w:rPr>
        <w:t xml:space="preserve">suggest a formation of more elaborate strategies </w:t>
      </w:r>
      <w:r w:rsidR="00D5658F">
        <w:rPr>
          <w:rFonts w:eastAsia="Times New Roman" w:cs="Times New Roman"/>
          <w:color w:val="000000"/>
          <w:szCs w:val="24"/>
        </w:rPr>
        <w:t>after</w:t>
      </w:r>
      <w:r w:rsidRPr="0075254D">
        <w:rPr>
          <w:rFonts w:eastAsia="Times New Roman" w:cs="Times New Roman"/>
          <w:color w:val="000000"/>
          <w:szCs w:val="24"/>
        </w:rPr>
        <w:t xml:space="preserve"> excitatory </w:t>
      </w:r>
      <w:r w:rsidR="00D5658F">
        <w:rPr>
          <w:rFonts w:eastAsia="Times New Roman" w:cs="Times New Roman"/>
          <w:color w:val="000000"/>
          <w:szCs w:val="24"/>
        </w:rPr>
        <w:t>stimulation</w:t>
      </w:r>
      <w:r w:rsidR="00D5658F" w:rsidRPr="0075254D">
        <w:rPr>
          <w:rFonts w:eastAsia="Times New Roman" w:cs="Times New Roman"/>
          <w:color w:val="000000"/>
          <w:szCs w:val="24"/>
        </w:rPr>
        <w:t xml:space="preserve"> </w:t>
      </w:r>
      <w:r w:rsidRPr="0075254D">
        <w:rPr>
          <w:rFonts w:eastAsia="Times New Roman" w:cs="Times New Roman"/>
          <w:color w:val="000000"/>
          <w:szCs w:val="24"/>
        </w:rPr>
        <w:t>at the beginning</w:t>
      </w:r>
      <w:r w:rsidR="00D5658F">
        <w:rPr>
          <w:rFonts w:eastAsia="Times New Roman" w:cs="Times New Roman"/>
          <w:color w:val="000000"/>
          <w:szCs w:val="24"/>
        </w:rPr>
        <w:t xml:space="preserve"> of the gambling task</w:t>
      </w:r>
      <w:r w:rsidRPr="0075254D">
        <w:rPr>
          <w:rFonts w:eastAsia="Times New Roman" w:cs="Times New Roman"/>
          <w:color w:val="000000"/>
          <w:szCs w:val="24"/>
        </w:rPr>
        <w:t xml:space="preserve">, which </w:t>
      </w:r>
      <w:r w:rsidR="00D5658F">
        <w:rPr>
          <w:rFonts w:eastAsia="Times New Roman" w:cs="Times New Roman"/>
          <w:color w:val="000000"/>
          <w:szCs w:val="24"/>
        </w:rPr>
        <w:t>were</w:t>
      </w:r>
      <w:r w:rsidR="00D5658F" w:rsidRPr="0075254D">
        <w:rPr>
          <w:rFonts w:eastAsia="Times New Roman" w:cs="Times New Roman"/>
          <w:color w:val="000000"/>
          <w:szCs w:val="24"/>
        </w:rPr>
        <w:t xml:space="preserve"> </w:t>
      </w:r>
      <w:r w:rsidRPr="0075254D">
        <w:rPr>
          <w:rFonts w:eastAsia="Times New Roman" w:cs="Times New Roman"/>
          <w:color w:val="000000"/>
          <w:szCs w:val="24"/>
        </w:rPr>
        <w:t>then used for the ongoing paradigm.</w:t>
      </w:r>
    </w:p>
    <w:p w14:paraId="18DE682B" w14:textId="4D35220F" w:rsidR="00E82D23" w:rsidRDefault="00E82D23" w:rsidP="00E82D23">
      <w:pPr>
        <w:pStyle w:val="berschrift2"/>
      </w:pPr>
      <w:r w:rsidRPr="003250A4">
        <w:t>2.</w:t>
      </w:r>
      <w:r>
        <w:t>3</w:t>
      </w:r>
      <w:r w:rsidRPr="003250A4">
        <w:t>.</w:t>
      </w:r>
      <w:r>
        <w:t xml:space="preserve">2. Interaction of </w:t>
      </w:r>
      <w:r w:rsidR="007238C3">
        <w:t>s</w:t>
      </w:r>
      <w:r>
        <w:t xml:space="preserve">timulation and </w:t>
      </w:r>
      <w:r w:rsidR="007238C3">
        <w:t>g</w:t>
      </w:r>
      <w:r w:rsidR="0002468D">
        <w:t xml:space="preserve">ame </w:t>
      </w:r>
      <w:r w:rsidR="007238C3">
        <w:t>s</w:t>
      </w:r>
      <w:r w:rsidR="0002468D">
        <w:t>take</w:t>
      </w:r>
    </w:p>
    <w:p w14:paraId="50F94163" w14:textId="77777777"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To strengthen the participants</w:t>
      </w:r>
      <w:r>
        <w:rPr>
          <w:rFonts w:eastAsia="Times New Roman" w:cs="Times New Roman"/>
          <w:color w:val="000000"/>
          <w:szCs w:val="24"/>
        </w:rPr>
        <w:t>’</w:t>
      </w:r>
      <w:r w:rsidRPr="006825A4">
        <w:rPr>
          <w:rFonts w:eastAsia="Times New Roman" w:cs="Times New Roman"/>
          <w:color w:val="000000"/>
          <w:szCs w:val="24"/>
        </w:rPr>
        <w:t xml:space="preserve"> feeling of being in a real gambling situation and reduce the participants’ probability of calculating the expected values (ecological validity), the game</w:t>
      </w:r>
      <w:r>
        <w:rPr>
          <w:rFonts w:eastAsia="Times New Roman" w:cs="Times New Roman"/>
          <w:color w:val="000000"/>
          <w:szCs w:val="24"/>
        </w:rPr>
        <w:t xml:space="preserve"> </w:t>
      </w:r>
      <w:r w:rsidRPr="006825A4">
        <w:rPr>
          <w:rFonts w:eastAsia="Times New Roman" w:cs="Times New Roman"/>
          <w:color w:val="000000"/>
          <w:szCs w:val="24"/>
        </w:rPr>
        <w:t>stake</w:t>
      </w:r>
      <w:r>
        <w:rPr>
          <w:rFonts w:eastAsia="Times New Roman" w:cs="Times New Roman"/>
          <w:color w:val="000000"/>
          <w:szCs w:val="24"/>
        </w:rPr>
        <w:t>s</w:t>
      </w:r>
      <w:r w:rsidRPr="006825A4">
        <w:rPr>
          <w:rFonts w:eastAsia="Times New Roman" w:cs="Times New Roman"/>
          <w:color w:val="000000"/>
          <w:szCs w:val="24"/>
        </w:rPr>
        <w:t xml:space="preserve"> varied in each trial between 25ct, 50ct, 75ct and 100ct. This variation</w:t>
      </w:r>
      <w:r>
        <w:rPr>
          <w:rFonts w:eastAsia="Times New Roman" w:cs="Times New Roman"/>
          <w:color w:val="000000"/>
          <w:szCs w:val="24"/>
        </w:rPr>
        <w:t>,</w:t>
      </w:r>
      <w:r w:rsidRPr="006825A4">
        <w:rPr>
          <w:rFonts w:eastAsia="Times New Roman" w:cs="Times New Roman"/>
          <w:color w:val="000000"/>
          <w:szCs w:val="24"/>
        </w:rPr>
        <w:t xml:space="preserve"> however</w:t>
      </w:r>
      <w:r>
        <w:rPr>
          <w:rFonts w:eastAsia="Times New Roman" w:cs="Times New Roman"/>
          <w:color w:val="000000"/>
          <w:szCs w:val="24"/>
        </w:rPr>
        <w:t>,</w:t>
      </w:r>
      <w:r w:rsidRPr="006825A4">
        <w:rPr>
          <w:rFonts w:eastAsia="Times New Roman" w:cs="Times New Roman"/>
          <w:color w:val="000000"/>
          <w:szCs w:val="24"/>
        </w:rPr>
        <w:t xml:space="preserve"> also allowed us to investigate how responsibl</w:t>
      </w:r>
      <w:r>
        <w:rPr>
          <w:rFonts w:eastAsia="Times New Roman" w:cs="Times New Roman"/>
          <w:color w:val="000000"/>
          <w:szCs w:val="24"/>
        </w:rPr>
        <w:t>y</w:t>
      </w:r>
      <w:r w:rsidRPr="006825A4">
        <w:rPr>
          <w:rFonts w:eastAsia="Times New Roman" w:cs="Times New Roman"/>
          <w:color w:val="000000"/>
          <w:szCs w:val="24"/>
        </w:rPr>
        <w:t xml:space="preserve"> participants gambled </w:t>
      </w:r>
      <w:r>
        <w:rPr>
          <w:rFonts w:eastAsia="Times New Roman" w:cs="Times New Roman"/>
          <w:color w:val="000000"/>
          <w:szCs w:val="24"/>
        </w:rPr>
        <w:t>depending on</w:t>
      </w:r>
      <w:r w:rsidRPr="006825A4">
        <w:rPr>
          <w:rFonts w:eastAsia="Times New Roman" w:cs="Times New Roman"/>
          <w:color w:val="000000"/>
          <w:szCs w:val="24"/>
        </w:rPr>
        <w:t xml:space="preserve"> stimulation. Therefore, we calculated a logistic regression on the interaction of stimulation (excitatory, inhibitory) by initial amount (25ct, 50ct, 75ct, 100ct), which </w:t>
      </w:r>
      <w:r>
        <w:rPr>
          <w:rFonts w:eastAsia="Times New Roman" w:cs="Times New Roman"/>
          <w:color w:val="000000"/>
          <w:szCs w:val="24"/>
        </w:rPr>
        <w:t>became</w:t>
      </w:r>
      <w:r w:rsidRPr="006825A4">
        <w:rPr>
          <w:rFonts w:eastAsia="Times New Roman" w:cs="Times New Roman"/>
          <w:color w:val="000000"/>
          <w:szCs w:val="24"/>
        </w:rPr>
        <w:t xml:space="preserve"> significant (</w:t>
      </w:r>
      <w:r w:rsidRPr="006825A4">
        <w:rPr>
          <w:rFonts w:eastAsia="Times New Roman" w:cs="Times New Roman"/>
          <w:i/>
          <w:color w:val="000000"/>
          <w:szCs w:val="24"/>
        </w:rPr>
        <w:t>z</w:t>
      </w:r>
      <w:r w:rsidRPr="006825A4">
        <w:rPr>
          <w:rFonts w:eastAsia="Times New Roman" w:cs="Times New Roman"/>
          <w:color w:val="000000"/>
          <w:szCs w:val="24"/>
        </w:rPr>
        <w:t xml:space="preserve"> = 2.55, p = 0.011; see Fig. SM2). With increasing game stakes</w:t>
      </w:r>
      <w:r>
        <w:rPr>
          <w:rFonts w:eastAsia="Times New Roman" w:cs="Times New Roman"/>
          <w:color w:val="000000"/>
          <w:szCs w:val="24"/>
        </w:rPr>
        <w:t>,</w:t>
      </w:r>
      <w:r w:rsidRPr="006825A4">
        <w:rPr>
          <w:rFonts w:eastAsia="Times New Roman" w:cs="Times New Roman"/>
          <w:color w:val="000000"/>
          <w:szCs w:val="24"/>
        </w:rPr>
        <w:t xml:space="preserve"> risk-taking behavior increased after vmPFC</w:t>
      </w:r>
      <w:r>
        <w:rPr>
          <w:rFonts w:eastAsia="Times New Roman" w:cs="Times New Roman"/>
          <w:color w:val="000000"/>
          <w:szCs w:val="24"/>
        </w:rPr>
        <w:t xml:space="preserve"> </w:t>
      </w:r>
      <w:r w:rsidRPr="006825A4">
        <w:rPr>
          <w:rFonts w:eastAsia="Times New Roman" w:cs="Times New Roman"/>
          <w:color w:val="000000"/>
          <w:szCs w:val="24"/>
        </w:rPr>
        <w:t xml:space="preserve">inhibition (post-hoc analysis inhibitory only: </w:t>
      </w:r>
      <w:r w:rsidRPr="006825A4">
        <w:rPr>
          <w:rFonts w:eastAsia="Times New Roman" w:cs="Times New Roman"/>
          <w:i/>
          <w:color w:val="000000"/>
          <w:szCs w:val="24"/>
        </w:rPr>
        <w:t>z</w:t>
      </w:r>
      <w:r w:rsidRPr="006825A4">
        <w:rPr>
          <w:rFonts w:eastAsia="Times New Roman" w:cs="Times New Roman"/>
          <w:color w:val="000000"/>
          <w:szCs w:val="24"/>
        </w:rPr>
        <w:t xml:space="preserve"> = 4.25, </w:t>
      </w:r>
      <w:r w:rsidRPr="006825A4">
        <w:rPr>
          <w:rFonts w:eastAsia="Times New Roman" w:cs="Times New Roman"/>
          <w:i/>
          <w:iCs/>
          <w:color w:val="000000"/>
          <w:szCs w:val="24"/>
        </w:rPr>
        <w:t xml:space="preserve">p </w:t>
      </w:r>
      <w:r w:rsidRPr="006825A4">
        <w:rPr>
          <w:rFonts w:eastAsia="Times New Roman" w:cs="Times New Roman"/>
          <w:color w:val="000000"/>
          <w:szCs w:val="24"/>
        </w:rPr>
        <w:t xml:space="preserve">&lt; 0.001), while risk-taking behavior was not modulated by the initial amount after excitatory stimulation (post-hoc analysis excitatory only: </w:t>
      </w:r>
      <w:r w:rsidRPr="006825A4">
        <w:rPr>
          <w:rFonts w:eastAsia="Times New Roman" w:cs="Times New Roman"/>
          <w:i/>
          <w:color w:val="000000"/>
          <w:szCs w:val="24"/>
        </w:rPr>
        <w:t>z</w:t>
      </w:r>
      <w:r w:rsidRPr="006825A4">
        <w:rPr>
          <w:rFonts w:eastAsia="Times New Roman" w:cs="Times New Roman"/>
          <w:color w:val="000000"/>
          <w:szCs w:val="24"/>
        </w:rPr>
        <w:t xml:space="preserve"> = 0.65, </w:t>
      </w:r>
      <w:r w:rsidRPr="006825A4">
        <w:rPr>
          <w:rFonts w:eastAsia="Times New Roman" w:cs="Times New Roman"/>
          <w:i/>
          <w:color w:val="000000"/>
          <w:szCs w:val="24"/>
        </w:rPr>
        <w:t>p</w:t>
      </w:r>
      <w:r w:rsidRPr="006825A4">
        <w:rPr>
          <w:rFonts w:eastAsia="Times New Roman" w:cs="Times New Roman"/>
          <w:color w:val="000000"/>
          <w:szCs w:val="24"/>
        </w:rPr>
        <w:t xml:space="preserve"> = 0.515). </w:t>
      </w:r>
    </w:p>
    <w:p w14:paraId="054E4E88" w14:textId="77777777" w:rsidR="007238C3" w:rsidRPr="006825A4" w:rsidRDefault="007238C3" w:rsidP="007238C3">
      <w:pPr>
        <w:spacing w:after="0" w:line="240" w:lineRule="auto"/>
        <w:jc w:val="both"/>
        <w:rPr>
          <w:rFonts w:eastAsia="Times New Roman" w:cs="Times New Roman"/>
          <w:color w:val="000000"/>
          <w:szCs w:val="24"/>
        </w:rPr>
      </w:pPr>
      <w:r w:rsidRPr="006825A4">
        <w:rPr>
          <w:noProof/>
        </w:rPr>
        <w:drawing>
          <wp:inline distT="0" distB="0" distL="0" distR="0" wp14:anchorId="5E5AE049" wp14:editId="5F5B3E5D">
            <wp:extent cx="5972810" cy="415861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2810" cy="4158615"/>
                    </a:xfrm>
                    <a:prstGeom prst="rect">
                      <a:avLst/>
                    </a:prstGeom>
                    <a:noFill/>
                    <a:ln>
                      <a:noFill/>
                    </a:ln>
                  </pic:spPr>
                </pic:pic>
              </a:graphicData>
            </a:graphic>
          </wp:inline>
        </w:drawing>
      </w:r>
      <w:r w:rsidRPr="006825A4">
        <w:rPr>
          <w:rFonts w:cs="Times New Roman"/>
          <w:i/>
          <w:iCs/>
          <w:color w:val="000000"/>
          <w:sz w:val="20"/>
          <w:szCs w:val="20"/>
        </w:rPr>
        <w:t>Figure</w:t>
      </w:r>
      <w:r w:rsidRPr="006825A4">
        <w:rPr>
          <w:rFonts w:cs="Times New Roman"/>
          <w:color w:val="000000"/>
          <w:sz w:val="20"/>
          <w:szCs w:val="20"/>
        </w:rPr>
        <w:t xml:space="preserve"> </w:t>
      </w:r>
      <w:r w:rsidRPr="006825A4">
        <w:rPr>
          <w:rFonts w:cs="Times New Roman"/>
          <w:i/>
          <w:color w:val="000000"/>
          <w:sz w:val="20"/>
          <w:szCs w:val="20"/>
        </w:rPr>
        <w:t>SM2</w:t>
      </w:r>
      <w:r w:rsidRPr="006825A4">
        <w:rPr>
          <w:rFonts w:cs="Times New Roman"/>
          <w:color w:val="000000"/>
          <w:sz w:val="20"/>
          <w:szCs w:val="20"/>
        </w:rPr>
        <w:t>.</w:t>
      </w:r>
      <w:r w:rsidRPr="006825A4">
        <w:rPr>
          <w:rFonts w:cs="Times New Roman"/>
          <w:b/>
          <w:color w:val="000000"/>
          <w:sz w:val="20"/>
          <w:szCs w:val="20"/>
        </w:rPr>
        <w:t xml:space="preserve"> A. </w:t>
      </w:r>
      <w:r w:rsidRPr="006825A4">
        <w:rPr>
          <w:rFonts w:cs="Times New Roman"/>
          <w:color w:val="000000"/>
          <w:sz w:val="20"/>
          <w:szCs w:val="20"/>
        </w:rPr>
        <w:t>Toward increased ecological validity, the game</w:t>
      </w:r>
      <w:r>
        <w:rPr>
          <w:rFonts w:cs="Times New Roman"/>
          <w:color w:val="000000"/>
          <w:sz w:val="20"/>
          <w:szCs w:val="20"/>
        </w:rPr>
        <w:t xml:space="preserve"> </w:t>
      </w:r>
      <w:r w:rsidRPr="006825A4">
        <w:rPr>
          <w:rFonts w:cs="Times New Roman"/>
          <w:color w:val="000000"/>
          <w:sz w:val="20"/>
          <w:szCs w:val="20"/>
        </w:rPr>
        <w:t>stake</w:t>
      </w:r>
      <w:r>
        <w:rPr>
          <w:rFonts w:cs="Times New Roman"/>
          <w:color w:val="000000"/>
          <w:sz w:val="20"/>
          <w:szCs w:val="20"/>
        </w:rPr>
        <w:t>s</w:t>
      </w:r>
      <w:r w:rsidRPr="006825A4">
        <w:rPr>
          <w:rFonts w:cs="Times New Roman"/>
          <w:color w:val="000000"/>
          <w:sz w:val="20"/>
          <w:szCs w:val="20"/>
        </w:rPr>
        <w:t xml:space="preserve"> </w:t>
      </w:r>
      <w:r>
        <w:rPr>
          <w:rFonts w:cs="Times New Roman"/>
          <w:color w:val="000000"/>
          <w:sz w:val="20"/>
          <w:szCs w:val="20"/>
        </w:rPr>
        <w:t xml:space="preserve">were </w:t>
      </w:r>
      <w:r w:rsidRPr="006825A4">
        <w:rPr>
          <w:rFonts w:cs="Times New Roman"/>
          <w:color w:val="000000"/>
          <w:sz w:val="20"/>
          <w:szCs w:val="20"/>
        </w:rPr>
        <w:t xml:space="preserve">varied in each trial between 25ct, 50ct, 75ct and 100ct. </w:t>
      </w:r>
      <w:r w:rsidRPr="006825A4">
        <w:rPr>
          <w:b/>
          <w:bCs/>
          <w:color w:val="000000"/>
          <w:sz w:val="20"/>
          <w:szCs w:val="20"/>
        </w:rPr>
        <w:t xml:space="preserve">B. </w:t>
      </w:r>
      <w:r w:rsidRPr="006825A4">
        <w:rPr>
          <w:color w:val="000000"/>
          <w:sz w:val="20"/>
          <w:szCs w:val="20"/>
        </w:rPr>
        <w:t>Proportion of ‘gamble’ choices depending on the initial amount (game</w:t>
      </w:r>
      <w:r>
        <w:rPr>
          <w:color w:val="000000"/>
          <w:sz w:val="20"/>
          <w:szCs w:val="20"/>
        </w:rPr>
        <w:t xml:space="preserve"> </w:t>
      </w:r>
      <w:r w:rsidRPr="006825A4">
        <w:rPr>
          <w:color w:val="000000"/>
          <w:sz w:val="20"/>
          <w:szCs w:val="20"/>
        </w:rPr>
        <w:t>stake</w:t>
      </w:r>
      <w:r>
        <w:rPr>
          <w:color w:val="000000"/>
          <w:sz w:val="20"/>
          <w:szCs w:val="20"/>
        </w:rPr>
        <w:t>s</w:t>
      </w:r>
      <w:r w:rsidRPr="006825A4">
        <w:rPr>
          <w:color w:val="000000"/>
          <w:sz w:val="20"/>
          <w:szCs w:val="20"/>
        </w:rPr>
        <w:t>) and stimulation in percent</w:t>
      </w:r>
      <w:r>
        <w:rPr>
          <w:color w:val="000000"/>
          <w:sz w:val="20"/>
          <w:szCs w:val="20"/>
        </w:rPr>
        <w:t>age.</w:t>
      </w:r>
      <w:r w:rsidRPr="006825A4">
        <w:rPr>
          <w:rFonts w:cs="Times New Roman"/>
          <w:color w:val="000000"/>
          <w:sz w:val="20"/>
          <w:szCs w:val="20"/>
        </w:rPr>
        <w:t xml:space="preserve"> After inhibitory stimulation</w:t>
      </w:r>
      <w:r>
        <w:rPr>
          <w:rFonts w:cs="Times New Roman"/>
          <w:color w:val="000000"/>
          <w:sz w:val="20"/>
          <w:szCs w:val="20"/>
        </w:rPr>
        <w:t>,</w:t>
      </w:r>
      <w:r w:rsidRPr="006825A4">
        <w:rPr>
          <w:rFonts w:cs="Times New Roman"/>
          <w:color w:val="000000"/>
          <w:sz w:val="20"/>
          <w:szCs w:val="20"/>
        </w:rPr>
        <w:t xml:space="preserve"> participants show</w:t>
      </w:r>
      <w:r>
        <w:rPr>
          <w:rFonts w:cs="Times New Roman"/>
          <w:color w:val="000000"/>
          <w:sz w:val="20"/>
          <w:szCs w:val="20"/>
        </w:rPr>
        <w:t>ed</w:t>
      </w:r>
      <w:r w:rsidRPr="006825A4">
        <w:rPr>
          <w:rFonts w:cs="Times New Roman"/>
          <w:color w:val="000000"/>
          <w:sz w:val="20"/>
          <w:szCs w:val="20"/>
        </w:rPr>
        <w:t xml:space="preserve"> an increasing tendency to gamble with increasing game stakes</w:t>
      </w:r>
      <w:r>
        <w:rPr>
          <w:rFonts w:cs="Times New Roman"/>
          <w:color w:val="000000"/>
          <w:sz w:val="20"/>
          <w:szCs w:val="20"/>
        </w:rPr>
        <w:t>,</w:t>
      </w:r>
      <w:r w:rsidRPr="006825A4">
        <w:rPr>
          <w:rFonts w:cs="Times New Roman"/>
          <w:color w:val="000000"/>
          <w:sz w:val="20"/>
          <w:szCs w:val="20"/>
        </w:rPr>
        <w:t xml:space="preserve"> while gambling behavior was not affected by the initial amount after excitatory stimulation. </w:t>
      </w:r>
      <w:r w:rsidRPr="006825A4">
        <w:rPr>
          <w:color w:val="000000"/>
          <w:sz w:val="20"/>
          <w:szCs w:val="20"/>
        </w:rPr>
        <w:t>Boxplots indicate means (black dot</w:t>
      </w:r>
      <w:r>
        <w:rPr>
          <w:color w:val="000000"/>
          <w:sz w:val="20"/>
          <w:szCs w:val="20"/>
        </w:rPr>
        <w:t>s</w:t>
      </w:r>
      <w:r w:rsidRPr="006825A4">
        <w:rPr>
          <w:color w:val="000000"/>
          <w:sz w:val="20"/>
          <w:szCs w:val="20"/>
        </w:rPr>
        <w:t>), medians (grey line</w:t>
      </w:r>
      <w:r>
        <w:rPr>
          <w:color w:val="000000"/>
          <w:sz w:val="20"/>
          <w:szCs w:val="20"/>
        </w:rPr>
        <w:t>s</w:t>
      </w:r>
      <w:r w:rsidRPr="006825A4">
        <w:rPr>
          <w:color w:val="000000"/>
          <w:sz w:val="20"/>
          <w:szCs w:val="20"/>
        </w:rPr>
        <w:t xml:space="preserve">) and lower and upper quartiles. </w:t>
      </w:r>
      <w:r w:rsidRPr="006825A4">
        <w:rPr>
          <w:rFonts w:cs="Times New Roman"/>
          <w:color w:val="000000"/>
          <w:sz w:val="20"/>
          <w:szCs w:val="20"/>
        </w:rPr>
        <w:t xml:space="preserve">Asterisks indicate significance levels: + &lt; 0.1, * &lt; 0.05, ** &lt; 0.01, *** &lt; 0.001. </w:t>
      </w:r>
    </w:p>
    <w:p w14:paraId="28276989" w14:textId="77777777" w:rsidR="007238C3" w:rsidRPr="006825A4" w:rsidRDefault="007238C3" w:rsidP="007238C3">
      <w:pPr>
        <w:spacing w:before="240" w:after="240"/>
        <w:jc w:val="both"/>
        <w:rPr>
          <w:rFonts w:cs="Times New Roman"/>
        </w:rPr>
      </w:pPr>
    </w:p>
    <w:p w14:paraId="0B08741B" w14:textId="77777777" w:rsidR="007238C3" w:rsidRPr="006825A4" w:rsidRDefault="007238C3" w:rsidP="007238C3">
      <w:pPr>
        <w:ind w:firstLine="720"/>
        <w:rPr>
          <w:rFonts w:eastAsia="Times New Roman" w:cs="Times New Roman"/>
          <w:color w:val="000000"/>
          <w:szCs w:val="24"/>
        </w:rPr>
      </w:pPr>
      <w:r w:rsidRPr="006825A4">
        <w:rPr>
          <w:rFonts w:cs="Times New Roman"/>
          <w:color w:val="000000"/>
          <w:szCs w:val="20"/>
        </w:rPr>
        <w:t>This could be interpreted as a further sign that excitatory vmPFC-tDCS might help to restore more normal gambling behavior</w:t>
      </w:r>
      <w:r w:rsidRPr="006825A4">
        <w:t>, since gambling addicts exhibit vmPFC hypoactivation</w:t>
      </w:r>
      <w:r>
        <w:t>,</w:t>
      </w:r>
      <w:r w:rsidRPr="006825A4">
        <w:t xml:space="preserve"> and patients with vmPFC lesions tend to risk greater amounts to equalize previous losses</w:t>
      </w:r>
      <w:r w:rsidRPr="006825A4">
        <w:fldChar w:fldCharType="begin" w:fldLock="1"/>
      </w:r>
      <w:r w:rsidRPr="006825A4">
        <w:instrText>ADDIN CSL_CITATION {"citationItems":[{"id":"ITEM-1","itemData":{"DOI":"10.1002/hbm.21015","ISSN":"10659471","PMID":"21229615","abstract":"Human decision-making involving independent events is often biased and affected by prior outcomes. Using a controlled task that allows us to manipulate prior outcomes, the present study examined the effect of prior outcomes on subsequent decisions in a group of young adults. We found that participants were more risk-seeking after losing a gamble (riskloss) than after winning a gamble (riskwin), a pattern resembling the gambler's fallacy. Functional MRI data revealed that decisions after riskloss were associated with increased activation in the frontoparietal network, but decreased activation in the caudate and ventral striatum. The increased risk-seeking behavior after a loss showed a trend of positive correlation with activation in the frontoparietal network and the left lateral orbitofrontal cortex but a trend of negative correlation with activation in the amgydala and caudate. In addition, there was a trend of positive correlation between feedback-related activation in the left lateral frontal cortex and subsequent increased risk-seeking behavior. These results suggest that a strong cognitive control mechanism but a weak affective decision-making and reinforcement learning mechanism that usually contribute to flexible, goal-directed decisions can lead to decision biases involving random events. This has significant implications for our understanding of the gambler's fallacy and human decision making under risk. Hum Brain Mapp, 2011. © 2010 Wiley-Liss, Inc. Copyright © 2010 Wiley-Liss, Inc.","author":[{"dropping-particle":"","family":"Xue","given":"Gui","non-dropping-particle":"","parse-names":false,"suffix":""},{"dropping-particle":"","family":"Lu","given":"Zhonglin","non-dropping-particle":"","parse-names":false,"suffix":""},{"dropping-particle":"","family":"Levin","given":"Irwin P.","non-dropping-particle":"","parse-names":false,"suffix":""},{"dropping-particle":"","family":"Bechara","given":"Antoine","non-dropping-particle":"","parse-names":false,"suffix":""}],"container-title":"Human Brain Mapping","id":"ITEM-1","issue":"2","issued":{"date-parts":[["2011"]]},"page":"271-281","title":"An fMRI study of risk-taking following wins and losses: Implications for the gambler's fallacy","type":"article-journal","volume":"32"},"uris":["http://www.mendeley.com/documents/?uuid=fed8e9e6-3db7-47eb-a50f-0c520cf2af86"]},{"id":"ITEM-2","itemData":{"DOI":"10.1038/nn1378","ISSN":"10976256","PMID":"15643429","abstract":"By analogy to drug dependence, it has been speculated that the underlying pathology in pathological gambling is a reduction in the sensitivity of the reward system. Studying pathological gamblers and controls during a guessing game using functional magnetic resonance imaging, we observed a reduction of ventral striatal and ventromedial prefrontal activation in the pathological gamblers that was negatively correlated with gambling severity, linking hypoactivation of these areas to disease severity.","author":[{"dropping-particle":"","family":"Reuter","given":"Jan","non-dropping-particle":"","parse-names":false,"suffix":""},{"dropping-particle":"","family":"Raedler","given":"Thomas","non-dropping-particle":"","parse-names":false,"suffix":""},{"dropping-particle":"","family":"Rose","given":"Michael","non-dropping-particle":"","parse-names":false,"suffix":""},{"dropping-particle":"","family":"Hand","given":"Iver","non-dropping-particle":"","parse-names":false,"suffix":""},{"dropping-particle":"","family":"Gläscher","given":"Jan","non-dropping-particle":"","parse-names":false,"suffix":""},{"dropping-particle":"","family":"Büchel","given":"Christian","non-dropping-particle":"","parse-names":false,"suffix":""}],"container-title":"Nature Neuroscience","id":"ITEM-2","issue":"2","issued":{"date-parts":[["2005"]]},"page":"147-148","title":"Pathological gambling is linked to reduced activation of the mesolimbic reward system","type":"article-journal","volume":"8"},"uris":["http://www.mendeley.com/documents/?uuid=94382fbd-f0d5-4735-ade7-716ed1007f24"]}],"mendeley":{"formattedCitation":"&lt;sup&gt;10,11&lt;/sup&gt;","plainTextFormattedCitation":"10,11","previouslyFormattedCitation":"&lt;sup&gt;10,11&lt;/sup&gt;"},"properties":{"noteIndex":0},"schema":"https://github.com/citation-style-language/schema/raw/master/csl-citation.json"}</w:instrText>
      </w:r>
      <w:r w:rsidRPr="006825A4">
        <w:fldChar w:fldCharType="separate"/>
      </w:r>
      <w:r w:rsidRPr="006825A4">
        <w:rPr>
          <w:noProof/>
          <w:vertAlign w:val="superscript"/>
        </w:rPr>
        <w:t>10,11</w:t>
      </w:r>
      <w:r w:rsidRPr="006825A4">
        <w:fldChar w:fldCharType="end"/>
      </w:r>
      <w:r w:rsidRPr="006825A4">
        <w:t>, while healthy controls are able to disengage from risky behavior after multiple losses</w:t>
      </w:r>
      <w:r w:rsidRPr="006825A4">
        <w:fldChar w:fldCharType="begin" w:fldLock="1"/>
      </w:r>
      <w:r w:rsidRPr="006825A4">
        <w:instrText>ADDIN CSL_CITATION {"citationItems":[{"id":"ITEM-1","itemData":{"DOI":"10.1111/j.0956-7976.2005.01553.x","ISSN":"09567976","PMID":"15943668","abstract":"Care dysfunction in neural systems subserving emotion lead, under certain circumstances, to more advantageous decisions? To answer this question, we investigated how normal participants, patients with stable focal lesions in brain regions related to emotion (target patients), and patients with stable focal lesions in brain regions unrelated to emotion (control patients) made 20 rounds of investment decisions. Target patients made more advantageous decisions and ultimately earned more money from their investments than the normal participants and control patients. When normal participants and control patients either won or lost money on an investment round, they adopted a conservative strategy and became more reluctant to invest on the subsequent round; these results suggest that they were more affected than target patients by the outcomes of decisions made in the previous rounds. Copyright © 2005 American Psychological Society.","author":[{"dropping-particle":"","family":"Shiv","given":"Baba","non-dropping-particle":"","parse-names":false,"suffix":""},{"dropping-particle":"","family":"Loewenstein","given":"George","non-dropping-particle":"","parse-names":false,"suffix":""},{"dropping-particle":"","family":"Bechara","given":"Antoine","non-dropping-particle":"","parse-names":false,"suffix":""},{"dropping-particle":"","family":"Damasio","given":"Hanna","non-dropping-particle":"","parse-names":false,"suffix":""},{"dropping-particle":"","family":"Damasio","given":"Antonio R.","non-dropping-particle":"","parse-names":false,"suffix":""}],"container-title":"Psychological Science","id":"ITEM-1","issue":"6","issued":{"date-parts":[["2005"]]},"page":"435-439","title":"Investment behavior and the negative side of emotion","type":"article-journal","volume":"16"},"uris":["http://www.mendeley.com/documents/?uuid=c3f668c3-9816-4620-8e08-d3116ba8619d"]}],"mendeley":{"formattedCitation":"&lt;sup&gt;12&lt;/sup&gt;","plainTextFormattedCitation":"12","previouslyFormattedCitation":"&lt;sup&gt;12&lt;/sup&gt;"},"properties":{"noteIndex":0},"schema":"https://github.com/citation-style-language/schema/raw/master/csl-citation.json"}</w:instrText>
      </w:r>
      <w:r w:rsidRPr="006825A4">
        <w:fldChar w:fldCharType="separate"/>
      </w:r>
      <w:r w:rsidRPr="006825A4">
        <w:rPr>
          <w:noProof/>
          <w:vertAlign w:val="superscript"/>
        </w:rPr>
        <w:t>12</w:t>
      </w:r>
      <w:r w:rsidRPr="006825A4">
        <w:fldChar w:fldCharType="end"/>
      </w:r>
      <w:r w:rsidRPr="006825A4">
        <w:t>. Or</w:t>
      </w:r>
      <w:r>
        <w:t>,</w:t>
      </w:r>
      <w:r w:rsidRPr="006825A4">
        <w:t xml:space="preserve"> put the other way around, inhibitory vmPFC-tDCS appears to </w:t>
      </w:r>
      <w:r w:rsidRPr="006825A4">
        <w:rPr>
          <w:rFonts w:cs="Times New Roman"/>
          <w:color w:val="000000"/>
          <w:szCs w:val="20"/>
        </w:rPr>
        <w:t xml:space="preserve">lead to increased susceptibility for uneconomical gambling behavior. </w:t>
      </w:r>
    </w:p>
    <w:p w14:paraId="75DDCA4C" w14:textId="77777777" w:rsidR="00E82D23" w:rsidRPr="001E12C8" w:rsidRDefault="00E82D23" w:rsidP="00E82D23">
      <w:pPr>
        <w:spacing w:before="240" w:after="240"/>
        <w:jc w:val="both"/>
        <w:rPr>
          <w:rFonts w:cs="Times New Roman"/>
        </w:rPr>
      </w:pPr>
    </w:p>
    <w:p w14:paraId="3954B949" w14:textId="2CDBBE5D" w:rsidR="0037513A" w:rsidRPr="0037513A" w:rsidRDefault="0037513A" w:rsidP="0037513A">
      <w:pPr>
        <w:pStyle w:val="berschrift2"/>
      </w:pPr>
      <w:r w:rsidRPr="003250A4">
        <w:t>2.</w:t>
      </w:r>
      <w:r>
        <w:t>3</w:t>
      </w:r>
      <w:r w:rsidRPr="003250A4">
        <w:t>.</w:t>
      </w:r>
      <w:r w:rsidR="00E82D23">
        <w:t>3</w:t>
      </w:r>
      <w:r w:rsidR="00811464">
        <w:t>.</w:t>
      </w:r>
      <w:r>
        <w:t xml:space="preserve"> </w:t>
      </w:r>
      <w:r w:rsidR="00541695">
        <w:t xml:space="preserve">Neural </w:t>
      </w:r>
      <w:r w:rsidR="007238C3">
        <w:t>m</w:t>
      </w:r>
      <w:r>
        <w:t xml:space="preserve">ain </w:t>
      </w:r>
      <w:r w:rsidR="007238C3">
        <w:t>e</w:t>
      </w:r>
      <w:r>
        <w:t>ffects</w:t>
      </w:r>
    </w:p>
    <w:p w14:paraId="257BCBD6" w14:textId="7406496F" w:rsidR="00F2270C" w:rsidRDefault="00D12704" w:rsidP="00667CAB">
      <w:pPr>
        <w:spacing w:before="240" w:after="240"/>
        <w:ind w:firstLine="720"/>
        <w:jc w:val="both"/>
        <w:rPr>
          <w:rFonts w:eastAsia="Times New Roman" w:cs="Times New Roman"/>
          <w:color w:val="000000"/>
          <w:szCs w:val="24"/>
        </w:rPr>
      </w:pPr>
      <w:r>
        <w:rPr>
          <w:rFonts w:eastAsia="Times New Roman" w:cs="Times New Roman"/>
          <w:color w:val="000000"/>
          <w:szCs w:val="24"/>
        </w:rPr>
        <w:t xml:space="preserve">The </w:t>
      </w:r>
      <w:r w:rsidR="00F2270C">
        <w:rPr>
          <w:rFonts w:eastAsia="Times New Roman" w:cs="Times New Roman"/>
          <w:color w:val="000000"/>
          <w:szCs w:val="24"/>
        </w:rPr>
        <w:t xml:space="preserve">2x2x2 ANOVA revealed a significant main effect of frame </w:t>
      </w:r>
      <w:r w:rsidR="0002468D">
        <w:rPr>
          <w:rFonts w:eastAsia="Times New Roman" w:cs="Times New Roman"/>
          <w:color w:val="000000"/>
          <w:szCs w:val="24"/>
        </w:rPr>
        <w:t xml:space="preserve">at </w:t>
      </w:r>
      <w:r w:rsidR="00F2270C">
        <w:rPr>
          <w:rFonts w:eastAsia="Times New Roman" w:cs="Times New Roman"/>
          <w:color w:val="000000"/>
          <w:szCs w:val="24"/>
        </w:rPr>
        <w:t>right anterior temporal and orbitofrontal areas ranging from 70-170ms (</w:t>
      </w:r>
      <w:r w:rsidR="00F2270C" w:rsidRPr="00F2270C">
        <w:rPr>
          <w:rFonts w:eastAsia="Times New Roman" w:cs="Times New Roman"/>
          <w:i/>
          <w:color w:val="000000"/>
          <w:szCs w:val="24"/>
        </w:rPr>
        <w:t>p</w:t>
      </w:r>
      <w:r w:rsidR="00F2270C">
        <w:rPr>
          <w:rFonts w:eastAsia="Times New Roman" w:cs="Times New Roman"/>
          <w:color w:val="000000"/>
          <w:szCs w:val="24"/>
        </w:rPr>
        <w:t xml:space="preserve">-cluster = 0.031). </w:t>
      </w:r>
      <w:r w:rsidR="0002468D">
        <w:rPr>
          <w:rFonts w:eastAsia="Times New Roman" w:cs="Times New Roman"/>
          <w:color w:val="000000"/>
          <w:szCs w:val="24"/>
        </w:rPr>
        <w:t>Neural activity in this cluster</w:t>
      </w:r>
      <w:r w:rsidR="007F7563">
        <w:rPr>
          <w:rFonts w:eastAsia="Times New Roman" w:cs="Times New Roman"/>
          <w:color w:val="000000"/>
          <w:szCs w:val="24"/>
        </w:rPr>
        <w:t xml:space="preserve"> </w:t>
      </w:r>
      <w:r w:rsidR="0002468D">
        <w:rPr>
          <w:rFonts w:eastAsia="Times New Roman" w:cs="Times New Roman"/>
          <w:color w:val="000000"/>
          <w:szCs w:val="24"/>
        </w:rPr>
        <w:t xml:space="preserve">in </w:t>
      </w:r>
      <w:r w:rsidR="007F7563">
        <w:rPr>
          <w:rFonts w:eastAsia="Times New Roman" w:cs="Times New Roman"/>
          <w:color w:val="000000"/>
          <w:szCs w:val="24"/>
        </w:rPr>
        <w:t>response to the</w:t>
      </w:r>
      <w:r w:rsidR="00F2270C">
        <w:rPr>
          <w:rFonts w:eastAsia="Times New Roman" w:cs="Times New Roman"/>
          <w:color w:val="000000"/>
          <w:szCs w:val="24"/>
        </w:rPr>
        <w:t xml:space="preserve"> ‘gain-frame’ </w:t>
      </w:r>
      <w:r w:rsidR="007F7563">
        <w:rPr>
          <w:rFonts w:eastAsia="Times New Roman" w:cs="Times New Roman"/>
          <w:color w:val="000000"/>
          <w:szCs w:val="24"/>
        </w:rPr>
        <w:t>w</w:t>
      </w:r>
      <w:r w:rsidR="0002468D">
        <w:rPr>
          <w:rFonts w:eastAsia="Times New Roman" w:cs="Times New Roman"/>
          <w:color w:val="000000"/>
          <w:szCs w:val="24"/>
        </w:rPr>
        <w:t>as</w:t>
      </w:r>
      <w:r w:rsidR="007F7563">
        <w:rPr>
          <w:rFonts w:eastAsia="Times New Roman" w:cs="Times New Roman"/>
          <w:color w:val="000000"/>
          <w:szCs w:val="24"/>
        </w:rPr>
        <w:t xml:space="preserve"> stronger than </w:t>
      </w:r>
      <w:r w:rsidR="0002468D">
        <w:rPr>
          <w:rFonts w:eastAsia="Times New Roman" w:cs="Times New Roman"/>
          <w:color w:val="000000"/>
          <w:szCs w:val="24"/>
        </w:rPr>
        <w:t xml:space="preserve">responses </w:t>
      </w:r>
      <w:r w:rsidR="007F7563">
        <w:rPr>
          <w:rFonts w:eastAsia="Times New Roman" w:cs="Times New Roman"/>
          <w:color w:val="000000"/>
          <w:szCs w:val="24"/>
        </w:rPr>
        <w:t>to the</w:t>
      </w:r>
      <w:r w:rsidR="00F2270C">
        <w:rPr>
          <w:rFonts w:eastAsia="Times New Roman" w:cs="Times New Roman"/>
          <w:color w:val="000000"/>
          <w:szCs w:val="24"/>
        </w:rPr>
        <w:t xml:space="preserve"> ‘loss-frame’ </w:t>
      </w:r>
      <w:r w:rsidR="007F7563">
        <w:rPr>
          <w:rFonts w:eastAsia="Times New Roman" w:cs="Times New Roman"/>
          <w:color w:val="000000"/>
          <w:szCs w:val="24"/>
        </w:rPr>
        <w:t>(</w:t>
      </w:r>
      <w:proofErr w:type="gramStart"/>
      <w:r w:rsidR="00F2270C" w:rsidRPr="00F2270C">
        <w:rPr>
          <w:rFonts w:eastAsia="Times New Roman" w:cs="Times New Roman"/>
          <w:i/>
          <w:color w:val="000000"/>
          <w:szCs w:val="24"/>
        </w:rPr>
        <w:t>F</w:t>
      </w:r>
      <w:r w:rsidR="00F2270C" w:rsidRPr="00E55DBA">
        <w:rPr>
          <w:rFonts w:eastAsia="Times New Roman" w:cs="Times New Roman"/>
          <w:color w:val="000000"/>
          <w:szCs w:val="24"/>
        </w:rPr>
        <w:t>(</w:t>
      </w:r>
      <w:proofErr w:type="gramEnd"/>
      <w:r w:rsidR="00F2270C">
        <w:rPr>
          <w:rFonts w:eastAsia="Times New Roman" w:cs="Times New Roman"/>
          <w:color w:val="000000"/>
          <w:szCs w:val="24"/>
        </w:rPr>
        <w:t>1, 29</w:t>
      </w:r>
      <w:r w:rsidR="00F2270C" w:rsidRPr="00E55DBA">
        <w:rPr>
          <w:rFonts w:eastAsia="Times New Roman" w:cs="Times New Roman"/>
          <w:color w:val="000000"/>
          <w:szCs w:val="24"/>
        </w:rPr>
        <w:t xml:space="preserve">) = </w:t>
      </w:r>
      <w:r w:rsidR="00F2270C">
        <w:rPr>
          <w:rFonts w:eastAsia="Times New Roman" w:cs="Times New Roman"/>
          <w:color w:val="000000"/>
          <w:szCs w:val="24"/>
        </w:rPr>
        <w:t>9.06</w:t>
      </w:r>
      <w:r w:rsidR="00F2270C" w:rsidRPr="00E55DBA">
        <w:rPr>
          <w:rFonts w:eastAsia="Times New Roman" w:cs="Times New Roman"/>
          <w:color w:val="000000"/>
          <w:szCs w:val="24"/>
        </w:rPr>
        <w:t xml:space="preserve">, </w:t>
      </w:r>
      <w:r w:rsidR="00F2270C" w:rsidRPr="00244C06">
        <w:rPr>
          <w:rFonts w:eastAsia="Times New Roman" w:cs="Times New Roman"/>
          <w:i/>
          <w:color w:val="000000"/>
          <w:szCs w:val="24"/>
        </w:rPr>
        <w:t>p</w:t>
      </w:r>
      <w:r w:rsidR="00F2270C" w:rsidRPr="00E55DBA">
        <w:rPr>
          <w:rFonts w:eastAsia="Times New Roman" w:cs="Times New Roman"/>
          <w:color w:val="000000"/>
          <w:szCs w:val="24"/>
        </w:rPr>
        <w:t xml:space="preserve"> </w:t>
      </w:r>
      <w:r w:rsidR="00F2270C">
        <w:rPr>
          <w:rFonts w:eastAsia="Times New Roman" w:cs="Times New Roman"/>
          <w:color w:val="000000"/>
          <w:szCs w:val="24"/>
        </w:rPr>
        <w:t>=</w:t>
      </w:r>
      <w:r w:rsidR="00F2270C" w:rsidRPr="00E55DBA">
        <w:rPr>
          <w:rFonts w:eastAsia="Times New Roman" w:cs="Times New Roman"/>
          <w:color w:val="000000"/>
          <w:szCs w:val="24"/>
        </w:rPr>
        <w:t xml:space="preserve"> 0.</w:t>
      </w:r>
      <w:r w:rsidR="00F2270C">
        <w:rPr>
          <w:rFonts w:eastAsia="Times New Roman" w:cs="Times New Roman"/>
          <w:color w:val="000000"/>
          <w:szCs w:val="24"/>
        </w:rPr>
        <w:t>005</w:t>
      </w:r>
      <w:r w:rsidR="0002468D">
        <w:rPr>
          <w:rFonts w:eastAsia="Times New Roman" w:cs="Times New Roman"/>
          <w:color w:val="000000"/>
          <w:szCs w:val="24"/>
        </w:rPr>
        <w:t>, see Fig. SM3</w:t>
      </w:r>
      <w:r w:rsidR="00F2270C">
        <w:rPr>
          <w:rFonts w:eastAsia="Times New Roman" w:cs="Times New Roman"/>
          <w:color w:val="000000"/>
          <w:szCs w:val="24"/>
        </w:rPr>
        <w:t xml:space="preserve">). </w:t>
      </w:r>
      <w:r w:rsidR="00ED1318">
        <w:rPr>
          <w:rFonts w:eastAsia="Times New Roman" w:cs="Times New Roman"/>
          <w:color w:val="000000"/>
          <w:szCs w:val="24"/>
        </w:rPr>
        <w:t>This cluster spatially overlaps but precedes the subsequent interaction of frame by stimulation (220-270ms; Fig. 1C</w:t>
      </w:r>
      <w:r w:rsidR="007D04BE">
        <w:rPr>
          <w:rFonts w:eastAsia="Times New Roman" w:cs="Times New Roman"/>
          <w:color w:val="000000"/>
          <w:szCs w:val="24"/>
        </w:rPr>
        <w:t xml:space="preserve"> main text</w:t>
      </w:r>
      <w:r w:rsidR="00ED1318">
        <w:rPr>
          <w:rFonts w:eastAsia="Times New Roman" w:cs="Times New Roman"/>
          <w:color w:val="000000"/>
          <w:szCs w:val="24"/>
        </w:rPr>
        <w:t>).</w:t>
      </w:r>
      <w:r w:rsidR="00753F9A">
        <w:rPr>
          <w:rFonts w:eastAsia="Times New Roman" w:cs="Times New Roman"/>
          <w:color w:val="000000"/>
          <w:szCs w:val="24"/>
        </w:rPr>
        <w:t xml:space="preserve"> </w:t>
      </w:r>
      <w:r w:rsidR="00C4315C">
        <w:rPr>
          <w:rFonts w:eastAsia="Times New Roman" w:cs="Times New Roman"/>
          <w:color w:val="000000"/>
          <w:szCs w:val="24"/>
        </w:rPr>
        <w:t>The</w:t>
      </w:r>
      <w:r w:rsidR="00753F9A">
        <w:rPr>
          <w:rFonts w:eastAsia="Times New Roman" w:cs="Times New Roman"/>
          <w:color w:val="000000"/>
          <w:szCs w:val="24"/>
        </w:rPr>
        <w:t xml:space="preserve"> </w:t>
      </w:r>
      <w:r w:rsidR="00C4315C">
        <w:rPr>
          <w:rFonts w:eastAsia="Times New Roman" w:cs="Times New Roman"/>
          <w:color w:val="000000"/>
          <w:szCs w:val="24"/>
        </w:rPr>
        <w:t xml:space="preserve">later </w:t>
      </w:r>
      <w:r w:rsidR="00D63AA5">
        <w:rPr>
          <w:rFonts w:eastAsia="Times New Roman" w:cs="Times New Roman"/>
          <w:color w:val="000000"/>
          <w:szCs w:val="24"/>
        </w:rPr>
        <w:t xml:space="preserve">frame by stimulation </w:t>
      </w:r>
      <w:r w:rsidR="00753F9A">
        <w:rPr>
          <w:rFonts w:eastAsia="Times New Roman" w:cs="Times New Roman"/>
          <w:color w:val="000000"/>
          <w:szCs w:val="24"/>
        </w:rPr>
        <w:t xml:space="preserve">interaction has been interpreted as reflecting a relatively reduced inhibition of loss-aversion after excitatory stimulation and </w:t>
      </w:r>
      <w:r w:rsidR="002E5C30">
        <w:rPr>
          <w:rFonts w:eastAsia="Times New Roman" w:cs="Times New Roman"/>
          <w:color w:val="000000"/>
          <w:szCs w:val="24"/>
        </w:rPr>
        <w:t xml:space="preserve">relatively </w:t>
      </w:r>
      <w:r w:rsidR="00753F9A">
        <w:rPr>
          <w:rFonts w:eastAsia="Times New Roman" w:cs="Times New Roman"/>
          <w:color w:val="000000"/>
          <w:szCs w:val="24"/>
        </w:rPr>
        <w:t xml:space="preserve">enhanced inhibition after inhibitory stimulation. </w:t>
      </w:r>
    </w:p>
    <w:p w14:paraId="3D1D78CC" w14:textId="1F9E8BAD" w:rsidR="007F31AB" w:rsidRPr="00D25EB7" w:rsidRDefault="008F05E1" w:rsidP="007F31AB">
      <w:pPr>
        <w:spacing w:after="0" w:line="240" w:lineRule="auto"/>
        <w:jc w:val="both"/>
        <w:rPr>
          <w:rFonts w:eastAsia="Times New Roman" w:cs="Times New Roman"/>
          <w:color w:val="000000"/>
          <w:szCs w:val="24"/>
        </w:rPr>
      </w:pPr>
      <w:r>
        <w:rPr>
          <w:noProof/>
        </w:rPr>
        <w:drawing>
          <wp:inline distT="0" distB="0" distL="0" distR="0" wp14:anchorId="4FBA71EA" wp14:editId="216914A3">
            <wp:extent cx="5972810" cy="3309620"/>
            <wp:effectExtent l="0" t="0" r="889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2810" cy="3309620"/>
                    </a:xfrm>
                    <a:prstGeom prst="rect">
                      <a:avLst/>
                    </a:prstGeom>
                    <a:noFill/>
                    <a:ln>
                      <a:noFill/>
                    </a:ln>
                  </pic:spPr>
                </pic:pic>
              </a:graphicData>
            </a:graphic>
          </wp:inline>
        </w:drawing>
      </w:r>
      <w:r w:rsidR="000151E2" w:rsidRPr="00FB1495">
        <w:rPr>
          <w:i/>
          <w:iCs/>
          <w:color w:val="000000"/>
          <w:sz w:val="20"/>
          <w:szCs w:val="20"/>
        </w:rPr>
        <w:t>Figure SM</w:t>
      </w:r>
      <w:r w:rsidR="00E82D23">
        <w:rPr>
          <w:i/>
          <w:iCs/>
          <w:color w:val="000000"/>
          <w:sz w:val="20"/>
          <w:szCs w:val="20"/>
        </w:rPr>
        <w:t>3</w:t>
      </w:r>
      <w:r w:rsidR="000151E2" w:rsidRPr="00FB1495">
        <w:rPr>
          <w:i/>
          <w:iCs/>
          <w:color w:val="000000"/>
          <w:sz w:val="20"/>
          <w:szCs w:val="20"/>
        </w:rPr>
        <w:t>.</w:t>
      </w:r>
      <w:r w:rsidR="000151E2">
        <w:rPr>
          <w:i/>
          <w:iCs/>
          <w:color w:val="000000"/>
          <w:sz w:val="20"/>
          <w:szCs w:val="20"/>
        </w:rPr>
        <w:t xml:space="preserve"> </w:t>
      </w:r>
      <w:r w:rsidR="000151E2">
        <w:rPr>
          <w:color w:val="000000"/>
          <w:sz w:val="20"/>
          <w:szCs w:val="20"/>
        </w:rPr>
        <w:t>Significant prefrontal spatio-temporal cluster featuring a main effect for frame</w:t>
      </w:r>
      <w:r w:rsidR="00ED1318">
        <w:rPr>
          <w:color w:val="000000"/>
          <w:sz w:val="20"/>
          <w:szCs w:val="20"/>
        </w:rPr>
        <w:t xml:space="preserve"> (gain, loss)</w:t>
      </w:r>
      <w:r w:rsidR="000151E2">
        <w:rPr>
          <w:color w:val="000000"/>
          <w:sz w:val="20"/>
          <w:szCs w:val="20"/>
        </w:rPr>
        <w:t xml:space="preserve"> by an ANOVA. </w:t>
      </w:r>
      <w:r w:rsidR="000151E2" w:rsidRPr="006F346B">
        <w:rPr>
          <w:color w:val="000000"/>
          <w:sz w:val="20"/>
          <w:szCs w:val="20"/>
        </w:rPr>
        <w:t>Topographies of effects observed in L2-MNE were projected on standard 3D brain models for visualization</w:t>
      </w:r>
      <w:r w:rsidR="002E5C30">
        <w:rPr>
          <w:color w:val="000000"/>
          <w:sz w:val="20"/>
          <w:szCs w:val="20"/>
        </w:rPr>
        <w:t>.</w:t>
      </w:r>
      <w:r w:rsidR="007F31AB" w:rsidRPr="007F31AB">
        <w:rPr>
          <w:color w:val="000000"/>
          <w:sz w:val="20"/>
          <w:szCs w:val="20"/>
        </w:rPr>
        <w:t xml:space="preserve"> </w:t>
      </w:r>
      <w:r w:rsidR="007F31AB">
        <w:rPr>
          <w:color w:val="000000"/>
          <w:sz w:val="20"/>
          <w:szCs w:val="20"/>
        </w:rPr>
        <w:t>Boxplots indicate means (black dot</w:t>
      </w:r>
      <w:r w:rsidR="007238C3">
        <w:rPr>
          <w:color w:val="000000"/>
          <w:sz w:val="20"/>
          <w:szCs w:val="20"/>
        </w:rPr>
        <w:t>s</w:t>
      </w:r>
      <w:r w:rsidR="007F31AB">
        <w:rPr>
          <w:color w:val="000000"/>
          <w:sz w:val="20"/>
          <w:szCs w:val="20"/>
        </w:rPr>
        <w:t>), medians (grey line</w:t>
      </w:r>
      <w:r w:rsidR="007238C3">
        <w:rPr>
          <w:color w:val="000000"/>
          <w:sz w:val="20"/>
          <w:szCs w:val="20"/>
        </w:rPr>
        <w:t>s</w:t>
      </w:r>
      <w:r w:rsidR="007F31AB">
        <w:rPr>
          <w:color w:val="000000"/>
          <w:sz w:val="20"/>
          <w:szCs w:val="20"/>
        </w:rPr>
        <w:t>) and lower and upper quartiles</w:t>
      </w:r>
      <w:r w:rsidR="007F31AB" w:rsidRPr="007F1E70">
        <w:rPr>
          <w:color w:val="000000"/>
          <w:sz w:val="20"/>
          <w:szCs w:val="20"/>
        </w:rPr>
        <w:t xml:space="preserve">. </w:t>
      </w:r>
      <w:r w:rsidR="007F31AB">
        <w:rPr>
          <w:rFonts w:cs="Times New Roman"/>
          <w:color w:val="000000"/>
          <w:sz w:val="20"/>
          <w:szCs w:val="20"/>
        </w:rPr>
        <w:t>Asterisks indicate significance levels: + &lt; 0.1, * &lt; 0.05, ** &lt; 0.01, *** &lt; 0.001</w:t>
      </w:r>
      <w:r w:rsidR="007F31AB" w:rsidRPr="009403F0">
        <w:rPr>
          <w:rFonts w:cs="Times New Roman"/>
          <w:color w:val="000000"/>
          <w:sz w:val="20"/>
          <w:szCs w:val="20"/>
        </w:rPr>
        <w:t>.</w:t>
      </w:r>
      <w:r w:rsidR="007F31AB">
        <w:rPr>
          <w:rFonts w:cs="Times New Roman"/>
          <w:color w:val="000000"/>
          <w:sz w:val="20"/>
          <w:szCs w:val="20"/>
        </w:rPr>
        <w:t xml:space="preserve"> </w:t>
      </w:r>
    </w:p>
    <w:p w14:paraId="5F360AB5" w14:textId="5C6F83BB" w:rsidR="000151E2" w:rsidRDefault="000151E2" w:rsidP="007F31AB">
      <w:pPr>
        <w:spacing w:after="0" w:line="240" w:lineRule="auto"/>
        <w:jc w:val="both"/>
        <w:rPr>
          <w:rFonts w:eastAsia="Times New Roman" w:cs="Times New Roman"/>
          <w:color w:val="000000"/>
          <w:szCs w:val="24"/>
        </w:rPr>
      </w:pPr>
    </w:p>
    <w:p w14:paraId="04596CB5" w14:textId="77777777"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This earlier main effect of frame could likewise be interpreted as an early correlate of loss</w:t>
      </w:r>
      <w:r>
        <w:rPr>
          <w:rFonts w:eastAsia="Times New Roman" w:cs="Times New Roman"/>
          <w:color w:val="000000"/>
          <w:szCs w:val="24"/>
        </w:rPr>
        <w:t xml:space="preserve"> </w:t>
      </w:r>
      <w:r w:rsidRPr="006825A4">
        <w:rPr>
          <w:rFonts w:eastAsia="Times New Roman" w:cs="Times New Roman"/>
          <w:color w:val="000000"/>
          <w:szCs w:val="24"/>
        </w:rPr>
        <w:t>aversion</w:t>
      </w:r>
      <w:r>
        <w:rPr>
          <w:rFonts w:eastAsia="Times New Roman" w:cs="Times New Roman"/>
          <w:color w:val="000000"/>
          <w:szCs w:val="24"/>
        </w:rPr>
        <w:t>,</w:t>
      </w:r>
      <w:r w:rsidRPr="006825A4">
        <w:rPr>
          <w:rFonts w:eastAsia="Times New Roman" w:cs="Times New Roman"/>
          <w:color w:val="000000"/>
          <w:szCs w:val="24"/>
        </w:rPr>
        <w:t xml:space="preserve"> with relatively reduced inhibition of potential losses compared to potential gains (i.e.</w:t>
      </w:r>
      <w:r>
        <w:rPr>
          <w:rFonts w:eastAsia="Times New Roman" w:cs="Times New Roman"/>
          <w:color w:val="000000"/>
          <w:szCs w:val="24"/>
        </w:rPr>
        <w:t>,</w:t>
      </w:r>
      <w:r w:rsidRPr="006825A4">
        <w:rPr>
          <w:rFonts w:eastAsia="Times New Roman" w:cs="Times New Roman"/>
          <w:color w:val="000000"/>
          <w:szCs w:val="24"/>
        </w:rPr>
        <w:t xml:space="preserve"> enhanced ‘gating’ of losses) eventually leading to the framing effect. It remains to be resolved in future studies </w:t>
      </w:r>
      <w:r>
        <w:rPr>
          <w:rFonts w:eastAsia="Times New Roman" w:cs="Times New Roman"/>
          <w:color w:val="000000"/>
          <w:szCs w:val="24"/>
        </w:rPr>
        <w:t>whether</w:t>
      </w:r>
      <w:r w:rsidRPr="006825A4">
        <w:rPr>
          <w:rFonts w:eastAsia="Times New Roman" w:cs="Times New Roman"/>
          <w:color w:val="000000"/>
          <w:szCs w:val="24"/>
        </w:rPr>
        <w:t xml:space="preserve"> the chosen tDCS stimulation was not </w:t>
      </w:r>
      <w:r>
        <w:rPr>
          <w:rFonts w:eastAsia="Times New Roman" w:cs="Times New Roman"/>
          <w:color w:val="000000"/>
          <w:szCs w:val="24"/>
        </w:rPr>
        <w:t xml:space="preserve">sufficiently </w:t>
      </w:r>
      <w:r w:rsidRPr="006825A4">
        <w:rPr>
          <w:rFonts w:eastAsia="Times New Roman" w:cs="Times New Roman"/>
          <w:color w:val="000000"/>
          <w:szCs w:val="24"/>
        </w:rPr>
        <w:t>strong (</w:t>
      </w:r>
      <w:r>
        <w:rPr>
          <w:rFonts w:eastAsia="Times New Roman" w:cs="Times New Roman"/>
          <w:color w:val="000000"/>
          <w:szCs w:val="24"/>
        </w:rPr>
        <w:t xml:space="preserve">at </w:t>
      </w:r>
      <w:r w:rsidRPr="006825A4">
        <w:rPr>
          <w:rFonts w:eastAsia="Times New Roman" w:cs="Times New Roman"/>
          <w:color w:val="000000"/>
          <w:szCs w:val="24"/>
        </w:rPr>
        <w:t>1.5 mA) or long (</w:t>
      </w:r>
      <w:r>
        <w:rPr>
          <w:rFonts w:eastAsia="Times New Roman" w:cs="Times New Roman"/>
          <w:color w:val="000000"/>
          <w:szCs w:val="24"/>
        </w:rPr>
        <w:t xml:space="preserve">at </w:t>
      </w:r>
      <w:r w:rsidRPr="006825A4">
        <w:rPr>
          <w:rFonts w:eastAsia="Times New Roman" w:cs="Times New Roman"/>
          <w:color w:val="000000"/>
          <w:szCs w:val="24"/>
        </w:rPr>
        <w:t>10 min</w:t>
      </w:r>
      <w:r>
        <w:rPr>
          <w:rFonts w:eastAsia="Times New Roman" w:cs="Times New Roman"/>
          <w:color w:val="000000"/>
          <w:szCs w:val="24"/>
        </w:rPr>
        <w:t>utes</w:t>
      </w:r>
      <w:r w:rsidRPr="006825A4">
        <w:rPr>
          <w:rFonts w:eastAsia="Times New Roman" w:cs="Times New Roman"/>
          <w:color w:val="000000"/>
          <w:szCs w:val="24"/>
        </w:rPr>
        <w:t xml:space="preserve">) to prove a modulation of the frame effect also in this earlier time interval or </w:t>
      </w:r>
      <w:r>
        <w:rPr>
          <w:rFonts w:eastAsia="Times New Roman" w:cs="Times New Roman"/>
          <w:color w:val="000000"/>
          <w:szCs w:val="24"/>
        </w:rPr>
        <w:t>whether</w:t>
      </w:r>
      <w:r w:rsidRPr="006825A4">
        <w:rPr>
          <w:rFonts w:eastAsia="Times New Roman" w:cs="Times New Roman"/>
          <w:color w:val="000000"/>
          <w:szCs w:val="24"/>
        </w:rPr>
        <w:t xml:space="preserve"> the vmPFC can modulate only later stages of processing in this region.</w:t>
      </w:r>
    </w:p>
    <w:p w14:paraId="75AC1838" w14:textId="3632C3F8"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Additionally, we calculated paired t-tests to detect main effects of stimulation (excitatory, inhibitory) and decision (keep, gamble). The t-test for stimulation revealed a significant main effect (</w:t>
      </w:r>
      <w:r w:rsidRPr="006825A4">
        <w:rPr>
          <w:rFonts w:eastAsia="Times New Roman" w:cs="Times New Roman"/>
          <w:i/>
          <w:color w:val="000000"/>
          <w:szCs w:val="24"/>
        </w:rPr>
        <w:t>p</w:t>
      </w:r>
      <w:r w:rsidRPr="006825A4">
        <w:rPr>
          <w:rFonts w:eastAsia="Times New Roman" w:cs="Times New Roman"/>
          <w:color w:val="000000"/>
          <w:szCs w:val="24"/>
        </w:rPr>
        <w:t>-cluster = 0.013) spanning effectively the whole analyzed time interval (10 – 600ms). As expected, observed neural activations at the vmPFC region of stimulation and neighboring areas were enhanced after excitatory compared to after inhibitory stimulation (</w:t>
      </w:r>
      <w:proofErr w:type="gramStart"/>
      <w:r w:rsidRPr="006825A4">
        <w:rPr>
          <w:rFonts w:eastAsia="Times New Roman" w:cs="Times New Roman"/>
          <w:i/>
          <w:color w:val="000000"/>
          <w:szCs w:val="24"/>
        </w:rPr>
        <w:t>t</w:t>
      </w:r>
      <w:r w:rsidRPr="006825A4">
        <w:rPr>
          <w:rFonts w:eastAsia="Times New Roman" w:cs="Times New Roman"/>
          <w:color w:val="000000"/>
          <w:szCs w:val="24"/>
        </w:rPr>
        <w:t>(</w:t>
      </w:r>
      <w:proofErr w:type="gramEnd"/>
      <w:r w:rsidRPr="006825A4">
        <w:rPr>
          <w:rFonts w:eastAsia="Times New Roman" w:cs="Times New Roman"/>
          <w:color w:val="000000"/>
          <w:szCs w:val="24"/>
        </w:rPr>
        <w:t xml:space="preserve">29) = 2.38, </w:t>
      </w:r>
      <w:r w:rsidRPr="006825A4">
        <w:rPr>
          <w:rFonts w:eastAsia="Times New Roman" w:cs="Times New Roman"/>
          <w:i/>
          <w:color w:val="000000"/>
          <w:szCs w:val="24"/>
        </w:rPr>
        <w:t>p</w:t>
      </w:r>
      <w:r w:rsidRPr="006825A4">
        <w:rPr>
          <w:rFonts w:eastAsia="Times New Roman" w:cs="Times New Roman"/>
          <w:color w:val="000000"/>
          <w:szCs w:val="24"/>
        </w:rPr>
        <w:t xml:space="preserve"> = 0.024, see Fig. SM4). </w:t>
      </w:r>
    </w:p>
    <w:p w14:paraId="12C9B2F2" w14:textId="307B3748" w:rsidR="007F31AB" w:rsidRPr="00D25EB7" w:rsidRDefault="008F05E1" w:rsidP="007F31AB">
      <w:pPr>
        <w:spacing w:after="0" w:line="240" w:lineRule="auto"/>
        <w:jc w:val="both"/>
        <w:rPr>
          <w:rFonts w:eastAsia="Times New Roman" w:cs="Times New Roman"/>
          <w:color w:val="000000"/>
          <w:szCs w:val="24"/>
        </w:rPr>
      </w:pPr>
      <w:r>
        <w:rPr>
          <w:noProof/>
        </w:rPr>
        <w:drawing>
          <wp:inline distT="0" distB="0" distL="0" distR="0" wp14:anchorId="07C0A15C" wp14:editId="7DE813BA">
            <wp:extent cx="5972810" cy="3326765"/>
            <wp:effectExtent l="0" t="0" r="8890" b="698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72810" cy="3326765"/>
                    </a:xfrm>
                    <a:prstGeom prst="rect">
                      <a:avLst/>
                    </a:prstGeom>
                    <a:noFill/>
                    <a:ln>
                      <a:noFill/>
                    </a:ln>
                  </pic:spPr>
                </pic:pic>
              </a:graphicData>
            </a:graphic>
          </wp:inline>
        </w:drawing>
      </w:r>
      <w:r w:rsidR="00FC22B0" w:rsidRPr="00FB1495">
        <w:rPr>
          <w:i/>
          <w:iCs/>
          <w:color w:val="000000"/>
          <w:sz w:val="20"/>
          <w:szCs w:val="20"/>
        </w:rPr>
        <w:t>Figure SM</w:t>
      </w:r>
      <w:r w:rsidR="00E82D23">
        <w:rPr>
          <w:i/>
          <w:iCs/>
          <w:color w:val="000000"/>
          <w:sz w:val="20"/>
          <w:szCs w:val="20"/>
        </w:rPr>
        <w:t>4</w:t>
      </w:r>
      <w:r w:rsidR="00FC22B0" w:rsidRPr="00FB1495">
        <w:rPr>
          <w:i/>
          <w:iCs/>
          <w:color w:val="000000"/>
          <w:sz w:val="20"/>
          <w:szCs w:val="20"/>
        </w:rPr>
        <w:t>.</w:t>
      </w:r>
      <w:r w:rsidR="00FC22B0">
        <w:rPr>
          <w:i/>
          <w:iCs/>
          <w:color w:val="000000"/>
          <w:sz w:val="20"/>
          <w:szCs w:val="20"/>
        </w:rPr>
        <w:t xml:space="preserve"> </w:t>
      </w:r>
      <w:r w:rsidR="00FC22B0">
        <w:rPr>
          <w:color w:val="000000"/>
          <w:sz w:val="20"/>
          <w:szCs w:val="20"/>
        </w:rPr>
        <w:t xml:space="preserve">Significant prefrontal spatio-temporal cluster featuring a main effect </w:t>
      </w:r>
      <w:r w:rsidR="007D04BE">
        <w:rPr>
          <w:color w:val="000000"/>
          <w:sz w:val="20"/>
          <w:szCs w:val="20"/>
        </w:rPr>
        <w:t>of</w:t>
      </w:r>
      <w:r w:rsidR="00FC22B0">
        <w:rPr>
          <w:color w:val="000000"/>
          <w:sz w:val="20"/>
          <w:szCs w:val="20"/>
        </w:rPr>
        <w:t xml:space="preserve"> </w:t>
      </w:r>
      <w:r w:rsidR="00B53407">
        <w:rPr>
          <w:color w:val="000000"/>
          <w:sz w:val="20"/>
          <w:szCs w:val="20"/>
        </w:rPr>
        <w:t>stimulation</w:t>
      </w:r>
      <w:r w:rsidR="00FC22B0">
        <w:rPr>
          <w:color w:val="000000"/>
          <w:sz w:val="20"/>
          <w:szCs w:val="20"/>
        </w:rPr>
        <w:t xml:space="preserve"> </w:t>
      </w:r>
      <w:r w:rsidR="002E5C30">
        <w:rPr>
          <w:color w:val="000000"/>
          <w:sz w:val="20"/>
          <w:szCs w:val="20"/>
        </w:rPr>
        <w:t xml:space="preserve">as </w:t>
      </w:r>
      <w:r w:rsidR="00FC22B0">
        <w:rPr>
          <w:color w:val="000000"/>
          <w:sz w:val="20"/>
          <w:szCs w:val="20"/>
        </w:rPr>
        <w:t>revealed by a t-</w:t>
      </w:r>
      <w:r w:rsidR="005C46F7">
        <w:rPr>
          <w:color w:val="000000"/>
          <w:sz w:val="20"/>
          <w:szCs w:val="20"/>
        </w:rPr>
        <w:t>t</w:t>
      </w:r>
      <w:r w:rsidR="00FC22B0">
        <w:rPr>
          <w:color w:val="000000"/>
          <w:sz w:val="20"/>
          <w:szCs w:val="20"/>
        </w:rPr>
        <w:t xml:space="preserve">est. </w:t>
      </w:r>
      <w:r w:rsidR="006F346B" w:rsidRPr="006F346B">
        <w:rPr>
          <w:color w:val="000000"/>
          <w:sz w:val="20"/>
          <w:szCs w:val="20"/>
        </w:rPr>
        <w:t>Topographies of effects observed in L2-MNE were projected on standard 3D brain models for visualization</w:t>
      </w:r>
      <w:r w:rsidR="007F31AB" w:rsidRPr="007F31AB">
        <w:rPr>
          <w:color w:val="000000"/>
          <w:sz w:val="20"/>
          <w:szCs w:val="20"/>
        </w:rPr>
        <w:t xml:space="preserve"> </w:t>
      </w:r>
      <w:r w:rsidR="007F31AB">
        <w:rPr>
          <w:color w:val="000000"/>
          <w:sz w:val="20"/>
          <w:szCs w:val="20"/>
        </w:rPr>
        <w:t>Boxplots indicate means (black dot), medians (grey line) and lower and upper quartiles</w:t>
      </w:r>
      <w:r w:rsidR="007F31AB" w:rsidRPr="007F1E70">
        <w:rPr>
          <w:color w:val="000000"/>
          <w:sz w:val="20"/>
          <w:szCs w:val="20"/>
        </w:rPr>
        <w:t xml:space="preserve">. </w:t>
      </w:r>
      <w:r w:rsidR="007F31AB">
        <w:rPr>
          <w:rFonts w:cs="Times New Roman"/>
          <w:color w:val="000000"/>
          <w:sz w:val="20"/>
          <w:szCs w:val="20"/>
        </w:rPr>
        <w:t>Asterisks indicate significance levels: + &lt; 0.1, * &lt; 0.05, ** &lt; 0.01, *** &lt; 0.001</w:t>
      </w:r>
      <w:r w:rsidR="007F31AB" w:rsidRPr="009403F0">
        <w:rPr>
          <w:rFonts w:cs="Times New Roman"/>
          <w:color w:val="000000"/>
          <w:sz w:val="20"/>
          <w:szCs w:val="20"/>
        </w:rPr>
        <w:t>.</w:t>
      </w:r>
      <w:r w:rsidR="007F31AB">
        <w:rPr>
          <w:rFonts w:cs="Times New Roman"/>
          <w:color w:val="000000"/>
          <w:sz w:val="20"/>
          <w:szCs w:val="20"/>
        </w:rPr>
        <w:t xml:space="preserve"> </w:t>
      </w:r>
    </w:p>
    <w:p w14:paraId="43A4E0AA" w14:textId="2FCE2762" w:rsidR="002B2EC2" w:rsidRDefault="002B2EC2" w:rsidP="007F31AB">
      <w:pPr>
        <w:pStyle w:val="StandardWeb"/>
        <w:spacing w:before="240" w:beforeAutospacing="0" w:after="0" w:afterAutospacing="0"/>
        <w:rPr>
          <w:color w:val="000000"/>
        </w:rPr>
      </w:pPr>
    </w:p>
    <w:p w14:paraId="4B721240" w14:textId="77777777"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 xml:space="preserve">This finding can be interpreted as </w:t>
      </w:r>
      <w:r>
        <w:rPr>
          <w:rFonts w:eastAsia="Times New Roman" w:cs="Times New Roman"/>
          <w:color w:val="000000"/>
          <w:szCs w:val="24"/>
        </w:rPr>
        <w:t xml:space="preserve">proof </w:t>
      </w:r>
      <w:r w:rsidRPr="006825A4">
        <w:rPr>
          <w:rFonts w:eastAsia="Times New Roman" w:cs="Times New Roman"/>
          <w:color w:val="000000"/>
          <w:szCs w:val="24"/>
        </w:rPr>
        <w:t>for the intended experimental manipulation (see Methods Fig. 2 main text). The corresponding analysis for a main effect of stimulation in the feedback phase remained insignificant</w:t>
      </w:r>
      <w:r>
        <w:rPr>
          <w:rFonts w:eastAsia="Times New Roman" w:cs="Times New Roman"/>
          <w:color w:val="000000"/>
          <w:szCs w:val="24"/>
        </w:rPr>
        <w:t>,</w:t>
      </w:r>
      <w:r w:rsidRPr="006825A4">
        <w:rPr>
          <w:rFonts w:eastAsia="Times New Roman" w:cs="Times New Roman"/>
          <w:color w:val="000000"/>
          <w:szCs w:val="24"/>
        </w:rPr>
        <w:t xml:space="preserve"> probably due to the strong effects of the outcome (loss &gt;&gt; gain), </w:t>
      </w:r>
      <w:r>
        <w:rPr>
          <w:rFonts w:eastAsia="Times New Roman" w:cs="Times New Roman"/>
          <w:color w:val="000000"/>
          <w:szCs w:val="24"/>
        </w:rPr>
        <w:t>which</w:t>
      </w:r>
      <w:r w:rsidRPr="006825A4">
        <w:rPr>
          <w:rFonts w:eastAsia="Times New Roman" w:cs="Times New Roman"/>
          <w:color w:val="000000"/>
          <w:szCs w:val="24"/>
        </w:rPr>
        <w:t xml:space="preserve"> might have masked other effects by explaining most of the variance.</w:t>
      </w:r>
    </w:p>
    <w:p w14:paraId="72331157" w14:textId="5494C3DB"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The t-test for the main effect of decision revealed two significant clusters. A first early to mid-latency effect (10</w:t>
      </w:r>
      <w:r w:rsidRPr="006825A4">
        <w:rPr>
          <w:rStyle w:val="Funotenzeichen"/>
          <w:rFonts w:eastAsia="Times New Roman" w:cs="Times New Roman"/>
          <w:color w:val="000000"/>
          <w:szCs w:val="24"/>
        </w:rPr>
        <w:footnoteReference w:id="1"/>
      </w:r>
      <w:r w:rsidRPr="006825A4">
        <w:rPr>
          <w:rFonts w:eastAsia="Times New Roman" w:cs="Times New Roman"/>
          <w:color w:val="000000"/>
          <w:szCs w:val="24"/>
        </w:rPr>
        <w:t xml:space="preserve"> – 340ms) emerged at left dorsolateral and dorsomedial prefrontal areas </w:t>
      </w:r>
      <w:r w:rsidRPr="006825A4">
        <w:rPr>
          <w:rFonts w:cs="Times New Roman"/>
          <w:bCs/>
          <w:color w:val="000000"/>
          <w:szCs w:val="24"/>
        </w:rPr>
        <w:t>(</w:t>
      </w:r>
      <w:r w:rsidRPr="006825A4">
        <w:rPr>
          <w:rFonts w:cs="Times New Roman"/>
          <w:bCs/>
          <w:i/>
          <w:color w:val="000000"/>
          <w:szCs w:val="24"/>
        </w:rPr>
        <w:t>p</w:t>
      </w:r>
      <w:r w:rsidRPr="006825A4">
        <w:rPr>
          <w:rFonts w:cs="Times New Roman"/>
          <w:bCs/>
          <w:color w:val="000000"/>
          <w:szCs w:val="24"/>
        </w:rPr>
        <w:t>-cluster = 0.010)</w:t>
      </w:r>
      <w:r w:rsidRPr="006825A4">
        <w:rPr>
          <w:rFonts w:eastAsia="Times New Roman" w:cs="Times New Roman"/>
          <w:color w:val="000000"/>
          <w:szCs w:val="24"/>
        </w:rPr>
        <w:t xml:space="preserve"> and featured greater activity for later ‘gamble’ choices in comparison to ‘keep’ choices (</w:t>
      </w:r>
      <w:r w:rsidRPr="006825A4">
        <w:rPr>
          <w:rFonts w:eastAsia="Times New Roman" w:cs="Times New Roman"/>
          <w:i/>
          <w:color w:val="000000"/>
          <w:szCs w:val="24"/>
        </w:rPr>
        <w:t>t</w:t>
      </w:r>
      <w:r w:rsidRPr="006825A4">
        <w:rPr>
          <w:rFonts w:eastAsia="Times New Roman" w:cs="Times New Roman"/>
          <w:color w:val="000000"/>
          <w:szCs w:val="24"/>
        </w:rPr>
        <w:t xml:space="preserve">(29) = -2.49, </w:t>
      </w:r>
      <w:r w:rsidRPr="006825A4">
        <w:rPr>
          <w:rFonts w:eastAsia="Times New Roman" w:cs="Times New Roman"/>
          <w:i/>
          <w:color w:val="000000"/>
          <w:szCs w:val="24"/>
        </w:rPr>
        <w:t>p</w:t>
      </w:r>
      <w:r w:rsidRPr="006825A4">
        <w:rPr>
          <w:rFonts w:eastAsia="Times New Roman" w:cs="Times New Roman"/>
          <w:color w:val="000000"/>
          <w:szCs w:val="24"/>
        </w:rPr>
        <w:t xml:space="preserve"> = 0.019; Fig. SM5A). </w:t>
      </w:r>
      <w:r w:rsidRPr="006825A4">
        <w:t>This cluster overlaps temporally and spatially with the dorsal part of the cluster</w:t>
      </w:r>
      <w:r>
        <w:t>,</w:t>
      </w:r>
      <w:r w:rsidRPr="006825A4">
        <w:t xml:space="preserve"> which showed increasing neural activity with increasing cumulative wins (i.e.</w:t>
      </w:r>
      <w:r>
        <w:t>,</w:t>
      </w:r>
      <w:r w:rsidRPr="006825A4">
        <w:t xml:space="preserve"> with increasing rational choice</w:t>
      </w:r>
      <w:r>
        <w:t xml:space="preserve"> </w:t>
      </w:r>
      <w:r w:rsidRPr="006825A4">
        <w:t xml:space="preserve">behavior; see Fig. SM8) for the choice stimulus across participants. Since </w:t>
      </w:r>
      <w:r>
        <w:t xml:space="preserve">the ‘gamble’ option was more rational than </w:t>
      </w:r>
      <w:r w:rsidRPr="006825A4">
        <w:t xml:space="preserve">the </w:t>
      </w:r>
      <w:r>
        <w:t>‘</w:t>
      </w:r>
      <w:r w:rsidRPr="006825A4">
        <w:t>keep</w:t>
      </w:r>
      <w:r>
        <w:t>’</w:t>
      </w:r>
      <w:r w:rsidRPr="006825A4">
        <w:t xml:space="preserve"> option in the majority of choices (see main text Fig. 2B)</w:t>
      </w:r>
      <w:r>
        <w:t>,</w:t>
      </w:r>
      <w:r w:rsidRPr="006825A4">
        <w:t xml:space="preserve"> this stronger neural activation for ‘gamble’ might again reflect relatively increased necessary effort for rational choice behavior (e.g.</w:t>
      </w:r>
      <w:r>
        <w:t>,</w:t>
      </w:r>
      <w:r w:rsidRPr="006825A4">
        <w:t xml:space="preserve"> to suppress loss</w:t>
      </w:r>
      <w:r>
        <w:t xml:space="preserve"> </w:t>
      </w:r>
      <w:r w:rsidRPr="006825A4">
        <w:t xml:space="preserve">aversion). </w:t>
      </w:r>
      <w:r w:rsidRPr="006825A4">
        <w:rPr>
          <w:rFonts w:eastAsia="Times New Roman" w:cs="Times New Roman"/>
          <w:color w:val="000000"/>
          <w:szCs w:val="24"/>
        </w:rPr>
        <w:t>Further support for this assumption comes from an fMRI study that used a very similar paradigm</w:t>
      </w:r>
      <w:r w:rsidRPr="006825A4">
        <w:rPr>
          <w:rFonts w:eastAsia="Times New Roman" w:cs="Times New Roman"/>
          <w:color w:val="000000"/>
          <w:szCs w:val="24"/>
        </w:rPr>
        <w:fldChar w:fldCharType="begin" w:fldLock="1"/>
      </w:r>
      <w:r w:rsidRPr="006825A4">
        <w:rPr>
          <w:rFonts w:eastAsia="Times New Roman" w:cs="Times New Roman"/>
          <w:color w:val="000000"/>
          <w:szCs w:val="24"/>
        </w:rPr>
        <w:instrText>ADDIN CSL_CITATION {"citationItems":[{"id":"ITEM-1","itemData":{"DOI":"10.1016/j.biopsych.2003.11.012","ISSN":"00063223","PMID":"15013828","abstract":"Background Choosing between actions associated with uncertain rewards and punishments is mediated by neural circuitry encompassing the orbitofrontal cortex, anterior cingulate cortex (ACC), and striatum; however, the precise conditions under which these different components are activated during decision-making cognition remain uncertain. Methods Fourteen healthy volunteers completed an event-based functional magnetic resonance imaging protocol to investigate blood-oxygenation-level-dependent (BOLD) responses during independently modeled phases of choice cognition. In the \"decision phase,\" participants decided which of two simultaneous visually presented gambles they wished to play for monetary reward. The gambles differed in their magnitude of gains, magnitude of losses, and the probabilities with which these outcomes were delivered. In the \"outcome phase,\" the result of each choice was indicated on the visual display. Results In the decision phase, choices involving large gains were associated with increased BOLD responses in the pregenual ACC, paracingulate, and right posterior orbitolateral cortex compared with choices involving small gains. In the outcome phase, good outcomes were associated with increased BOLD responses in the posterior orbitomedial cortex, subcallosal ACC, and ventral striatum compared with negative outcomes. There was only limited overlap between reward-related activity in ACC and orbitofrontal cortex during the decision and outcome phases. Conclusions Neural activity within the medial and lateral orbitofrontal cortex, pregenual ACC, and striatum mediate distinct representations of reward-related information that are deployed at different stages during a decision-making episode.","author":[{"dropping-particle":"","family":"Rogers","given":"Robert D.","non-dropping-particle":"","parse-names":false,"suffix":""},{"dropping-particle":"","family":"Ramnani","given":"Narender","non-dropping-particle":"","parse-names":false,"suffix":""},{"dropping-particle":"","family":"Mackay","given":"Clare","non-dropping-particle":"","parse-names":false,"suffix":""},{"dropping-particle":"","family":"Wilson","given":"James L.","non-dropping-particle":"","parse-names":false,"suffix":""},{"dropping-particle":"","family":"Jezzard","given":"Peter","non-dropping-particle":"","parse-names":false,"suffix":""},{"dropping-particle":"","family":"Carter","given":"Cameron S.","non-dropping-particle":"","parse-names":false,"suffix":""},{"dropping-particle":"","family":"Smith","given":"Stephen M.","non-dropping-particle":"","parse-names":false,"suffix":""}],"container-title":"Biological Psychiatry","id":"ITEM-1","issue":"6","issued":{"date-parts":[["2004"]]},"page":"594-602","title":"Distinct portions of anterior cingulate cortex and medial prefrontal cortex are activated by reward processing in separable phases of decision-making cognition","type":"article-journal","volume":"55"},"uris":["http://www.mendeley.com/documents/?uuid=be8d0431-7937-402d-bdd2-d4a5c3bed0e0"]}],"mendeley":{"formattedCitation":"&lt;sup&gt;13&lt;/sup&gt;","plainTextFormattedCitation":"13","previouslyFormattedCitation":"&lt;sup&gt;13&lt;/sup&gt;"},"properties":{"noteIndex":0},"schema":"https://github.com/citation-style-language/schema/raw/master/csl-citation.json"}</w:instrText>
      </w:r>
      <w:r w:rsidRPr="006825A4">
        <w:rPr>
          <w:rFonts w:eastAsia="Times New Roman" w:cs="Times New Roman"/>
          <w:color w:val="000000"/>
          <w:szCs w:val="24"/>
        </w:rPr>
        <w:fldChar w:fldCharType="separate"/>
      </w:r>
      <w:r w:rsidRPr="006825A4">
        <w:rPr>
          <w:rFonts w:eastAsia="Times New Roman" w:cs="Times New Roman"/>
          <w:noProof/>
          <w:color w:val="000000"/>
          <w:szCs w:val="24"/>
          <w:vertAlign w:val="superscript"/>
        </w:rPr>
        <w:t>13</w:t>
      </w:r>
      <w:r w:rsidRPr="006825A4">
        <w:rPr>
          <w:rFonts w:eastAsia="Times New Roman" w:cs="Times New Roman"/>
          <w:color w:val="000000"/>
          <w:szCs w:val="24"/>
        </w:rPr>
        <w:fldChar w:fldCharType="end"/>
      </w:r>
      <w:r w:rsidRPr="006825A4">
        <w:rPr>
          <w:rFonts w:eastAsia="Times New Roman" w:cs="Times New Roman"/>
          <w:color w:val="000000"/>
          <w:szCs w:val="24"/>
        </w:rPr>
        <w:t>. Just as our MEG</w:t>
      </w:r>
      <w:r>
        <w:rPr>
          <w:rFonts w:eastAsia="Times New Roman" w:cs="Times New Roman"/>
          <w:color w:val="000000"/>
          <w:szCs w:val="24"/>
        </w:rPr>
        <w:t xml:space="preserve"> </w:t>
      </w:r>
      <w:r w:rsidRPr="006825A4">
        <w:rPr>
          <w:rFonts w:eastAsia="Times New Roman" w:cs="Times New Roman"/>
          <w:color w:val="000000"/>
          <w:szCs w:val="24"/>
        </w:rPr>
        <w:t>cluster indicates, greater blood-oxygen levels were reported from Rogers and coworkers in the left hemisphere when the ‘gamble’ option was chosen in the decision phase. As for the above main effect of frame (Fig. SM3)</w:t>
      </w:r>
      <w:r>
        <w:rPr>
          <w:rFonts w:eastAsia="Times New Roman" w:cs="Times New Roman"/>
          <w:color w:val="000000"/>
          <w:szCs w:val="24"/>
        </w:rPr>
        <w:t>,</w:t>
      </w:r>
      <w:r w:rsidRPr="006825A4">
        <w:rPr>
          <w:rFonts w:eastAsia="Times New Roman" w:cs="Times New Roman"/>
          <w:color w:val="000000"/>
          <w:szCs w:val="24"/>
        </w:rPr>
        <w:t xml:space="preserve"> it remains to be resolved </w:t>
      </w:r>
      <w:r>
        <w:rPr>
          <w:rFonts w:eastAsia="Times New Roman" w:cs="Times New Roman"/>
          <w:color w:val="000000"/>
          <w:szCs w:val="24"/>
        </w:rPr>
        <w:t>whether</w:t>
      </w:r>
      <w:r w:rsidRPr="006825A4">
        <w:rPr>
          <w:rFonts w:eastAsia="Times New Roman" w:cs="Times New Roman"/>
          <w:color w:val="000000"/>
          <w:szCs w:val="24"/>
        </w:rPr>
        <w:t xml:space="preserve"> the chosen stimulation had sufficient impact to prove a modulation on decisions also in this earlier time interval or </w:t>
      </w:r>
      <w:r>
        <w:rPr>
          <w:rFonts w:eastAsia="Times New Roman" w:cs="Times New Roman"/>
          <w:color w:val="000000"/>
          <w:szCs w:val="24"/>
        </w:rPr>
        <w:t>whether</w:t>
      </w:r>
      <w:r w:rsidRPr="006825A4">
        <w:rPr>
          <w:rFonts w:eastAsia="Times New Roman" w:cs="Times New Roman"/>
          <w:color w:val="000000"/>
          <w:szCs w:val="24"/>
        </w:rPr>
        <w:t xml:space="preserve"> the vmPFC modulates only later stages of processing in this dorsal region.</w:t>
      </w:r>
    </w:p>
    <w:p w14:paraId="730831A3" w14:textId="4604A144" w:rsidR="0037513A" w:rsidRPr="0037513A" w:rsidRDefault="0037513A" w:rsidP="002B35B9">
      <w:pPr>
        <w:spacing w:before="240" w:after="240"/>
        <w:jc w:val="both"/>
        <w:rPr>
          <w:rFonts w:eastAsia="Times New Roman" w:cs="Times New Roman"/>
          <w:color w:val="000000"/>
          <w:szCs w:val="24"/>
        </w:rPr>
      </w:pPr>
    </w:p>
    <w:p w14:paraId="0C42C5C1" w14:textId="3C92D3D4" w:rsidR="007F31AB" w:rsidRPr="00D25EB7" w:rsidRDefault="0043291F" w:rsidP="007F31AB">
      <w:pPr>
        <w:spacing w:after="0" w:line="240" w:lineRule="auto"/>
        <w:jc w:val="both"/>
        <w:rPr>
          <w:rFonts w:eastAsia="Times New Roman" w:cs="Times New Roman"/>
          <w:color w:val="000000"/>
          <w:szCs w:val="24"/>
        </w:rPr>
      </w:pPr>
      <w:r>
        <w:rPr>
          <w:noProof/>
        </w:rPr>
        <w:drawing>
          <wp:inline distT="0" distB="0" distL="0" distR="0" wp14:anchorId="2AB3B9B1" wp14:editId="3D3BD3E5">
            <wp:extent cx="5972810" cy="6544310"/>
            <wp:effectExtent l="0" t="0" r="889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2810" cy="6544310"/>
                    </a:xfrm>
                    <a:prstGeom prst="rect">
                      <a:avLst/>
                    </a:prstGeom>
                    <a:noFill/>
                    <a:ln>
                      <a:noFill/>
                    </a:ln>
                  </pic:spPr>
                </pic:pic>
              </a:graphicData>
            </a:graphic>
          </wp:inline>
        </w:drawing>
      </w:r>
      <w:r w:rsidR="00B53407" w:rsidRPr="00FB1495">
        <w:rPr>
          <w:i/>
          <w:iCs/>
          <w:color w:val="000000"/>
          <w:sz w:val="20"/>
          <w:szCs w:val="20"/>
        </w:rPr>
        <w:t>Figure SM</w:t>
      </w:r>
      <w:r w:rsidR="00E82D23">
        <w:rPr>
          <w:i/>
          <w:iCs/>
          <w:color w:val="000000"/>
          <w:sz w:val="20"/>
          <w:szCs w:val="20"/>
        </w:rPr>
        <w:t>5</w:t>
      </w:r>
      <w:r w:rsidR="00B53407" w:rsidRPr="00FB1495">
        <w:rPr>
          <w:i/>
          <w:iCs/>
          <w:color w:val="000000"/>
          <w:sz w:val="20"/>
          <w:szCs w:val="20"/>
        </w:rPr>
        <w:t>.</w:t>
      </w:r>
      <w:r w:rsidR="00B53407" w:rsidRPr="00B53407">
        <w:rPr>
          <w:i/>
          <w:iCs/>
          <w:color w:val="000000"/>
          <w:sz w:val="20"/>
          <w:szCs w:val="20"/>
        </w:rPr>
        <w:t xml:space="preserve"> </w:t>
      </w:r>
      <w:r w:rsidR="00B53407" w:rsidRPr="00B53407">
        <w:rPr>
          <w:color w:val="000000"/>
          <w:sz w:val="20"/>
          <w:szCs w:val="20"/>
        </w:rPr>
        <w:t>Significant spatio-temporal cluster</w:t>
      </w:r>
      <w:r w:rsidR="00F1226E">
        <w:rPr>
          <w:color w:val="000000"/>
          <w:sz w:val="20"/>
          <w:szCs w:val="20"/>
        </w:rPr>
        <w:t>s</w:t>
      </w:r>
      <w:r w:rsidR="00B53407" w:rsidRPr="00B53407">
        <w:rPr>
          <w:color w:val="000000"/>
          <w:sz w:val="20"/>
          <w:szCs w:val="20"/>
        </w:rPr>
        <w:t xml:space="preserve"> featuring a main effect for </w:t>
      </w:r>
      <w:r w:rsidR="00B53407">
        <w:rPr>
          <w:color w:val="000000"/>
          <w:sz w:val="20"/>
          <w:szCs w:val="20"/>
        </w:rPr>
        <w:t>decision</w:t>
      </w:r>
      <w:r w:rsidR="00B53407" w:rsidRPr="00B53407">
        <w:rPr>
          <w:color w:val="000000"/>
          <w:sz w:val="20"/>
          <w:szCs w:val="20"/>
        </w:rPr>
        <w:t xml:space="preserve"> revealed by a t-</w:t>
      </w:r>
      <w:r w:rsidR="005C46F7">
        <w:rPr>
          <w:color w:val="000000"/>
          <w:sz w:val="20"/>
          <w:szCs w:val="20"/>
        </w:rPr>
        <w:t>t</w:t>
      </w:r>
      <w:r w:rsidR="00B53407" w:rsidRPr="00B53407">
        <w:rPr>
          <w:color w:val="000000"/>
          <w:sz w:val="20"/>
          <w:szCs w:val="20"/>
        </w:rPr>
        <w:t xml:space="preserve">est. </w:t>
      </w:r>
      <w:r w:rsidR="006F346B">
        <w:rPr>
          <w:b/>
          <w:color w:val="000000"/>
          <w:sz w:val="20"/>
          <w:szCs w:val="20"/>
        </w:rPr>
        <w:t xml:space="preserve">A. </w:t>
      </w:r>
      <w:r w:rsidR="006F346B">
        <w:rPr>
          <w:color w:val="000000"/>
          <w:sz w:val="20"/>
          <w:szCs w:val="20"/>
        </w:rPr>
        <w:t>Left and medial p</w:t>
      </w:r>
      <w:r w:rsidR="00B53407" w:rsidRPr="00B53407">
        <w:rPr>
          <w:color w:val="000000"/>
          <w:sz w:val="20"/>
          <w:szCs w:val="20"/>
        </w:rPr>
        <w:t xml:space="preserve">refrontal brain regions with greater activations </w:t>
      </w:r>
      <w:r w:rsidR="007238C3">
        <w:rPr>
          <w:color w:val="000000"/>
          <w:sz w:val="20"/>
          <w:szCs w:val="20"/>
        </w:rPr>
        <w:t>when</w:t>
      </w:r>
      <w:r w:rsidR="006F346B">
        <w:rPr>
          <w:color w:val="000000"/>
          <w:sz w:val="20"/>
          <w:szCs w:val="20"/>
        </w:rPr>
        <w:t xml:space="preserve"> </w:t>
      </w:r>
      <w:r w:rsidR="00D024B8">
        <w:rPr>
          <w:color w:val="000000"/>
          <w:sz w:val="20"/>
          <w:szCs w:val="20"/>
        </w:rPr>
        <w:t>the ‘</w:t>
      </w:r>
      <w:r w:rsidR="006F346B">
        <w:rPr>
          <w:color w:val="000000"/>
          <w:sz w:val="20"/>
          <w:szCs w:val="20"/>
        </w:rPr>
        <w:t>gambl</w:t>
      </w:r>
      <w:r w:rsidR="00C33685">
        <w:rPr>
          <w:color w:val="000000"/>
          <w:sz w:val="20"/>
          <w:szCs w:val="20"/>
        </w:rPr>
        <w:t>e</w:t>
      </w:r>
      <w:r w:rsidR="00D024B8">
        <w:rPr>
          <w:color w:val="000000"/>
          <w:sz w:val="20"/>
          <w:szCs w:val="20"/>
        </w:rPr>
        <w:t>’ option</w:t>
      </w:r>
      <w:r w:rsidR="006F346B">
        <w:rPr>
          <w:color w:val="000000"/>
          <w:sz w:val="20"/>
          <w:szCs w:val="20"/>
        </w:rPr>
        <w:t xml:space="preserve"> was chosen</w:t>
      </w:r>
      <w:r w:rsidR="00B53407" w:rsidRPr="00B53407">
        <w:rPr>
          <w:color w:val="000000"/>
          <w:sz w:val="20"/>
          <w:szCs w:val="20"/>
        </w:rPr>
        <w:t>.</w:t>
      </w:r>
      <w:r w:rsidR="006F346B">
        <w:rPr>
          <w:color w:val="000000"/>
          <w:sz w:val="20"/>
          <w:szCs w:val="20"/>
        </w:rPr>
        <w:t xml:space="preserve"> </w:t>
      </w:r>
      <w:r w:rsidR="006F346B">
        <w:rPr>
          <w:b/>
          <w:color w:val="000000"/>
          <w:sz w:val="20"/>
          <w:szCs w:val="20"/>
        </w:rPr>
        <w:t xml:space="preserve">B. </w:t>
      </w:r>
      <w:r w:rsidR="006F346B">
        <w:rPr>
          <w:color w:val="000000"/>
          <w:sz w:val="20"/>
          <w:szCs w:val="20"/>
        </w:rPr>
        <w:t>Medial p</w:t>
      </w:r>
      <w:r w:rsidR="006F346B" w:rsidRPr="00B53407">
        <w:rPr>
          <w:color w:val="000000"/>
          <w:sz w:val="20"/>
          <w:szCs w:val="20"/>
        </w:rPr>
        <w:t xml:space="preserve">refrontal brain regions with greater activations </w:t>
      </w:r>
      <w:r w:rsidR="007238C3">
        <w:rPr>
          <w:color w:val="000000"/>
          <w:sz w:val="20"/>
          <w:szCs w:val="20"/>
        </w:rPr>
        <w:t>when</w:t>
      </w:r>
      <w:r w:rsidR="006F346B">
        <w:rPr>
          <w:color w:val="000000"/>
          <w:sz w:val="20"/>
          <w:szCs w:val="20"/>
        </w:rPr>
        <w:t xml:space="preserve"> </w:t>
      </w:r>
      <w:r w:rsidR="00D024B8">
        <w:rPr>
          <w:color w:val="000000"/>
          <w:sz w:val="20"/>
          <w:szCs w:val="20"/>
        </w:rPr>
        <w:t>the ‘</w:t>
      </w:r>
      <w:r w:rsidR="006F346B">
        <w:rPr>
          <w:color w:val="000000"/>
          <w:sz w:val="20"/>
          <w:szCs w:val="20"/>
        </w:rPr>
        <w:t>keep</w:t>
      </w:r>
      <w:r w:rsidR="00D024B8">
        <w:rPr>
          <w:color w:val="000000"/>
          <w:sz w:val="20"/>
          <w:szCs w:val="20"/>
        </w:rPr>
        <w:t>’ option</w:t>
      </w:r>
      <w:r w:rsidR="006F346B">
        <w:rPr>
          <w:color w:val="000000"/>
          <w:sz w:val="20"/>
          <w:szCs w:val="20"/>
        </w:rPr>
        <w:t xml:space="preserve"> was chosen</w:t>
      </w:r>
      <w:r w:rsidR="006F346B" w:rsidRPr="00B53407">
        <w:rPr>
          <w:color w:val="000000"/>
          <w:sz w:val="20"/>
          <w:szCs w:val="20"/>
        </w:rPr>
        <w:t>.</w:t>
      </w:r>
      <w:r w:rsidR="006F346B">
        <w:rPr>
          <w:color w:val="000000"/>
          <w:sz w:val="20"/>
          <w:szCs w:val="20"/>
        </w:rPr>
        <w:t xml:space="preserve"> </w:t>
      </w:r>
      <w:bookmarkStart w:id="2" w:name="_Hlk90902411"/>
      <w:r w:rsidR="006F346B" w:rsidRPr="006F346B">
        <w:rPr>
          <w:color w:val="000000"/>
          <w:sz w:val="20"/>
          <w:szCs w:val="20"/>
        </w:rPr>
        <w:t>Topographies of effects observed in L2-MNE were projected on standard 3D brain models for visualization</w:t>
      </w:r>
      <w:bookmarkEnd w:id="2"/>
      <w:r w:rsidR="007F31AB" w:rsidRPr="007F31AB">
        <w:rPr>
          <w:color w:val="000000"/>
          <w:sz w:val="20"/>
          <w:szCs w:val="20"/>
        </w:rPr>
        <w:t xml:space="preserve"> </w:t>
      </w:r>
      <w:r w:rsidR="007F31AB">
        <w:rPr>
          <w:color w:val="000000"/>
          <w:sz w:val="20"/>
          <w:szCs w:val="20"/>
        </w:rPr>
        <w:t>Boxplots indicate means (black dot), medians (grey line) and lower and upper quartiles</w:t>
      </w:r>
      <w:r w:rsidR="007F31AB" w:rsidRPr="007F1E70">
        <w:rPr>
          <w:color w:val="000000"/>
          <w:sz w:val="20"/>
          <w:szCs w:val="20"/>
        </w:rPr>
        <w:t xml:space="preserve">. </w:t>
      </w:r>
      <w:r w:rsidR="007F31AB">
        <w:rPr>
          <w:rFonts w:cs="Times New Roman"/>
          <w:color w:val="000000"/>
          <w:sz w:val="20"/>
          <w:szCs w:val="20"/>
        </w:rPr>
        <w:t>Asterisks indicate significance levels: + &lt; 0.1, * &lt; 0.05, ** &lt; 0.01, *** &lt; 0.001</w:t>
      </w:r>
      <w:r w:rsidR="007F31AB" w:rsidRPr="009403F0">
        <w:rPr>
          <w:rFonts w:cs="Times New Roman"/>
          <w:color w:val="000000"/>
          <w:sz w:val="20"/>
          <w:szCs w:val="20"/>
        </w:rPr>
        <w:t>.</w:t>
      </w:r>
      <w:r w:rsidR="007F31AB">
        <w:rPr>
          <w:rFonts w:cs="Times New Roman"/>
          <w:color w:val="000000"/>
          <w:sz w:val="20"/>
          <w:szCs w:val="20"/>
        </w:rPr>
        <w:t xml:space="preserve"> </w:t>
      </w:r>
    </w:p>
    <w:p w14:paraId="76BD4680" w14:textId="383960C9" w:rsidR="00B53407" w:rsidRPr="00B53407" w:rsidRDefault="00B53407" w:rsidP="007F31AB">
      <w:pPr>
        <w:pStyle w:val="StandardWeb"/>
        <w:spacing w:before="240" w:beforeAutospacing="0" w:after="0" w:afterAutospacing="0"/>
        <w:rPr>
          <w:color w:val="000000"/>
        </w:rPr>
      </w:pPr>
    </w:p>
    <w:p w14:paraId="67049C97" w14:textId="6A2A7C54"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 xml:space="preserve">A second cluster occurred in a subsequent time interval at the area of stimulation at ventromedial prefrontal regions (370-460ms; </w:t>
      </w:r>
      <w:r w:rsidRPr="006825A4">
        <w:rPr>
          <w:rFonts w:eastAsia="Times New Roman" w:cs="Times New Roman"/>
          <w:i/>
          <w:color w:val="000000"/>
          <w:szCs w:val="24"/>
        </w:rPr>
        <w:t>p</w:t>
      </w:r>
      <w:r w:rsidRPr="006825A4">
        <w:rPr>
          <w:rFonts w:eastAsia="Times New Roman" w:cs="Times New Roman"/>
          <w:color w:val="000000"/>
          <w:szCs w:val="24"/>
        </w:rPr>
        <w:t>-cluster = 0.005; Fig. SM5B)</w:t>
      </w:r>
      <w:r>
        <w:rPr>
          <w:rFonts w:eastAsia="Times New Roman" w:cs="Times New Roman"/>
          <w:color w:val="000000"/>
          <w:szCs w:val="24"/>
        </w:rPr>
        <w:t>,</w:t>
      </w:r>
      <w:r w:rsidRPr="006825A4">
        <w:rPr>
          <w:rFonts w:eastAsia="Times New Roman" w:cs="Times New Roman"/>
          <w:color w:val="000000"/>
          <w:szCs w:val="24"/>
        </w:rPr>
        <w:t xml:space="preserve"> showing an opposite pattern with stronger activation for a later ‘keep’ compared to a later ‘gamble’ decision (keep &gt; gamble; </w:t>
      </w:r>
      <w:proofErr w:type="gramStart"/>
      <w:r w:rsidRPr="006825A4">
        <w:rPr>
          <w:rFonts w:eastAsia="Times New Roman" w:cs="Times New Roman"/>
          <w:i/>
          <w:color w:val="000000"/>
          <w:szCs w:val="24"/>
        </w:rPr>
        <w:t>t</w:t>
      </w:r>
      <w:r w:rsidRPr="006825A4">
        <w:rPr>
          <w:rFonts w:eastAsia="Times New Roman" w:cs="Times New Roman"/>
          <w:color w:val="000000"/>
          <w:szCs w:val="24"/>
        </w:rPr>
        <w:t>(</w:t>
      </w:r>
      <w:proofErr w:type="gramEnd"/>
      <w:r w:rsidRPr="006825A4">
        <w:rPr>
          <w:rFonts w:eastAsia="Times New Roman" w:cs="Times New Roman"/>
          <w:color w:val="000000"/>
          <w:szCs w:val="24"/>
        </w:rPr>
        <w:t xml:space="preserve">29) = 3.03, </w:t>
      </w:r>
      <w:r w:rsidRPr="006825A4">
        <w:rPr>
          <w:rFonts w:eastAsia="Times New Roman" w:cs="Times New Roman"/>
          <w:i/>
          <w:color w:val="000000"/>
          <w:szCs w:val="24"/>
        </w:rPr>
        <w:t>p</w:t>
      </w:r>
      <w:r w:rsidRPr="006825A4">
        <w:rPr>
          <w:rFonts w:eastAsia="Times New Roman" w:cs="Times New Roman"/>
          <w:color w:val="000000"/>
          <w:szCs w:val="24"/>
        </w:rPr>
        <w:t xml:space="preserve"> = 0.005). As this region typically shows enhanced activity for positive</w:t>
      </w:r>
      <w:r>
        <w:rPr>
          <w:rFonts w:eastAsia="Times New Roman" w:cs="Times New Roman"/>
          <w:color w:val="000000"/>
          <w:szCs w:val="24"/>
        </w:rPr>
        <w:t>ly</w:t>
      </w:r>
      <w:r w:rsidRPr="006825A4">
        <w:rPr>
          <w:rFonts w:eastAsia="Times New Roman" w:cs="Times New Roman"/>
          <w:color w:val="000000"/>
          <w:szCs w:val="24"/>
        </w:rPr>
        <w:t xml:space="preserve"> evaluated stimuli</w:t>
      </w:r>
      <w:r w:rsidRPr="006825A4">
        <w:fldChar w:fldCharType="begin" w:fldLock="1"/>
      </w:r>
      <w:r w:rsidRPr="006825A4">
        <w:instrText>ADDIN CSL_CITATION {"citationItems":[{"id":"ITEM-1","itemData":{"DOI":"10.1016/j.neubiorev.2013.02.002","ISSN":"01497634","PMID":"23415703","abstract":"One fundamental question concerning brain reward mechanisms is to determine how reward-related activity is influenced by the nature of rewards. Here, we review the neuroimaging literature and explicitly assess to what extent the representations of primary and secondary rewards overlap in the human brain. To achieve this goal, we performed an activation likelihood estimation (ALE) meta-analysis of 87 studies (1452 subjects) comparing the brain responses to monetary, erotic and food reward outcomes. Those three rewards robustly engaged a common brain network including the ventromedial prefrontal cortex, ventral striatum, amygdala, anterior insula and mediodorsal thalamus, although with some variations in the intensity and location of peak activity. Money-specific responses were further observed in the most anterior portion of the orbitofrontal cortex, supporting the idea that abstract secondary rewards are represented in evolutionary more recent brain regions. In contrast, food and erotic (i.e. primary) rewards were more strongly represented in the anterior insula, while erotic stimuli elicited particularly robust responses in the amygdala. Together, these results indicate that the computation of experienced reward value does not only recruit a core \" reward system\" but also reward type-dependent brain structures. © 2013 Elsevier Ltd.","author":[{"dropping-particle":"","family":"Sescousse","given":"Guillaume","non-dropping-particle":"","parse-names":false,"suffix":""},{"dropping-particle":"","family":"Caldú","given":"Xavier","non-dropping-particle":"","parse-names":false,"suffix":""},{"dropping-particle":"","family":"Segura","given":"Bàrbara","non-dropping-particle":"","parse-names":false,"suffix":""},{"dropping-particle":"","family":"Dreher","given":"Jean Claude","non-dropping-particle":"","parse-names":false,"suffix":""}],"container-title":"Neuroscience and Biobehavioral Reviews","id":"ITEM-1","issue":"4","issued":{"date-parts":[["2013"]]},"page":"681-696","publisher":"Elsevier Ltd","title":"Processing of primary and secondary rewards: A quantitative meta-analysis and review of human functional neuroimaging studies","type":"article-journal","volume":"37"},"uris":["http://www.mendeley.com/documents/?uuid=9ee901c6-0c81-4462-b538-a0f612773a22"]}],"mendeley":{"formattedCitation":"&lt;sup&gt;14&lt;/sup&gt;","plainTextFormattedCitation":"14","previouslyFormattedCitation":"&lt;sup&gt;14&lt;/sup&gt;"},"properties":{"noteIndex":0},"schema":"https://github.com/citation-style-language/schema/raw/master/csl-citation.json"}</w:instrText>
      </w:r>
      <w:r w:rsidRPr="006825A4">
        <w:fldChar w:fldCharType="separate"/>
      </w:r>
      <w:r w:rsidRPr="006825A4">
        <w:rPr>
          <w:noProof/>
          <w:vertAlign w:val="superscript"/>
        </w:rPr>
        <w:t>14</w:t>
      </w:r>
      <w:r w:rsidRPr="006825A4">
        <w:fldChar w:fldCharType="end"/>
      </w:r>
      <w:r w:rsidRPr="006825A4">
        <w:rPr>
          <w:rFonts w:eastAsia="Times New Roman" w:cs="Times New Roman"/>
          <w:color w:val="000000"/>
          <w:szCs w:val="24"/>
        </w:rPr>
        <w:t xml:space="preserve"> and reduced activity for negative</w:t>
      </w:r>
      <w:r>
        <w:rPr>
          <w:rFonts w:eastAsia="Times New Roman" w:cs="Times New Roman"/>
          <w:color w:val="000000"/>
          <w:szCs w:val="24"/>
        </w:rPr>
        <w:t>ly</w:t>
      </w:r>
      <w:r w:rsidRPr="006825A4">
        <w:rPr>
          <w:rFonts w:eastAsia="Times New Roman" w:cs="Times New Roman"/>
          <w:color w:val="000000"/>
          <w:szCs w:val="24"/>
        </w:rPr>
        <w:t xml:space="preserve"> </w:t>
      </w:r>
      <w:r>
        <w:rPr>
          <w:rFonts w:eastAsia="Times New Roman" w:cs="Times New Roman"/>
          <w:color w:val="000000"/>
          <w:szCs w:val="24"/>
        </w:rPr>
        <w:t xml:space="preserve">evaluated </w:t>
      </w:r>
      <w:r w:rsidRPr="006825A4">
        <w:rPr>
          <w:rFonts w:eastAsia="Times New Roman" w:cs="Times New Roman"/>
          <w:color w:val="000000"/>
          <w:szCs w:val="24"/>
        </w:rPr>
        <w:t>ones</w:t>
      </w:r>
      <w:r w:rsidRPr="006825A4">
        <w:fldChar w:fldCharType="begin" w:fldLock="1"/>
      </w:r>
      <w:r w:rsidRPr="006825A4">
        <w:instrText>ADDIN CSL_CITATION {"citationItems":[{"id":"ITEM-1","itemData":{"DOI":"10.1093/cercor/bhv001","ISSN":"14602199","PMID":"25631056","abstract":"The ability to experience pleasant or unpleasant feelings or to represent objects as \"positive\" or \"negative\" is known as representing hedonic \"valence.\" Although scientists overwhelmingly agree that valence is a basic psychological phenomenon, debate continues about how to best conceptualize it scientifically. We used a meta-analysis of 397 functional magnetic resonance imaging (fMRI) and positron emission tomography studies (containing 914 experimental contrasts and 6827 participants) to test 3 competing hypotheses about the brain basis of valence: the bipolarity hypothesis that positive and negative affect are supported by a brain system that monotonically increases and/or decreases along the valence dimension, the bivalent hypothesis that positive and negative affect are supported by independent brain systems, and the affective workspace hypothesis that positive and negative affect are supported by a flexible set of valence-general regions. We found little evidence for the bipolar or bivalent hypotheses. Findings instead supported the hypothesis that, at the level of brain activity measurable by fMRI, valence is flexibly implemented across instances by a set of valence-general limbic and paralimbic brain regions.","author":[{"dropping-particle":"","family":"Lindquist","given":"Kristen A.","non-dropping-particle":"","parse-names":false,"suffix":""},{"dropping-particle":"","family":"Satpute","given":"Ajay B.","non-dropping-particle":"","parse-names":false,"suffix":""},{"dropping-particle":"","family":"Wager","given":"Tor D.","non-dropping-particle":"","parse-names":false,"suffix":""},{"dropping-particle":"","family":"Weber","given":"Jochen","non-dropping-particle":"","parse-names":false,"suffix":""},{"dropping-particle":"","family":"Barrett","given":"Lisa Feldman","non-dropping-particle":"","parse-names":false,"suffix":""}],"container-title":"Cerebral Cortex","id":"ITEM-1","issue":"5","issued":{"date-parts":[["2016"]]},"page":"1910-1922","title":"The Brain Basis of Positive and Negative Affect: Evidence from a Meta-Analysis of the Human Neuroimaging Literature","type":"article-journal","volume":"26"},"uris":["http://www.mendeley.com/documents/?uuid=bf7f9713-c623-4664-b33c-ef602577e334"]}],"mendeley":{"formattedCitation":"&lt;sup&gt;15&lt;/sup&gt;","plainTextFormattedCitation":"15","previouslyFormattedCitation":"&lt;sup&gt;15&lt;/sup&gt;"},"properties":{"noteIndex":0},"schema":"https://github.com/citation-style-language/schema/raw/master/csl-citation.json"}</w:instrText>
      </w:r>
      <w:r w:rsidRPr="006825A4">
        <w:fldChar w:fldCharType="separate"/>
      </w:r>
      <w:r w:rsidRPr="006825A4">
        <w:rPr>
          <w:noProof/>
          <w:vertAlign w:val="superscript"/>
        </w:rPr>
        <w:t>15</w:t>
      </w:r>
      <w:r w:rsidRPr="006825A4">
        <w:fldChar w:fldCharType="end"/>
      </w:r>
      <w:r w:rsidRPr="006825A4">
        <w:rPr>
          <w:rFonts w:eastAsia="Times New Roman" w:cs="Times New Roman"/>
          <w:color w:val="000000"/>
          <w:szCs w:val="24"/>
        </w:rPr>
        <w:t xml:space="preserve">, enhanced neural activity in this areas should have been expected in response to stimuli </w:t>
      </w:r>
      <w:r>
        <w:rPr>
          <w:rFonts w:eastAsia="Times New Roman" w:cs="Times New Roman"/>
          <w:color w:val="000000"/>
          <w:szCs w:val="24"/>
        </w:rPr>
        <w:t>that</w:t>
      </w:r>
      <w:r w:rsidRPr="006825A4">
        <w:rPr>
          <w:rFonts w:eastAsia="Times New Roman" w:cs="Times New Roman"/>
          <w:color w:val="000000"/>
          <w:szCs w:val="24"/>
        </w:rPr>
        <w:t xml:space="preserve"> were evaluated pleasant enough to trigger a ‘keep’ decision, while relatively reduced activity in this region (more negative evaluation) </w:t>
      </w:r>
      <w:r>
        <w:rPr>
          <w:rFonts w:eastAsia="Times New Roman" w:cs="Times New Roman"/>
          <w:color w:val="000000"/>
          <w:szCs w:val="24"/>
        </w:rPr>
        <w:t xml:space="preserve">should </w:t>
      </w:r>
      <w:r w:rsidRPr="006825A4">
        <w:rPr>
          <w:rFonts w:eastAsia="Times New Roman" w:cs="Times New Roman"/>
          <w:color w:val="000000"/>
          <w:szCs w:val="24"/>
        </w:rPr>
        <w:t>have preferentially triggered to the alternative ‘gamble’ option. It should be noted that this effect of decision, although occurring at the target region of stimulation, was not modulated by the stimulation. Based on our hypothesis that vmPFC-tDCS should modulate valence biases, an interaction with modulation could have been expected in the vmPFC region. This might be consequent upon the rather strong main effect of stimulation in this region (see Fig. SM4)</w:t>
      </w:r>
      <w:r>
        <w:rPr>
          <w:rFonts w:eastAsia="Times New Roman" w:cs="Times New Roman"/>
          <w:color w:val="000000"/>
          <w:szCs w:val="24"/>
        </w:rPr>
        <w:t>,</w:t>
      </w:r>
      <w:r w:rsidRPr="006825A4">
        <w:rPr>
          <w:rFonts w:eastAsia="Times New Roman" w:cs="Times New Roman"/>
          <w:color w:val="000000"/>
          <w:szCs w:val="24"/>
        </w:rPr>
        <w:t xml:space="preserve"> which might have covered smaller interaction effects. However, it also matches with previous studies </w:t>
      </w:r>
      <w:r>
        <w:rPr>
          <w:rFonts w:eastAsia="Times New Roman" w:cs="Times New Roman"/>
          <w:color w:val="000000"/>
          <w:szCs w:val="24"/>
        </w:rPr>
        <w:t>in</w:t>
      </w:r>
      <w:r w:rsidRPr="006825A4">
        <w:rPr>
          <w:rFonts w:eastAsia="Times New Roman" w:cs="Times New Roman"/>
          <w:color w:val="000000"/>
          <w:szCs w:val="24"/>
        </w:rPr>
        <w:t xml:space="preserve"> our lab, in which  interactions with the factor stimulation occurred in remote areas but not in the vmPFC target area of stimulation</w:t>
      </w:r>
      <w:r w:rsidRPr="006825A4">
        <w:rPr>
          <w:rFonts w:eastAsia="Times New Roman" w:cs="Times New Roman"/>
          <w:color w:val="000000"/>
          <w:szCs w:val="24"/>
        </w:rPr>
        <w:fldChar w:fldCharType="begin" w:fldLock="1"/>
      </w:r>
      <w:r w:rsidRPr="006825A4">
        <w:rPr>
          <w:rFonts w:eastAsia="Times New Roman" w:cs="Times New Roman"/>
          <w:color w:val="000000"/>
          <w:szCs w:val="24"/>
        </w:rPr>
        <w:instrText>ADDIN CSL_CITATION {"citationItems":[{"id":"ITEM-1","itemData":{"DOI":"10.1016/j.neuroimage.2018.03.067","ISSN":"10959572","PMID":"29605579","abstract":"The ventromedial prefrontal cortex (vmPFC) is associated with emotional states that can be characterized as positive affect. Moreover, a variety of psychiatric disorders that are associated with disturbed reactions toward reward- or safety-signaling stimuli reveal functional or structural anomalies within this area. Thus, neuromodulation of this region via transcranial direct current stimulation (tDCS) offers an attractive opportunity to noninvasively influence pleasant emotional and reward processing. Recent experiments revealed hemodynamic and electrophysiological evidence for valence specific modulations of emotional scene processing after excitatory and inhibitory tDCS of the vmPFC. Here, we identified that tDCS modulation of vmPFC during emotional face processing results in effects convergent with scene processing, in that excitatory tDCS increased neural reactivity during happy compared to fearful face perception, whereas inhibitory stimulation led to a converse effect. In addition, behavioral data (affect identification of ambiguous expressive faces) revealed a bias toward preferential processing of happy compared to fearful faces after excitatory compared to after inhibitory stimulation. These results further support the vmPFC as an appropriate target for noninvasive neuromodulation of an appetitive processing network in patients suffering from disturbed cognition of reward- and safety-signaling stimuli. It should however be noted that electrophysiological pre-tDCS differences at earlier time intervals of emotional face and scene processing appeared amplified by tDCS, which remains to be investigated.","author":[{"dropping-particle":"","family":"Winker","given":"Constantin","non-dropping-particle":"","parse-names":false,"suffix":""},{"dropping-particle":"","family":"Rehbein","given":"Maimu Alissa","non-dropping-particle":"","parse-names":false,"suffix":""},{"dropping-particle":"","family":"Sabatinelli","given":"Dean","non-dropping-particle":"","parse-names":false,"suffix":""},{"dropping-particle":"","family":"Dohn","given":"Mira","non-dropping-particle":"","parse-names":false,"suffix":""},{"dropping-particle":"","family":"Maitzen","given":"Julius","non-dropping-particle":"","parse-names":false,"suffix":""},{"dropping-particle":"","family":"Wolters","given":"Carsten H.","non-dropping-particle":"","parse-names":false,"suffix":""},{"dropping-particle":"","family":"Arolt","given":"Volker","non-dropping-particle":"","parse-names":false,"suffix":""},{"dropping-particle":"","family":"Junghofer","given":"Markus","non-dropping-particle":"","parse-names":false,"suffix":""},{"dropping-particle":"","family":"Junghöfer","given":"Markus","non-dropping-particle":"","parse-names":false,"suffix":""}],"container-title":"NeuroImage","id":"ITEM-1","issued":{"date-parts":[["2018","7"]]},"page":"388-401","publisher":"Elsevier Inc.","title":"Noninvasive stimulation of the ventromedial prefrontal cortex modulates emotional face processing","type":"article-journal","volume":"175"},"uris":["http://www.mendeley.com/documents/?uuid=ff9c4ec6-7c96-40ba-89f1-bf75142fe31c"]},{"id":"ITEM-2","itemData":{"DOI":"10.1093/cercor/bhx073","ISBN":"1460-2199 (Electronic) 1047-3211 (Linking)","ISSN":"14602199","PMID":"28369363","abstract":"Depressive patients typically show biased attention towards unpleasant and away from pleasant emotional material. Imaging studies suggest that dysfunctions in a distributed neural network, including the ventromedial prefrontal cortex (vmPFC), are associated with this processing bias. Accordingly, changes in vmPFC activation should mediate changes in processing of emotional stimuli. Here, we investigated the effect of inhibitory and excitatory transcranial direct current stimulation (tDCS) of the vmPFC on emotional scene processing in two within-subject experiments using functional magnetic resonance imaging (fMRI) and magnetoencephalography (MEG). Both studies showed that excitatory relative to inhibitory tDCS amplifies processing of pleasant compared to unpleasant scenes in healthy participants. This modulatory effect occurred in a distributed network including sensory and prefrontal cortex regions and was visible during very early to late processing stages. Findings are discussed with regard to neurophysiological models of emotional processing. The convergence of stimulation effects across independent groups of healthy participants and complementary neuroimaging methods (fMRI, MEG) provides a basis for further investigation of a potentially therapeutic use of this novel stimulation approach in patients with depression or other affective disorders.","author":[{"dropping-particle":"","family":"Junghofer","given":"Markus","non-dropping-particle":"","parse-names":false,"suffix":""},{"dropping-particle":"","family":"Winker","given":"Constantin","non-dropping-particle":"","parse-names":false,"suffix":""},{"dropping-particle":"","family":"Rehbein","given":"Maimu A.","non-dropping-particle":"","parse-names":false,"suffix":""},{"dropping-particle":"","family":"Sabatinelli","given":"Dean","non-dropping-particle":"","parse-names":false,"suffix":""}],"container-title":"Cerebral Cortex","id":"ITEM-2","issue":"6","issued":{"date-parts":[["2017","6"]]},"page":"3449-3456","publisher":"Thieme, New York, NY, USA","title":"Noninvasive Stimulation of the Ventromedial Prefrontal Cortex Enhances Pleasant Scene Processing","type":"article-journal","volume":"27"},"uris":["http://www.mendeley.com/documents/?uuid=8788771e-0d71-4318-bda3-01ea058321f7"]},{"id":"ITEM-3","itemData":{"DOI":"10.3389/fnbeh.2019.00083","ISSN":"16625153","abstract":"The ventromedial prefrontal cortex (vmPFC) is known to be specifically involved in the processing of stimuli with pleasant, rewarding meaning to the observer. By the use of non-invasive transcranial direct current stimulation (tDCS), it was previously possible to show evidence for this valence specificity and to modulate the impact of the vmPFC on emotional network processing. Prior results showed increased neural activation during pleasant relative to unpleasant stimulus processing after excitatory compared to inhibitory vmPFC-tDCS. As dysfunctional vmPFC activation patterns are associated with major depressive disorder (MDD), tDCS of this region could render an attractive application in future therapy. Here, we investigated vmPFC-tDCS effects on sad compared to happy face processing, as sad faces are often used in the study of mood disorders. After counterbalanced inhibitory or excitatory tDCS, respectively, healthy participants viewed happy and sad faces during magnetoencephalography (MEG) recording. In addition, tDCS effects on an interpretational bias of ambiguous happy-sad face morphs and an attentional bias of a dot-probe task with happy and sad faces as emotional primes were investigated. Finally, in conjoint analyses with data from a previous sibling study (happy and fearful faces) we examined whether excitatory vmPFC-tDCS would reveal a general increase in processing of pleasant stimuli independent of the type of unpleasant stimuli applied (sad vs. fearful faces). MEG and behavioral results showed that happy faces promoted a relative positivity bias after excitatory compared to inhibitory tDCS, visible in left orbitofrontal cortex and in the emotion-primed dot-probe task. A converse pattern in the MEG data during sad face processing suggests the possible involvement of an empathy network and thus significantly differed from neuronal processing of fearful face processing. Implications for the bearing of vmPFC modulation on emotional face processing and the impact of specific unpleasant face expressions are discussed.","author":[{"dropping-particle":"","family":"Winker","given":"Constantin","non-dropping-particle":"","parse-names":false,"suffix":""},{"dropping-particle":"","family":"Rehbein","given":"Maimu A.","non-dropping-particle":"","parse-names":false,"suffix":""},{"dropping-particle":"","family":"Sabatinelli","given":"Dean","non-dropping-particle":"","parse-names":false,"suffix":""},{"dropping-particle":"","family":"Dohn","given":"Mira","non-dropping-particle":"","parse-names":false,"suffix":""},{"dropping-particle":"","family":"Maitzen","given":"Julius","non-dropping-particle":"","parse-names":false,"suffix":""},{"dropping-particle":"","family":"Roesmann","given":"Kati","non-dropping-particle":"","parse-names":false,"suffix":""},{"dropping-particle":"","family":"Wolters","given":"Carsten H.","non-dropping-particle":"","parse-names":false,"suffix":""},{"dropping-particle":"","family":"Arolt","given":"Volker","non-dropping-particle":"","parse-names":false,"suffix":""},{"dropping-particle":"","family":"Junghoefer","given":"Markus","non-dropping-particle":"","parse-names":false,"suffix":""}],"container-title":"Frontiers in Behavioral Neuroscience","id":"ITEM-3","issue":"May","issued":{"date-parts":[["2019","5"]]},"page":"1-16","publisher":"Frontiers","title":"Noninvasive stimulation of the ventromedial prefrontal cortex indicates valence ambiguity in sad compared to happy and fearful face processing","type":"article-journal","volume":"13"},"uris":["http://www.mendeley.com/documents/?uuid=654ff6bb-197d-422b-8084-0adc83bf26df"]},{"id":"ITEM-4","itemData":{"abstract":"The ventromedial prefrontal cortex (vmPFC) is a major hub of the reward system and has been shown to activate specifically in response to pleasant / rewarding stimuli. Previous studies demonstrate enhanced pleasant cue reactivity after single applications of transcranial direct current stimulation (tDCS) to the vmPFC. Here we present a pilot case study in which we assess the cumulative impact of multiple consecutive vmPFC-tDCS sessions on the processing of visual emotional stimuli in an event-related MEG recording design. The results point to stable modulation of increased positivity biases (pleasant &gt; unpleasant stimulus signal strength) after excitatory vmPFC stimulation and a reversed pattern (pleasant &lt; unpleasant) after inhibitory stimulation across five consecutive tDCS sessions. Moreover, cumulative effects of these emotional bias modulations were observable for several source-localized spatio-temporal clusters, suggesting an increase in modulatory efficiency by repeated tDCS sessions. This pilot study provides evidence for improvements in the effectiveness and utility of a novel tDCS paradigm in the context of emotional processing.","author":[{"dropping-particle":"","family":"Winker","given":"Constantin","non-dropping-particle":"","parse-names":false,"suffix":""},{"dropping-particle":"","family":"Rehbein","given":"Maimu A","non-dropping-particle":"","parse-names":false,"suffix":""},{"dropping-particle":"","family":"Sabatinelli","given":"Dean","non-dropping-particle":"","parse-names":false,"suffix":""},{"dropping-particle":"","family":"Junghofer","given":"Markus","non-dropping-particle":"","parse-names":false,"suffix":""}],"container-title":"PLOS ONE","id":"ITEM-4","issue":"1","issued":{"date-parts":[["2020","1","21"]]},"page":"e0222057","publisher":"Public Library of Science","title":"Repeated noninvasive stimulation of the ventromedial prefrontal cortex reveals cumulative amplification of pleasant compared to unpleasant scene processing: A single subject pilot study","type":"article-journal","volume":"15"},"uris":["http://www.mendeley.com/documents/?uuid=ac549a1f-a4bf-4bec-8535-278d8460fb85"]}],"mendeley":{"formattedCitation":"&lt;sup&gt;8,16–18&lt;/sup&gt;","plainTextFormattedCitation":"8,16–18","previouslyFormattedCitation":"&lt;sup&gt;8,16–18&lt;/sup&gt;"},"properties":{"noteIndex":0},"schema":"https://github.com/citation-style-language/schema/raw/master/csl-citation.json"}</w:instrText>
      </w:r>
      <w:r w:rsidRPr="006825A4">
        <w:rPr>
          <w:rFonts w:eastAsia="Times New Roman" w:cs="Times New Roman"/>
          <w:color w:val="000000"/>
          <w:szCs w:val="24"/>
        </w:rPr>
        <w:fldChar w:fldCharType="separate"/>
      </w:r>
      <w:r w:rsidRPr="006825A4">
        <w:rPr>
          <w:rFonts w:eastAsia="Times New Roman" w:cs="Times New Roman"/>
          <w:noProof/>
          <w:color w:val="000000"/>
          <w:szCs w:val="24"/>
          <w:vertAlign w:val="superscript"/>
        </w:rPr>
        <w:t>8,16–18</w:t>
      </w:r>
      <w:r w:rsidRPr="006825A4">
        <w:rPr>
          <w:rFonts w:eastAsia="Times New Roman" w:cs="Times New Roman"/>
          <w:color w:val="000000"/>
          <w:szCs w:val="24"/>
        </w:rPr>
        <w:fldChar w:fldCharType="end"/>
      </w:r>
      <w:r w:rsidRPr="006825A4">
        <w:rPr>
          <w:rFonts w:eastAsia="Times New Roman" w:cs="Times New Roman"/>
          <w:color w:val="000000"/>
          <w:szCs w:val="24"/>
        </w:rPr>
        <w:t>.</w:t>
      </w:r>
    </w:p>
    <w:p w14:paraId="3A1DB737" w14:textId="0A02BF77" w:rsidR="0037513A" w:rsidRPr="0037513A" w:rsidRDefault="0037513A" w:rsidP="00421FB1">
      <w:pPr>
        <w:pStyle w:val="berschrift2"/>
        <w:spacing w:before="160" w:after="160"/>
      </w:pPr>
      <w:r w:rsidRPr="003250A4">
        <w:t>2.</w:t>
      </w:r>
      <w:r>
        <w:t>3</w:t>
      </w:r>
      <w:r w:rsidRPr="003250A4">
        <w:t>.</w:t>
      </w:r>
      <w:r w:rsidR="00E82D23">
        <w:t>4</w:t>
      </w:r>
      <w:r w:rsidR="00811464">
        <w:t>.</w:t>
      </w:r>
      <w:r>
        <w:t xml:space="preserve"> </w:t>
      </w:r>
      <w:r w:rsidR="00541695">
        <w:t xml:space="preserve">Neural </w:t>
      </w:r>
      <w:r w:rsidR="007238C3">
        <w:t>i</w:t>
      </w:r>
      <w:r>
        <w:t xml:space="preserve">nteraction </w:t>
      </w:r>
      <w:r w:rsidR="007238C3">
        <w:t>e</w:t>
      </w:r>
      <w:r>
        <w:t>ffects</w:t>
      </w:r>
    </w:p>
    <w:p w14:paraId="3F51A904" w14:textId="47014869" w:rsidR="00D024B8" w:rsidRDefault="00443EE7" w:rsidP="00421FB1">
      <w:pPr>
        <w:spacing w:before="160"/>
        <w:ind w:firstLine="720"/>
        <w:jc w:val="both"/>
        <w:rPr>
          <w:rFonts w:eastAsia="Times New Roman" w:cs="Times New Roman"/>
          <w:color w:val="000000"/>
          <w:szCs w:val="24"/>
        </w:rPr>
      </w:pPr>
      <w:r w:rsidRPr="00443EE7">
        <w:rPr>
          <w:rFonts w:eastAsia="Times New Roman" w:cs="Times New Roman"/>
          <w:color w:val="000000"/>
          <w:szCs w:val="24"/>
        </w:rPr>
        <w:t xml:space="preserve">The ANOVA </w:t>
      </w:r>
      <w:r w:rsidR="00D024B8">
        <w:rPr>
          <w:rFonts w:eastAsia="Times New Roman" w:cs="Times New Roman"/>
          <w:color w:val="000000"/>
          <w:szCs w:val="24"/>
        </w:rPr>
        <w:t>revealed two</w:t>
      </w:r>
      <w:r w:rsidR="00D024B8" w:rsidRPr="00443EE7">
        <w:rPr>
          <w:rFonts w:eastAsia="Times New Roman" w:cs="Times New Roman"/>
          <w:color w:val="000000"/>
          <w:szCs w:val="24"/>
        </w:rPr>
        <w:t xml:space="preserve"> </w:t>
      </w:r>
      <w:r w:rsidRPr="00443EE7">
        <w:rPr>
          <w:rFonts w:eastAsia="Times New Roman" w:cs="Times New Roman"/>
          <w:color w:val="000000"/>
          <w:szCs w:val="24"/>
        </w:rPr>
        <w:t>further clusters</w:t>
      </w:r>
      <w:r w:rsidR="00267C49">
        <w:rPr>
          <w:rFonts w:eastAsia="Times New Roman" w:cs="Times New Roman"/>
          <w:color w:val="000000"/>
          <w:szCs w:val="24"/>
        </w:rPr>
        <w:t xml:space="preserve"> </w:t>
      </w:r>
      <w:r w:rsidR="00D024B8">
        <w:rPr>
          <w:rFonts w:eastAsia="Times New Roman" w:cs="Times New Roman"/>
          <w:color w:val="000000"/>
          <w:szCs w:val="24"/>
        </w:rPr>
        <w:t xml:space="preserve">with significant </w:t>
      </w:r>
      <w:r w:rsidR="00D024B8" w:rsidRPr="00443EE7">
        <w:rPr>
          <w:rFonts w:eastAsia="Times New Roman" w:cs="Times New Roman"/>
          <w:color w:val="000000"/>
          <w:szCs w:val="24"/>
        </w:rPr>
        <w:t>interaction</w:t>
      </w:r>
      <w:r w:rsidR="00D024B8">
        <w:rPr>
          <w:rFonts w:eastAsia="Times New Roman" w:cs="Times New Roman"/>
          <w:color w:val="000000"/>
          <w:szCs w:val="24"/>
        </w:rPr>
        <w:t>s</w:t>
      </w:r>
      <w:r w:rsidR="00D024B8" w:rsidRPr="00443EE7">
        <w:rPr>
          <w:rFonts w:eastAsia="Times New Roman" w:cs="Times New Roman"/>
          <w:color w:val="000000"/>
          <w:szCs w:val="24"/>
        </w:rPr>
        <w:t xml:space="preserve"> </w:t>
      </w:r>
      <w:r w:rsidR="00267C49">
        <w:rPr>
          <w:rFonts w:eastAsia="Times New Roman" w:cs="Times New Roman"/>
          <w:color w:val="000000"/>
          <w:szCs w:val="24"/>
        </w:rPr>
        <w:t xml:space="preserve">with the </w:t>
      </w:r>
      <w:r w:rsidR="00D024B8">
        <w:rPr>
          <w:rFonts w:eastAsia="Times New Roman" w:cs="Times New Roman"/>
          <w:color w:val="000000"/>
          <w:szCs w:val="24"/>
        </w:rPr>
        <w:t xml:space="preserve">factor </w:t>
      </w:r>
      <w:r w:rsidR="00267C49">
        <w:rPr>
          <w:rFonts w:eastAsia="Times New Roman" w:cs="Times New Roman"/>
          <w:color w:val="000000"/>
          <w:szCs w:val="24"/>
        </w:rPr>
        <w:t>stimulation</w:t>
      </w:r>
      <w:r w:rsidR="0076618D">
        <w:rPr>
          <w:rFonts w:eastAsia="Times New Roman" w:cs="Times New Roman"/>
          <w:color w:val="000000"/>
          <w:szCs w:val="24"/>
        </w:rPr>
        <w:t xml:space="preserve">, that were </w:t>
      </w:r>
      <w:r w:rsidRPr="00443EE7">
        <w:rPr>
          <w:rFonts w:eastAsia="Times New Roman" w:cs="Times New Roman"/>
          <w:color w:val="000000"/>
          <w:szCs w:val="24"/>
        </w:rPr>
        <w:t>not reported in the main tex</w:t>
      </w:r>
      <w:r w:rsidR="00E21141">
        <w:rPr>
          <w:rFonts w:eastAsia="Times New Roman" w:cs="Times New Roman"/>
          <w:color w:val="000000"/>
          <w:szCs w:val="24"/>
        </w:rPr>
        <w:t>t</w:t>
      </w:r>
      <w:r w:rsidR="00900856">
        <w:rPr>
          <w:rFonts w:eastAsia="Times New Roman" w:cs="Times New Roman"/>
          <w:color w:val="000000"/>
          <w:szCs w:val="24"/>
        </w:rPr>
        <w:t xml:space="preserve"> because the interaction either occurred in a very early time interval where effects on rational </w:t>
      </w:r>
      <w:r w:rsidR="00616001">
        <w:t xml:space="preserve">decision-making </w:t>
      </w:r>
      <w:r w:rsidR="00900856">
        <w:rPr>
          <w:rFonts w:eastAsia="Times New Roman" w:cs="Times New Roman"/>
          <w:color w:val="000000"/>
          <w:szCs w:val="24"/>
        </w:rPr>
        <w:t>has not been predicted (Fig. SM6) or because it revealed an unpredicted three-way interaction (</w:t>
      </w:r>
      <w:r w:rsidR="007A24F1">
        <w:rPr>
          <w:rFonts w:eastAsia="Times New Roman" w:cs="Times New Roman"/>
          <w:color w:val="000000"/>
          <w:szCs w:val="24"/>
        </w:rPr>
        <w:t xml:space="preserve">Fig. </w:t>
      </w:r>
      <w:r w:rsidR="00900856">
        <w:rPr>
          <w:rFonts w:eastAsia="Times New Roman" w:cs="Times New Roman"/>
          <w:color w:val="000000"/>
          <w:szCs w:val="24"/>
        </w:rPr>
        <w:t>SM7), which asks for replication in future studies.</w:t>
      </w:r>
    </w:p>
    <w:p w14:paraId="36FD75F1" w14:textId="303C2043" w:rsidR="00443EE7" w:rsidRDefault="00E21141" w:rsidP="00421FB1">
      <w:pPr>
        <w:spacing w:before="160"/>
        <w:ind w:firstLine="720"/>
        <w:jc w:val="both"/>
        <w:rPr>
          <w:rFonts w:eastAsia="Times New Roman" w:cs="Times New Roman"/>
          <w:color w:val="000000"/>
          <w:szCs w:val="24"/>
        </w:rPr>
      </w:pPr>
      <w:r>
        <w:rPr>
          <w:rFonts w:eastAsia="Times New Roman" w:cs="Times New Roman"/>
          <w:color w:val="000000"/>
          <w:szCs w:val="24"/>
        </w:rPr>
        <w:t xml:space="preserve">First, an interaction effect of stimulation </w:t>
      </w:r>
      <w:r w:rsidR="00C77A03">
        <w:rPr>
          <w:rFonts w:eastAsia="Times New Roman" w:cs="Times New Roman"/>
          <w:color w:val="000000"/>
          <w:szCs w:val="24"/>
        </w:rPr>
        <w:t>by</w:t>
      </w:r>
      <w:r>
        <w:rPr>
          <w:rFonts w:eastAsia="Times New Roman" w:cs="Times New Roman"/>
          <w:color w:val="000000"/>
          <w:szCs w:val="24"/>
        </w:rPr>
        <w:t xml:space="preserve"> frame appeared in a very early time </w:t>
      </w:r>
      <w:r w:rsidR="00D024B8">
        <w:rPr>
          <w:rFonts w:eastAsia="Times New Roman" w:cs="Times New Roman"/>
          <w:color w:val="000000"/>
          <w:szCs w:val="24"/>
        </w:rPr>
        <w:t xml:space="preserve">interval </w:t>
      </w:r>
      <w:r>
        <w:rPr>
          <w:rFonts w:eastAsia="Times New Roman" w:cs="Times New Roman"/>
          <w:color w:val="000000"/>
          <w:szCs w:val="24"/>
        </w:rPr>
        <w:t>from 0</w:t>
      </w:r>
      <w:r w:rsidR="00DD7E35">
        <w:rPr>
          <w:rStyle w:val="Funotenzeichen"/>
          <w:rFonts w:eastAsia="Times New Roman" w:cs="Times New Roman"/>
          <w:color w:val="000000"/>
          <w:szCs w:val="24"/>
        </w:rPr>
        <w:footnoteReference w:id="2"/>
      </w:r>
      <w:r>
        <w:rPr>
          <w:rFonts w:eastAsia="Times New Roman" w:cs="Times New Roman"/>
          <w:color w:val="000000"/>
          <w:szCs w:val="24"/>
        </w:rPr>
        <w:t xml:space="preserve"> to 80ms in superior medial prefrontal areas</w:t>
      </w:r>
      <w:r w:rsidR="00AE3548">
        <w:rPr>
          <w:rFonts w:eastAsia="Times New Roman" w:cs="Times New Roman"/>
          <w:color w:val="000000"/>
          <w:szCs w:val="24"/>
        </w:rPr>
        <w:t xml:space="preserve"> </w:t>
      </w:r>
      <w:r w:rsidR="00AE3548" w:rsidRPr="00FC22B0">
        <w:rPr>
          <w:rFonts w:cs="Times New Roman"/>
          <w:bCs/>
          <w:color w:val="000000"/>
          <w:szCs w:val="24"/>
        </w:rPr>
        <w:t>(</w:t>
      </w:r>
      <w:r w:rsidR="00AE3548" w:rsidRPr="00FC22B0">
        <w:rPr>
          <w:rFonts w:cs="Times New Roman"/>
          <w:bCs/>
          <w:i/>
          <w:color w:val="000000"/>
          <w:szCs w:val="24"/>
        </w:rPr>
        <w:t>p</w:t>
      </w:r>
      <w:r w:rsidR="00AE3548" w:rsidRPr="00FC22B0">
        <w:rPr>
          <w:rFonts w:cs="Times New Roman"/>
          <w:bCs/>
          <w:color w:val="000000"/>
          <w:szCs w:val="24"/>
        </w:rPr>
        <w:t>-cluster = 0.0</w:t>
      </w:r>
      <w:r w:rsidR="00E63775">
        <w:rPr>
          <w:rFonts w:cs="Times New Roman"/>
          <w:bCs/>
          <w:color w:val="000000"/>
          <w:szCs w:val="24"/>
        </w:rPr>
        <w:t>21</w:t>
      </w:r>
      <w:r w:rsidR="00E9430D">
        <w:rPr>
          <w:rFonts w:cs="Times New Roman"/>
          <w:bCs/>
          <w:color w:val="000000"/>
          <w:szCs w:val="24"/>
        </w:rPr>
        <w:t>)</w:t>
      </w:r>
      <w:r>
        <w:rPr>
          <w:rFonts w:eastAsia="Times New Roman" w:cs="Times New Roman"/>
          <w:color w:val="000000"/>
          <w:szCs w:val="24"/>
        </w:rPr>
        <w:t xml:space="preserve">. </w:t>
      </w:r>
      <w:r w:rsidR="00D024B8">
        <w:rPr>
          <w:rFonts w:eastAsia="Times New Roman" w:cs="Times New Roman"/>
          <w:color w:val="000000"/>
          <w:szCs w:val="24"/>
        </w:rPr>
        <w:t>Here</w:t>
      </w:r>
      <w:r w:rsidR="009E6CF9">
        <w:rPr>
          <w:rFonts w:eastAsia="Times New Roman" w:cs="Times New Roman"/>
          <w:color w:val="000000"/>
          <w:szCs w:val="24"/>
        </w:rPr>
        <w:t>, in the gain-frame</w:t>
      </w:r>
      <w:r w:rsidR="0076618D">
        <w:rPr>
          <w:rFonts w:eastAsia="Times New Roman" w:cs="Times New Roman"/>
          <w:color w:val="000000"/>
          <w:szCs w:val="24"/>
        </w:rPr>
        <w:t>,</w:t>
      </w:r>
      <w:r w:rsidR="00183316">
        <w:rPr>
          <w:rFonts w:eastAsia="Times New Roman" w:cs="Times New Roman"/>
          <w:color w:val="000000"/>
          <w:szCs w:val="24"/>
        </w:rPr>
        <w:t xml:space="preserve"> </w:t>
      </w:r>
      <w:r w:rsidR="009E6CF9">
        <w:rPr>
          <w:rFonts w:eastAsia="Times New Roman" w:cs="Times New Roman"/>
          <w:color w:val="000000"/>
          <w:szCs w:val="24"/>
        </w:rPr>
        <w:t xml:space="preserve">excitatory stimulation </w:t>
      </w:r>
      <w:r w:rsidR="00C0267C">
        <w:rPr>
          <w:rFonts w:eastAsia="Times New Roman" w:cs="Times New Roman"/>
          <w:color w:val="000000"/>
          <w:szCs w:val="24"/>
        </w:rPr>
        <w:t>resulted in</w:t>
      </w:r>
      <w:r w:rsidR="009E6CF9">
        <w:rPr>
          <w:rFonts w:eastAsia="Times New Roman" w:cs="Times New Roman"/>
          <w:color w:val="000000"/>
          <w:szCs w:val="24"/>
        </w:rPr>
        <w:t xml:space="preserve"> stronger neural activity compared to inhibitory stimulation while the opposite pattern occurred in the loss-frame condition</w:t>
      </w:r>
      <w:r w:rsidR="00183316">
        <w:rPr>
          <w:rFonts w:eastAsia="Times New Roman" w:cs="Times New Roman"/>
          <w:color w:val="000000"/>
          <w:szCs w:val="24"/>
        </w:rPr>
        <w:t xml:space="preserve"> (</w:t>
      </w:r>
      <w:proofErr w:type="gramStart"/>
      <w:r w:rsidR="002F47A0">
        <w:rPr>
          <w:rFonts w:eastAsia="Times New Roman" w:cs="Times New Roman"/>
          <w:i/>
          <w:color w:val="000000"/>
          <w:szCs w:val="24"/>
        </w:rPr>
        <w:t>F</w:t>
      </w:r>
      <w:r w:rsidR="002F47A0" w:rsidRPr="00E55DBA">
        <w:rPr>
          <w:rFonts w:eastAsia="Times New Roman" w:cs="Times New Roman"/>
          <w:color w:val="000000"/>
          <w:szCs w:val="24"/>
        </w:rPr>
        <w:t>(</w:t>
      </w:r>
      <w:proofErr w:type="gramEnd"/>
      <w:r w:rsidR="002F47A0">
        <w:rPr>
          <w:rFonts w:eastAsia="Times New Roman" w:cs="Times New Roman"/>
          <w:color w:val="000000"/>
          <w:szCs w:val="24"/>
        </w:rPr>
        <w:t>1,29</w:t>
      </w:r>
      <w:r w:rsidR="002F47A0" w:rsidRPr="00E55DBA">
        <w:rPr>
          <w:rFonts w:eastAsia="Times New Roman" w:cs="Times New Roman"/>
          <w:color w:val="000000"/>
          <w:szCs w:val="24"/>
        </w:rPr>
        <w:t xml:space="preserve">) = </w:t>
      </w:r>
      <w:r w:rsidR="002F47A0">
        <w:rPr>
          <w:rFonts w:eastAsia="Times New Roman" w:cs="Times New Roman"/>
          <w:color w:val="000000"/>
          <w:szCs w:val="24"/>
        </w:rPr>
        <w:t>13.89</w:t>
      </w:r>
      <w:r w:rsidR="002F47A0" w:rsidRPr="00E55DBA">
        <w:rPr>
          <w:rFonts w:eastAsia="Times New Roman" w:cs="Times New Roman"/>
          <w:color w:val="000000"/>
          <w:szCs w:val="24"/>
        </w:rPr>
        <w:t xml:space="preserve">, </w:t>
      </w:r>
      <w:r w:rsidR="002F47A0" w:rsidRPr="00244C06">
        <w:rPr>
          <w:rFonts w:eastAsia="Times New Roman" w:cs="Times New Roman"/>
          <w:i/>
          <w:color w:val="000000"/>
          <w:szCs w:val="24"/>
        </w:rPr>
        <w:t>p</w:t>
      </w:r>
      <w:r w:rsidR="002F47A0" w:rsidRPr="00E55DBA">
        <w:rPr>
          <w:rFonts w:eastAsia="Times New Roman" w:cs="Times New Roman"/>
          <w:color w:val="000000"/>
          <w:szCs w:val="24"/>
        </w:rPr>
        <w:t xml:space="preserve"> </w:t>
      </w:r>
      <w:r w:rsidR="002F47A0">
        <w:rPr>
          <w:rFonts w:eastAsia="Times New Roman" w:cs="Times New Roman"/>
          <w:color w:val="000000"/>
          <w:szCs w:val="24"/>
        </w:rPr>
        <w:t>=</w:t>
      </w:r>
      <w:r w:rsidR="002F47A0" w:rsidRPr="00E55DBA">
        <w:rPr>
          <w:rFonts w:eastAsia="Times New Roman" w:cs="Times New Roman"/>
          <w:color w:val="000000"/>
          <w:szCs w:val="24"/>
        </w:rPr>
        <w:t xml:space="preserve"> 0.</w:t>
      </w:r>
      <w:r w:rsidR="002F47A0">
        <w:rPr>
          <w:rFonts w:eastAsia="Times New Roman" w:cs="Times New Roman"/>
          <w:color w:val="000000"/>
          <w:szCs w:val="24"/>
        </w:rPr>
        <w:t>001</w:t>
      </w:r>
      <w:r w:rsidR="00183316">
        <w:rPr>
          <w:rFonts w:eastAsia="Times New Roman" w:cs="Times New Roman"/>
          <w:color w:val="000000"/>
          <w:szCs w:val="24"/>
        </w:rPr>
        <w:t>)</w:t>
      </w:r>
      <w:r w:rsidR="009E6CF9">
        <w:rPr>
          <w:rFonts w:eastAsia="Times New Roman" w:cs="Times New Roman"/>
          <w:color w:val="000000"/>
          <w:szCs w:val="24"/>
        </w:rPr>
        <w:t xml:space="preserve">. </w:t>
      </w:r>
      <w:r w:rsidR="00D024B8">
        <w:rPr>
          <w:rFonts w:eastAsia="Times New Roman" w:cs="Times New Roman"/>
          <w:color w:val="000000"/>
          <w:szCs w:val="24"/>
        </w:rPr>
        <w:t xml:space="preserve"> </w:t>
      </w:r>
    </w:p>
    <w:p w14:paraId="32218989" w14:textId="0DD1D771" w:rsidR="00534CDB" w:rsidRPr="00443EE7" w:rsidRDefault="00670A53" w:rsidP="007F31AB">
      <w:pPr>
        <w:spacing w:after="0" w:line="240" w:lineRule="auto"/>
        <w:jc w:val="both"/>
        <w:rPr>
          <w:rFonts w:eastAsia="Times New Roman" w:cs="Times New Roman"/>
          <w:color w:val="000000"/>
          <w:szCs w:val="24"/>
        </w:rPr>
      </w:pPr>
      <w:r>
        <w:rPr>
          <w:noProof/>
        </w:rPr>
        <w:drawing>
          <wp:inline distT="0" distB="0" distL="0" distR="0" wp14:anchorId="1A3B885F" wp14:editId="0FE4BB19">
            <wp:extent cx="5972810" cy="3255010"/>
            <wp:effectExtent l="0" t="0" r="889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72810" cy="3255010"/>
                    </a:xfrm>
                    <a:prstGeom prst="rect">
                      <a:avLst/>
                    </a:prstGeom>
                    <a:noFill/>
                    <a:ln>
                      <a:noFill/>
                    </a:ln>
                  </pic:spPr>
                </pic:pic>
              </a:graphicData>
            </a:graphic>
          </wp:inline>
        </w:drawing>
      </w:r>
      <w:r w:rsidR="00F1226E" w:rsidRPr="00FB1495">
        <w:rPr>
          <w:i/>
          <w:iCs/>
          <w:color w:val="000000"/>
          <w:sz w:val="20"/>
          <w:szCs w:val="20"/>
        </w:rPr>
        <w:t>Figure SM</w:t>
      </w:r>
      <w:r w:rsidR="00E82D23">
        <w:rPr>
          <w:i/>
          <w:iCs/>
          <w:color w:val="000000"/>
          <w:sz w:val="20"/>
          <w:szCs w:val="20"/>
        </w:rPr>
        <w:t>6</w:t>
      </w:r>
      <w:r w:rsidR="00FB1495">
        <w:rPr>
          <w:i/>
          <w:iCs/>
          <w:color w:val="000000"/>
          <w:sz w:val="20"/>
          <w:szCs w:val="20"/>
        </w:rPr>
        <w:t>.</w:t>
      </w:r>
      <w:r w:rsidR="00F1226E" w:rsidRPr="00B53407">
        <w:rPr>
          <w:i/>
          <w:iCs/>
          <w:color w:val="000000"/>
          <w:sz w:val="20"/>
          <w:szCs w:val="20"/>
        </w:rPr>
        <w:t xml:space="preserve"> </w:t>
      </w:r>
      <w:r w:rsidR="00F1226E" w:rsidRPr="00B53407">
        <w:rPr>
          <w:color w:val="000000"/>
          <w:sz w:val="20"/>
          <w:szCs w:val="20"/>
        </w:rPr>
        <w:t>Significant</w:t>
      </w:r>
      <w:r w:rsidR="00F1226E">
        <w:rPr>
          <w:color w:val="000000"/>
          <w:sz w:val="20"/>
          <w:szCs w:val="20"/>
        </w:rPr>
        <w:t xml:space="preserve"> medial </w:t>
      </w:r>
      <w:r w:rsidR="00F1226E" w:rsidRPr="00B53407">
        <w:rPr>
          <w:color w:val="000000"/>
          <w:sz w:val="20"/>
          <w:szCs w:val="20"/>
        </w:rPr>
        <w:t>prefrontal spatio-temporal cluster featuring a</w:t>
      </w:r>
      <w:r w:rsidR="00F1226E">
        <w:rPr>
          <w:color w:val="000000"/>
          <w:sz w:val="20"/>
          <w:szCs w:val="20"/>
        </w:rPr>
        <w:t>n</w:t>
      </w:r>
      <w:r w:rsidR="00F1226E" w:rsidRPr="00B53407">
        <w:rPr>
          <w:color w:val="000000"/>
          <w:sz w:val="20"/>
          <w:szCs w:val="20"/>
        </w:rPr>
        <w:t xml:space="preserve"> </w:t>
      </w:r>
      <w:r w:rsidR="00F1226E">
        <w:rPr>
          <w:color w:val="000000"/>
          <w:sz w:val="20"/>
          <w:szCs w:val="20"/>
        </w:rPr>
        <w:t>interaction</w:t>
      </w:r>
      <w:r w:rsidR="00F1226E" w:rsidRPr="00B53407">
        <w:rPr>
          <w:color w:val="000000"/>
          <w:sz w:val="20"/>
          <w:szCs w:val="20"/>
        </w:rPr>
        <w:t xml:space="preserve"> effect </w:t>
      </w:r>
      <w:r w:rsidR="00F1226E">
        <w:rPr>
          <w:color w:val="000000"/>
          <w:sz w:val="20"/>
          <w:szCs w:val="20"/>
        </w:rPr>
        <w:t>of</w:t>
      </w:r>
      <w:r w:rsidR="00F1226E" w:rsidRPr="00B53407">
        <w:rPr>
          <w:color w:val="000000"/>
          <w:sz w:val="20"/>
          <w:szCs w:val="20"/>
        </w:rPr>
        <w:t xml:space="preserve"> </w:t>
      </w:r>
      <w:r w:rsidR="00F1226E">
        <w:rPr>
          <w:color w:val="000000"/>
          <w:sz w:val="20"/>
          <w:szCs w:val="20"/>
        </w:rPr>
        <w:t xml:space="preserve">stimulation </w:t>
      </w:r>
      <w:r w:rsidR="003F5217">
        <w:rPr>
          <w:color w:val="000000"/>
          <w:sz w:val="20"/>
          <w:szCs w:val="20"/>
        </w:rPr>
        <w:t>by</w:t>
      </w:r>
      <w:r w:rsidR="00F1226E">
        <w:rPr>
          <w:color w:val="000000"/>
          <w:sz w:val="20"/>
          <w:szCs w:val="20"/>
        </w:rPr>
        <w:t xml:space="preserve"> frame</w:t>
      </w:r>
      <w:r w:rsidR="00F1226E" w:rsidRPr="00B53407">
        <w:rPr>
          <w:color w:val="000000"/>
          <w:sz w:val="20"/>
          <w:szCs w:val="20"/>
        </w:rPr>
        <w:t xml:space="preserve"> revealed by a</w:t>
      </w:r>
      <w:r w:rsidR="00F1226E">
        <w:rPr>
          <w:color w:val="000000"/>
          <w:sz w:val="20"/>
          <w:szCs w:val="20"/>
        </w:rPr>
        <w:t>n ANOVA</w:t>
      </w:r>
      <w:r w:rsidR="00F1226E" w:rsidRPr="00B53407">
        <w:rPr>
          <w:color w:val="000000"/>
          <w:sz w:val="20"/>
          <w:szCs w:val="20"/>
        </w:rPr>
        <w:t>.</w:t>
      </w:r>
      <w:r w:rsidR="00F1226E">
        <w:rPr>
          <w:color w:val="000000"/>
          <w:sz w:val="20"/>
          <w:szCs w:val="20"/>
        </w:rPr>
        <w:t xml:space="preserve"> </w:t>
      </w:r>
      <w:r w:rsidR="00F1226E" w:rsidRPr="006F346B">
        <w:rPr>
          <w:color w:val="000000"/>
          <w:sz w:val="20"/>
          <w:szCs w:val="20"/>
        </w:rPr>
        <w:t xml:space="preserve">Topographies of effects observed in L2-MNE were projected on standard 3D brain models for visualization. </w:t>
      </w:r>
      <w:r w:rsidR="007F31AB">
        <w:rPr>
          <w:color w:val="000000"/>
          <w:sz w:val="20"/>
          <w:szCs w:val="20"/>
        </w:rPr>
        <w:t>Boxplots indicate means (black dot</w:t>
      </w:r>
      <w:r w:rsidR="007238C3">
        <w:rPr>
          <w:color w:val="000000"/>
          <w:sz w:val="20"/>
          <w:szCs w:val="20"/>
        </w:rPr>
        <w:t>s</w:t>
      </w:r>
      <w:r w:rsidR="007F31AB">
        <w:rPr>
          <w:color w:val="000000"/>
          <w:sz w:val="20"/>
          <w:szCs w:val="20"/>
        </w:rPr>
        <w:t>), medians (grey line</w:t>
      </w:r>
      <w:r w:rsidR="007238C3">
        <w:rPr>
          <w:color w:val="000000"/>
          <w:sz w:val="20"/>
          <w:szCs w:val="20"/>
        </w:rPr>
        <w:t>s</w:t>
      </w:r>
      <w:r w:rsidR="007F31AB">
        <w:rPr>
          <w:color w:val="000000"/>
          <w:sz w:val="20"/>
          <w:szCs w:val="20"/>
        </w:rPr>
        <w:t>) and lower and upper quartiles</w:t>
      </w:r>
      <w:r w:rsidR="007F31AB" w:rsidRPr="007F1E70">
        <w:rPr>
          <w:color w:val="000000"/>
          <w:sz w:val="20"/>
          <w:szCs w:val="20"/>
        </w:rPr>
        <w:t xml:space="preserve">. </w:t>
      </w:r>
      <w:r w:rsidR="007F31AB">
        <w:rPr>
          <w:rFonts w:cs="Times New Roman"/>
          <w:color w:val="000000"/>
          <w:sz w:val="20"/>
          <w:szCs w:val="20"/>
        </w:rPr>
        <w:t>Asterisks indicate significance levels: + &lt; 0.1, * &lt; 0.05, ** &lt; 0.01, *** &lt; 0.001</w:t>
      </w:r>
      <w:r w:rsidR="007F31AB" w:rsidRPr="009403F0">
        <w:rPr>
          <w:rFonts w:cs="Times New Roman"/>
          <w:color w:val="000000"/>
          <w:sz w:val="20"/>
          <w:szCs w:val="20"/>
        </w:rPr>
        <w:t>.</w:t>
      </w:r>
      <w:r w:rsidR="007F31AB">
        <w:rPr>
          <w:rFonts w:cs="Times New Roman"/>
          <w:color w:val="000000"/>
          <w:sz w:val="20"/>
          <w:szCs w:val="20"/>
        </w:rPr>
        <w:t xml:space="preserve"> </w:t>
      </w:r>
    </w:p>
    <w:p w14:paraId="6D8987E3" w14:textId="17B41428" w:rsidR="00443EE7" w:rsidRDefault="00443EE7" w:rsidP="00FC22B0"/>
    <w:p w14:paraId="361A3003" w14:textId="17A04197" w:rsidR="007238C3" w:rsidRPr="006825A4" w:rsidRDefault="007238C3" w:rsidP="007238C3">
      <w:pPr>
        <w:spacing w:before="240" w:after="240"/>
        <w:ind w:firstLine="720"/>
        <w:jc w:val="both"/>
        <w:rPr>
          <w:rFonts w:eastAsia="Times New Roman" w:cs="Times New Roman"/>
          <w:color w:val="000000"/>
          <w:sz w:val="20"/>
          <w:szCs w:val="24"/>
        </w:rPr>
      </w:pPr>
      <w:bookmarkStart w:id="3" w:name="_Hlk90990437"/>
      <w:r w:rsidRPr="006825A4">
        <w:t>This cluster directly precedes and nicely overlaps with the dorsal part of the cluster (Fig. SM8)</w:t>
      </w:r>
      <w:r>
        <w:t>,</w:t>
      </w:r>
      <w:r w:rsidRPr="006825A4">
        <w:t xml:space="preserve"> which showed increasing neural activity with increasing cumulative wins for the choice stimulus across participants (although this correlation effect revealed no significant impact of stimulation). It might thus very well be interpreted as reflecting a reduced loss</w:t>
      </w:r>
      <w:r>
        <w:t xml:space="preserve"> </w:t>
      </w:r>
      <w:r w:rsidRPr="006825A4">
        <w:t>processing and increased gain</w:t>
      </w:r>
      <w:r>
        <w:t xml:space="preserve"> </w:t>
      </w:r>
      <w:r w:rsidRPr="006825A4">
        <w:t>processing after excitatory compared to after inhibitory stimulation</w:t>
      </w:r>
      <w:r>
        <w:t>,</w:t>
      </w:r>
      <w:r w:rsidRPr="006825A4">
        <w:t xml:space="preserve"> eventually leading to more rational choice behavior</w:t>
      </w:r>
      <w:r>
        <w:t>,</w:t>
      </w:r>
      <w:r w:rsidRPr="006825A4">
        <w:t xml:space="preserve"> which would match our hypothesis. However, this cluster (Fig. SM6) also overlaps with the cluster which showed an increased activation in response to loss frames in the ‘keep’ option after excitatory compared to inhibitory stimulation (see Fig. 3C main text). This effect has been interpreted as increased inhibition of loss feedback after excitatory stimulation.</w:t>
      </w:r>
      <w:r w:rsidRPr="006825A4">
        <w:rPr>
          <w:rFonts w:eastAsia="Times New Roman" w:cs="Times New Roman"/>
          <w:color w:val="000000"/>
          <w:szCs w:val="24"/>
        </w:rPr>
        <w:t xml:space="preserve"> Though this effect (Fig. SM6) occurred at choice</w:t>
      </w:r>
      <w:r>
        <w:rPr>
          <w:rFonts w:eastAsia="Times New Roman" w:cs="Times New Roman"/>
          <w:color w:val="000000"/>
          <w:szCs w:val="24"/>
        </w:rPr>
        <w:t xml:space="preserve"> </w:t>
      </w:r>
      <w:r w:rsidRPr="006825A4">
        <w:rPr>
          <w:rFonts w:eastAsia="Times New Roman" w:cs="Times New Roman"/>
          <w:color w:val="000000"/>
          <w:szCs w:val="24"/>
        </w:rPr>
        <w:t>processing and not at feedback</w:t>
      </w:r>
      <w:r>
        <w:rPr>
          <w:rFonts w:eastAsia="Times New Roman" w:cs="Times New Roman"/>
          <w:color w:val="000000"/>
          <w:szCs w:val="24"/>
        </w:rPr>
        <w:t xml:space="preserve"> </w:t>
      </w:r>
      <w:r w:rsidRPr="006825A4">
        <w:rPr>
          <w:rFonts w:eastAsia="Times New Roman" w:cs="Times New Roman"/>
          <w:color w:val="000000"/>
          <w:szCs w:val="24"/>
        </w:rPr>
        <w:t>processing (as Fig. 3C main text) and occurred at very early (0-80ms) and not at late time intervals (470-510ms)</w:t>
      </w:r>
      <w:r>
        <w:rPr>
          <w:rFonts w:eastAsia="Times New Roman" w:cs="Times New Roman"/>
          <w:color w:val="000000"/>
          <w:szCs w:val="24"/>
        </w:rPr>
        <w:t>,</w:t>
      </w:r>
      <w:r w:rsidRPr="006825A4">
        <w:rPr>
          <w:rFonts w:eastAsia="Times New Roman" w:cs="Times New Roman"/>
          <w:color w:val="000000"/>
          <w:szCs w:val="24"/>
        </w:rPr>
        <w:t xml:space="preserve"> we cannot ignore that an interpretation as reduced loss inhibition after excitatory stimulation would be contrary to our hypotheses. </w:t>
      </w:r>
      <w:r>
        <w:rPr>
          <w:rFonts w:eastAsia="Times New Roman" w:cs="Times New Roman"/>
          <w:color w:val="000000"/>
          <w:szCs w:val="24"/>
        </w:rPr>
        <w:t>Alternatively, s</w:t>
      </w:r>
      <w:r w:rsidRPr="006825A4">
        <w:rPr>
          <w:rFonts w:eastAsia="Times New Roman" w:cs="Times New Roman"/>
          <w:color w:val="000000"/>
          <w:szCs w:val="24"/>
        </w:rPr>
        <w:t xml:space="preserve">uch an inverted effect in a very early time interval might reflect a biphasic effect convergent </w:t>
      </w:r>
      <w:r>
        <w:rPr>
          <w:rFonts w:eastAsia="Times New Roman" w:cs="Times New Roman"/>
          <w:color w:val="000000"/>
          <w:szCs w:val="24"/>
        </w:rPr>
        <w:t>with</w:t>
      </w:r>
      <w:r w:rsidRPr="006825A4">
        <w:rPr>
          <w:rFonts w:eastAsia="Times New Roman" w:cs="Times New Roman"/>
          <w:color w:val="000000"/>
          <w:szCs w:val="24"/>
        </w:rPr>
        <w:t xml:space="preserve"> a hyperarousal-avoidance mechanism</w:t>
      </w:r>
      <w:r>
        <w:rPr>
          <w:rFonts w:eastAsia="Times New Roman" w:cs="Times New Roman"/>
          <w:color w:val="000000"/>
          <w:szCs w:val="24"/>
        </w:rPr>
        <w:t>,</w:t>
      </w:r>
      <w:r w:rsidRPr="006825A4">
        <w:rPr>
          <w:rFonts w:eastAsia="Times New Roman" w:cs="Times New Roman"/>
          <w:color w:val="000000"/>
          <w:szCs w:val="24"/>
        </w:rPr>
        <w:t xml:space="preserve"> as previously reported </w:t>
      </w:r>
      <w:r>
        <w:rPr>
          <w:rFonts w:eastAsia="Times New Roman" w:cs="Times New Roman"/>
          <w:color w:val="000000"/>
          <w:szCs w:val="24"/>
        </w:rPr>
        <w:t>for</w:t>
      </w:r>
      <w:r w:rsidRPr="006825A4">
        <w:rPr>
          <w:rFonts w:eastAsia="Times New Roman" w:cs="Times New Roman"/>
          <w:color w:val="000000"/>
          <w:szCs w:val="24"/>
        </w:rPr>
        <w:t xml:space="preserve"> an overlapping early time interval also at dorsal PFC regions</w:t>
      </w:r>
      <w:r w:rsidRPr="006825A4">
        <w:rPr>
          <w:rFonts w:eastAsia="Times New Roman" w:cs="Times New Roman"/>
          <w:color w:val="000000"/>
          <w:szCs w:val="24"/>
        </w:rPr>
        <w:fldChar w:fldCharType="begin" w:fldLock="1"/>
      </w:r>
      <w:r w:rsidRPr="006825A4">
        <w:rPr>
          <w:rFonts w:eastAsia="Times New Roman" w:cs="Times New Roman"/>
          <w:color w:val="000000"/>
          <w:szCs w:val="24"/>
        </w:rPr>
        <w:instrText>ADDIN CSL_CITATION {"citationItems":[{"id":"ITEM-1","itemData":{"DOI":"10.1111/jcpp.12617","ISSN":"14697610","PMID":"27605124","abstract":"Background: An altered pattern of threat processing is deemed critical for the development of anxiety disorders (AD). According to the hypervigilance-avoidance hypothesis, AD patients show hypervigilance to threat cues at early stages of processing but avoid threat cues at later stages of processing. Consistently, adults with AD show enhanced neurophysiological responses to threat in early time windows and reduced responses to threat in late time windows. The presence of such a hypervigilance-avoidance effect and its underlying neural sources remain to be determined in clinically anxious children. Methods: Twenty-three children diagnosed with an AD and 23 healthy control children aged 8–14 years saw faces with angry and neutral expressions while whole-head magnetoencephalography (MEG) was recorded. Neural sources were estimated based on L2-Minimum Norm inverse source modeling and analyzed in early, midlatency, and late time windows. Results: In visual cortical regions, early threat processing was relatively enhanced in patients compared to controls, whereas this relation was inverted in a late interval. Consistent with the idea of affective regulation, the right dorsolateral prefrontal cortex revealed relatively reduced inhibition of early threat processing but revealed enhanced inhibition at a late interval in patients. Both visual-sensory and prefrontal effects were correlated with individual trait anxiety. Conclusions: These results support the hypothesis of early sensory hypervigilance followed by later avoidance of threat in anxiety disordered children, presumably modulated by early reduced and later enhanced prefrontal inhibition. This neuronal hypervigilance-avoidance pattern unfolds gradually with increasing trait anxiety, reflecting a progressively biased allocation of attention to threat.","author":[{"dropping-particle":"","family":"Wessing","given":"Ida","non-dropping-particle":"","parse-names":false,"suffix":""},{"dropping-particle":"","family":"Romer","given":"Georg","non-dropping-particle":"","parse-names":false,"suffix":""},{"dropping-particle":"","family":"Junghöfer","given":"Markus","non-dropping-particle":"","parse-names":false,"suffix":""}],"container-title":"Journal of Child Psychology and Psychiatry and Allied Disciplines","id":"ITEM-1","issue":"1","issued":{"date-parts":[["2017"]]},"page":"103-112","title":"Hypervigilance-avoidance in children with anxiety disorders: magnetoencephalographic evidence","type":"article-journal","volume":"58"},"uris":["http://www.mendeley.com/documents/?uuid=ac2990e8-5614-4e46-98d3-53dfb900556b"]}],"mendeley":{"formattedCitation":"&lt;sup&gt;19&lt;/sup&gt;","plainTextFormattedCitation":"19","previouslyFormattedCitation":"&lt;sup&gt;19&lt;/sup&gt;"},"properties":{"noteIndex":0},"schema":"https://github.com/citation-style-language/schema/raw/master/csl-citation.json"}</w:instrText>
      </w:r>
      <w:r w:rsidRPr="006825A4">
        <w:rPr>
          <w:rFonts w:eastAsia="Times New Roman" w:cs="Times New Roman"/>
          <w:color w:val="000000"/>
          <w:szCs w:val="24"/>
        </w:rPr>
        <w:fldChar w:fldCharType="separate"/>
      </w:r>
      <w:r w:rsidRPr="006825A4">
        <w:rPr>
          <w:rFonts w:eastAsia="Times New Roman" w:cs="Times New Roman"/>
          <w:noProof/>
          <w:color w:val="000000"/>
          <w:szCs w:val="24"/>
          <w:vertAlign w:val="superscript"/>
        </w:rPr>
        <w:t>19</w:t>
      </w:r>
      <w:r w:rsidRPr="006825A4">
        <w:rPr>
          <w:rFonts w:eastAsia="Times New Roman" w:cs="Times New Roman"/>
          <w:color w:val="000000"/>
          <w:szCs w:val="24"/>
        </w:rPr>
        <w:fldChar w:fldCharType="end"/>
      </w:r>
      <w:r w:rsidRPr="006825A4">
        <w:rPr>
          <w:rFonts w:eastAsia="Times New Roman" w:cs="Times New Roman"/>
          <w:color w:val="000000"/>
          <w:szCs w:val="24"/>
        </w:rPr>
        <w:t>. However, this interpretation is clearly post-hoc</w:t>
      </w:r>
      <w:r>
        <w:rPr>
          <w:rFonts w:eastAsia="Times New Roman" w:cs="Times New Roman"/>
          <w:color w:val="000000"/>
          <w:szCs w:val="24"/>
        </w:rPr>
        <w:t>,</w:t>
      </w:r>
      <w:r w:rsidRPr="006825A4">
        <w:rPr>
          <w:rFonts w:eastAsia="Times New Roman" w:cs="Times New Roman"/>
          <w:color w:val="000000"/>
          <w:szCs w:val="24"/>
        </w:rPr>
        <w:t xml:space="preserve"> and more research is needed to clarify </w:t>
      </w:r>
      <w:r>
        <w:rPr>
          <w:rFonts w:eastAsia="Times New Roman" w:cs="Times New Roman"/>
          <w:color w:val="000000"/>
          <w:szCs w:val="24"/>
        </w:rPr>
        <w:t>whether</w:t>
      </w:r>
      <w:r w:rsidRPr="006825A4">
        <w:rPr>
          <w:rFonts w:eastAsia="Times New Roman" w:cs="Times New Roman"/>
          <w:color w:val="000000"/>
          <w:szCs w:val="24"/>
        </w:rPr>
        <w:t xml:space="preserve"> this region within this early time interval has excitatory or inhibitory effects on rational choice behavior. Second, we observed a significant cluster for the three-way</w:t>
      </w:r>
      <w:r>
        <w:rPr>
          <w:rFonts w:eastAsia="Times New Roman" w:cs="Times New Roman"/>
          <w:color w:val="000000"/>
          <w:szCs w:val="24"/>
        </w:rPr>
        <w:t xml:space="preserve"> </w:t>
      </w:r>
      <w:r w:rsidRPr="006825A4">
        <w:rPr>
          <w:rFonts w:eastAsia="Times New Roman" w:cs="Times New Roman"/>
          <w:color w:val="000000"/>
          <w:szCs w:val="24"/>
        </w:rPr>
        <w:t xml:space="preserve">interaction of stimulation by frame by decision in right prefrontal and temporal regions ranging from 470 to 600ms </w:t>
      </w:r>
      <w:r w:rsidRPr="006825A4">
        <w:rPr>
          <w:rFonts w:cs="Times New Roman"/>
          <w:bCs/>
          <w:color w:val="000000"/>
          <w:szCs w:val="24"/>
        </w:rPr>
        <w:t>(</w:t>
      </w:r>
      <w:r w:rsidRPr="006825A4">
        <w:rPr>
          <w:rFonts w:cs="Times New Roman"/>
          <w:bCs/>
          <w:i/>
          <w:color w:val="000000"/>
          <w:szCs w:val="24"/>
        </w:rPr>
        <w:t>p</w:t>
      </w:r>
      <w:r w:rsidRPr="006825A4">
        <w:rPr>
          <w:rFonts w:cs="Times New Roman"/>
          <w:bCs/>
          <w:color w:val="000000"/>
          <w:szCs w:val="24"/>
        </w:rPr>
        <w:t>-cluster = 0.022)</w:t>
      </w:r>
      <w:r w:rsidRPr="006825A4">
        <w:rPr>
          <w:rFonts w:eastAsia="Times New Roman" w:cs="Times New Roman"/>
          <w:color w:val="000000"/>
          <w:szCs w:val="24"/>
        </w:rPr>
        <w:t>. This cluster could be assessed as a modification of the preceding (220</w:t>
      </w:r>
      <w:r>
        <w:rPr>
          <w:rFonts w:eastAsia="Times New Roman" w:cs="Times New Roman"/>
          <w:color w:val="000000"/>
          <w:szCs w:val="24"/>
        </w:rPr>
        <w:t>–</w:t>
      </w:r>
      <w:r w:rsidRPr="006825A4">
        <w:rPr>
          <w:rFonts w:eastAsia="Times New Roman" w:cs="Times New Roman"/>
          <w:color w:val="000000"/>
          <w:szCs w:val="24"/>
        </w:rPr>
        <w:t xml:space="preserve">270ms) significant cluster with an interaction of stimulation by frame in similar right anterior temporal/orbitofrontal areas (see Fig. 1C main text). While the pattern of the two-way stimulation by frame interaction in the ‘keep’ condition (left side of Fig. SM6) was very similar to the preceding stimulation by frame interaction (see Fig. 1C main text), the pattern was rather opposite in the ‘gamble’ condition (right side). </w:t>
      </w:r>
    </w:p>
    <w:p w14:paraId="15C62EC0" w14:textId="5A4A24E5" w:rsidR="007F31AB" w:rsidRPr="00D25EB7" w:rsidRDefault="00670A53" w:rsidP="007F31AB">
      <w:pPr>
        <w:spacing w:after="0" w:line="240" w:lineRule="auto"/>
        <w:jc w:val="both"/>
        <w:rPr>
          <w:rFonts w:eastAsia="Times New Roman" w:cs="Times New Roman"/>
          <w:color w:val="000000"/>
          <w:szCs w:val="24"/>
        </w:rPr>
      </w:pPr>
      <w:r>
        <w:rPr>
          <w:noProof/>
        </w:rPr>
        <w:drawing>
          <wp:inline distT="0" distB="0" distL="0" distR="0" wp14:anchorId="500A2554" wp14:editId="56F56E3C">
            <wp:extent cx="5972810" cy="3299460"/>
            <wp:effectExtent l="0" t="0" r="889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2810" cy="3299460"/>
                    </a:xfrm>
                    <a:prstGeom prst="rect">
                      <a:avLst/>
                    </a:prstGeom>
                    <a:noFill/>
                    <a:ln>
                      <a:noFill/>
                    </a:ln>
                  </pic:spPr>
                </pic:pic>
              </a:graphicData>
            </a:graphic>
          </wp:inline>
        </w:drawing>
      </w:r>
      <w:r w:rsidR="00CB701E" w:rsidRPr="00FB1495">
        <w:rPr>
          <w:rFonts w:cs="Times New Roman"/>
          <w:i/>
          <w:iCs/>
          <w:color w:val="000000"/>
          <w:sz w:val="20"/>
          <w:szCs w:val="20"/>
        </w:rPr>
        <w:t>Figure SM</w:t>
      </w:r>
      <w:r w:rsidR="00E82D23">
        <w:rPr>
          <w:rFonts w:cs="Times New Roman"/>
          <w:i/>
          <w:iCs/>
          <w:color w:val="000000"/>
          <w:sz w:val="20"/>
          <w:szCs w:val="20"/>
        </w:rPr>
        <w:t>7</w:t>
      </w:r>
      <w:r w:rsidR="00FB1495">
        <w:rPr>
          <w:rFonts w:cs="Times New Roman"/>
          <w:i/>
          <w:iCs/>
          <w:color w:val="000000"/>
          <w:sz w:val="20"/>
          <w:szCs w:val="20"/>
        </w:rPr>
        <w:t xml:space="preserve">. </w:t>
      </w:r>
      <w:r w:rsidR="00CB701E" w:rsidRPr="00CB701E">
        <w:rPr>
          <w:rFonts w:cs="Times New Roman"/>
          <w:i/>
          <w:iCs/>
          <w:color w:val="000000"/>
          <w:sz w:val="20"/>
          <w:szCs w:val="20"/>
        </w:rPr>
        <w:t xml:space="preserve"> </w:t>
      </w:r>
      <w:r w:rsidR="00CB701E" w:rsidRPr="00CB701E">
        <w:rPr>
          <w:rFonts w:cs="Times New Roman"/>
          <w:color w:val="000000"/>
          <w:sz w:val="20"/>
          <w:szCs w:val="20"/>
        </w:rPr>
        <w:t>Significant spatio-temporal cluster</w:t>
      </w:r>
      <w:r w:rsidR="00CB701E">
        <w:rPr>
          <w:rFonts w:cs="Times New Roman"/>
          <w:color w:val="000000"/>
          <w:sz w:val="20"/>
          <w:szCs w:val="20"/>
        </w:rPr>
        <w:t xml:space="preserve"> in </w:t>
      </w:r>
      <w:r w:rsidR="001F0B9D">
        <w:rPr>
          <w:rFonts w:cs="Times New Roman"/>
          <w:color w:val="000000"/>
          <w:sz w:val="20"/>
          <w:szCs w:val="20"/>
        </w:rPr>
        <w:t>right</w:t>
      </w:r>
      <w:r w:rsidR="00CB701E">
        <w:rPr>
          <w:rFonts w:cs="Times New Roman"/>
          <w:color w:val="000000"/>
          <w:sz w:val="20"/>
          <w:szCs w:val="20"/>
        </w:rPr>
        <w:t xml:space="preserve"> prefrontal and temporal areas</w:t>
      </w:r>
      <w:r w:rsidR="00CB701E" w:rsidRPr="00CB701E">
        <w:rPr>
          <w:rFonts w:cs="Times New Roman"/>
          <w:color w:val="000000"/>
          <w:sz w:val="20"/>
          <w:szCs w:val="20"/>
        </w:rPr>
        <w:t xml:space="preserve"> featuring a</w:t>
      </w:r>
      <w:r w:rsidR="00D024B8">
        <w:rPr>
          <w:rFonts w:cs="Times New Roman"/>
          <w:color w:val="000000"/>
          <w:sz w:val="20"/>
          <w:szCs w:val="20"/>
        </w:rPr>
        <w:t xml:space="preserve"> three-way </w:t>
      </w:r>
      <w:r w:rsidR="00CB701E" w:rsidRPr="00CB701E">
        <w:rPr>
          <w:rFonts w:cs="Times New Roman"/>
          <w:color w:val="000000"/>
          <w:sz w:val="20"/>
          <w:szCs w:val="20"/>
        </w:rPr>
        <w:t xml:space="preserve">interaction of stimulation </w:t>
      </w:r>
      <w:r w:rsidR="003F5217">
        <w:rPr>
          <w:rFonts w:cs="Times New Roman"/>
          <w:color w:val="000000"/>
          <w:sz w:val="20"/>
          <w:szCs w:val="20"/>
        </w:rPr>
        <w:t>by</w:t>
      </w:r>
      <w:r w:rsidR="00CB701E">
        <w:rPr>
          <w:rFonts w:cs="Times New Roman"/>
          <w:color w:val="000000"/>
          <w:sz w:val="20"/>
          <w:szCs w:val="20"/>
        </w:rPr>
        <w:t xml:space="preserve"> decision </w:t>
      </w:r>
      <w:r w:rsidR="003F5217">
        <w:rPr>
          <w:rFonts w:cs="Times New Roman"/>
          <w:color w:val="000000"/>
          <w:sz w:val="20"/>
          <w:szCs w:val="20"/>
        </w:rPr>
        <w:t>by</w:t>
      </w:r>
      <w:r w:rsidR="00CB701E" w:rsidRPr="00CB701E">
        <w:rPr>
          <w:rFonts w:cs="Times New Roman"/>
          <w:color w:val="000000"/>
          <w:sz w:val="20"/>
          <w:szCs w:val="20"/>
        </w:rPr>
        <w:t xml:space="preserve"> frame revealed by an ANOVA.</w:t>
      </w:r>
      <w:r w:rsidR="00F629C1">
        <w:rPr>
          <w:rFonts w:cs="Times New Roman"/>
          <w:color w:val="000000"/>
          <w:sz w:val="20"/>
          <w:szCs w:val="20"/>
        </w:rPr>
        <w:t xml:space="preserve"> </w:t>
      </w:r>
      <w:r w:rsidR="00CB701E" w:rsidRPr="00CB701E">
        <w:rPr>
          <w:rFonts w:cs="Times New Roman"/>
          <w:color w:val="000000"/>
          <w:sz w:val="20"/>
          <w:szCs w:val="20"/>
        </w:rPr>
        <w:t>Topographies of effects observed in L2-MNE were projected on standard 3D brain models for visualization</w:t>
      </w:r>
      <w:bookmarkEnd w:id="3"/>
      <w:r w:rsidR="007F31AB" w:rsidRPr="007F31AB">
        <w:rPr>
          <w:color w:val="000000"/>
          <w:sz w:val="20"/>
          <w:szCs w:val="20"/>
        </w:rPr>
        <w:t xml:space="preserve"> </w:t>
      </w:r>
      <w:r w:rsidR="007F31AB">
        <w:rPr>
          <w:color w:val="000000"/>
          <w:sz w:val="20"/>
          <w:szCs w:val="20"/>
        </w:rPr>
        <w:t>Boxplots indicate means (black dot</w:t>
      </w:r>
      <w:r w:rsidR="007238C3">
        <w:rPr>
          <w:color w:val="000000"/>
          <w:sz w:val="20"/>
          <w:szCs w:val="20"/>
        </w:rPr>
        <w:t>s</w:t>
      </w:r>
      <w:r w:rsidR="007F31AB">
        <w:rPr>
          <w:color w:val="000000"/>
          <w:sz w:val="20"/>
          <w:szCs w:val="20"/>
        </w:rPr>
        <w:t>), medians (grey line</w:t>
      </w:r>
      <w:r w:rsidR="007238C3">
        <w:rPr>
          <w:color w:val="000000"/>
          <w:sz w:val="20"/>
          <w:szCs w:val="20"/>
        </w:rPr>
        <w:t>s</w:t>
      </w:r>
      <w:r w:rsidR="007F31AB">
        <w:rPr>
          <w:color w:val="000000"/>
          <w:sz w:val="20"/>
          <w:szCs w:val="20"/>
        </w:rPr>
        <w:t>) and lower and upper quartiles</w:t>
      </w:r>
      <w:r w:rsidR="007F31AB" w:rsidRPr="007F1E70">
        <w:rPr>
          <w:color w:val="000000"/>
          <w:sz w:val="20"/>
          <w:szCs w:val="20"/>
        </w:rPr>
        <w:t xml:space="preserve">. </w:t>
      </w:r>
      <w:r w:rsidR="007F31AB">
        <w:rPr>
          <w:rFonts w:cs="Times New Roman"/>
          <w:color w:val="000000"/>
          <w:sz w:val="20"/>
          <w:szCs w:val="20"/>
        </w:rPr>
        <w:t>Asterisks indicate significance levels: + &lt; 0.1, * &lt; 0.05, ** &lt; 0.01, *** &lt; 0.001</w:t>
      </w:r>
      <w:r w:rsidR="007F31AB" w:rsidRPr="009403F0">
        <w:rPr>
          <w:rFonts w:cs="Times New Roman"/>
          <w:color w:val="000000"/>
          <w:sz w:val="20"/>
          <w:szCs w:val="20"/>
        </w:rPr>
        <w:t>.</w:t>
      </w:r>
      <w:r w:rsidR="007F31AB">
        <w:rPr>
          <w:rFonts w:cs="Times New Roman"/>
          <w:color w:val="000000"/>
          <w:sz w:val="20"/>
          <w:szCs w:val="20"/>
        </w:rPr>
        <w:t xml:space="preserve"> </w:t>
      </w:r>
    </w:p>
    <w:p w14:paraId="2A21C22A" w14:textId="5FCE6626" w:rsidR="00F1226E" w:rsidRDefault="00F1226E" w:rsidP="007F31AB">
      <w:pPr>
        <w:spacing w:after="0" w:line="240" w:lineRule="auto"/>
        <w:jc w:val="both"/>
      </w:pPr>
    </w:p>
    <w:p w14:paraId="0C31AB55" w14:textId="77777777" w:rsidR="007F31AB" w:rsidRDefault="007F31AB" w:rsidP="007F31AB">
      <w:pPr>
        <w:spacing w:after="0" w:line="240" w:lineRule="auto"/>
        <w:jc w:val="both"/>
      </w:pPr>
    </w:p>
    <w:p w14:paraId="69764A1E" w14:textId="77777777" w:rsidR="007238C3" w:rsidRPr="006825A4" w:rsidRDefault="007238C3" w:rsidP="007238C3">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After excitatory stimulation</w:t>
      </w:r>
      <w:r>
        <w:rPr>
          <w:rFonts w:eastAsia="Times New Roman" w:cs="Times New Roman"/>
          <w:color w:val="000000"/>
          <w:szCs w:val="24"/>
        </w:rPr>
        <w:t>,</w:t>
      </w:r>
      <w:r w:rsidRPr="006825A4">
        <w:rPr>
          <w:rFonts w:eastAsia="Times New Roman" w:cs="Times New Roman"/>
          <w:color w:val="000000"/>
          <w:szCs w:val="24"/>
        </w:rPr>
        <w:t xml:space="preserve"> the difference in the loss-framed option between ‘keep’ and ‘gamble’ is smaller, </w:t>
      </w:r>
      <w:r>
        <w:rPr>
          <w:rFonts w:eastAsia="Times New Roman" w:cs="Times New Roman"/>
          <w:color w:val="000000"/>
          <w:szCs w:val="24"/>
        </w:rPr>
        <w:t>which</w:t>
      </w:r>
      <w:r w:rsidRPr="006825A4">
        <w:rPr>
          <w:rFonts w:eastAsia="Times New Roman" w:cs="Times New Roman"/>
          <w:color w:val="000000"/>
          <w:szCs w:val="24"/>
        </w:rPr>
        <w:t xml:space="preserve"> might be a sign for more elaborate processing and greater ability to inhibit irrational gambling in the loss-framed option after excitatory stimulation. The opposite pattern is present in the gain-framed option, </w:t>
      </w:r>
      <w:r>
        <w:rPr>
          <w:rFonts w:eastAsia="Times New Roman" w:cs="Times New Roman"/>
          <w:color w:val="000000"/>
          <w:szCs w:val="24"/>
        </w:rPr>
        <w:t xml:space="preserve">whereby </w:t>
      </w:r>
      <w:r w:rsidRPr="006825A4">
        <w:rPr>
          <w:rFonts w:eastAsia="Times New Roman" w:cs="Times New Roman"/>
          <w:color w:val="000000"/>
          <w:szCs w:val="24"/>
        </w:rPr>
        <w:t xml:space="preserve">greater activity occurred if ‘gamble’ was chosen after excitatory stimulation, </w:t>
      </w:r>
      <w:r>
        <w:rPr>
          <w:rFonts w:eastAsia="Times New Roman" w:cs="Times New Roman"/>
          <w:color w:val="000000"/>
          <w:szCs w:val="24"/>
        </w:rPr>
        <w:t>which</w:t>
      </w:r>
      <w:r w:rsidRPr="006825A4">
        <w:rPr>
          <w:rFonts w:eastAsia="Times New Roman" w:cs="Times New Roman"/>
          <w:color w:val="000000"/>
          <w:szCs w:val="24"/>
        </w:rPr>
        <w:t xml:space="preserve"> possibly suggests enhanced weighing of the eventually more lucrative ‘gamble’ option, while inhibitory stimulation induces an impulsive selection of the ‘keep’ option. The pattern of the ‘keep’ condition is in line with the cluster in Fig. 1C (see main text), leading to the conclusion that the present cluster might </w:t>
      </w:r>
      <w:r>
        <w:rPr>
          <w:rFonts w:eastAsia="Times New Roman" w:cs="Times New Roman"/>
          <w:color w:val="000000"/>
          <w:szCs w:val="24"/>
        </w:rPr>
        <w:t xml:space="preserve">involve </w:t>
      </w:r>
      <w:r w:rsidRPr="006825A4">
        <w:rPr>
          <w:rFonts w:eastAsia="Times New Roman" w:cs="Times New Roman"/>
          <w:color w:val="000000"/>
          <w:szCs w:val="24"/>
        </w:rPr>
        <w:t>temporal continuation with a more elaborated component that differentiates between ‘keep’ and ‘gamble’ decisions. Nevertheless, this three-way</w:t>
      </w:r>
      <w:r>
        <w:rPr>
          <w:rFonts w:eastAsia="Times New Roman" w:cs="Times New Roman"/>
          <w:color w:val="000000"/>
          <w:szCs w:val="24"/>
        </w:rPr>
        <w:t xml:space="preserve"> </w:t>
      </w:r>
      <w:r w:rsidRPr="006825A4">
        <w:rPr>
          <w:rFonts w:eastAsia="Times New Roman" w:cs="Times New Roman"/>
          <w:color w:val="000000"/>
          <w:szCs w:val="24"/>
        </w:rPr>
        <w:t>interaction is quite difficult to interpret, and more research is needed to replicate and illuminate this complex differential impact of stimulation on choice behavior in this late time interval.</w:t>
      </w:r>
    </w:p>
    <w:p w14:paraId="7A06546F" w14:textId="77777777" w:rsidR="007238C3" w:rsidRPr="006825A4" w:rsidRDefault="007238C3" w:rsidP="007238C3"/>
    <w:p w14:paraId="5FE229F9" w14:textId="77777777" w:rsidR="007238C3" w:rsidRPr="006825A4" w:rsidRDefault="007238C3" w:rsidP="007238C3">
      <w:pPr>
        <w:pStyle w:val="berschrift2"/>
      </w:pPr>
      <w:r w:rsidRPr="006825A4">
        <w:t>2.3.5. Correlation of neural activity and rationality</w:t>
      </w:r>
    </w:p>
    <w:p w14:paraId="027114D8" w14:textId="3D4F8AC5" w:rsidR="007238C3" w:rsidRPr="006825A4" w:rsidRDefault="007238C3" w:rsidP="007238C3">
      <w:pPr>
        <w:spacing w:before="240" w:after="240"/>
        <w:ind w:firstLine="720"/>
        <w:jc w:val="both"/>
        <w:rPr>
          <w:rFonts w:cs="Times New Roman"/>
          <w:color w:val="000000"/>
        </w:rPr>
      </w:pPr>
      <w:r w:rsidRPr="006825A4">
        <w:rPr>
          <w:rFonts w:eastAsia="Times New Roman" w:cs="Times New Roman"/>
          <w:color w:val="000000"/>
          <w:szCs w:val="24"/>
        </w:rPr>
        <w:t>In an exploratory analysis</w:t>
      </w:r>
      <w:r>
        <w:rPr>
          <w:rFonts w:eastAsia="Times New Roman" w:cs="Times New Roman"/>
          <w:color w:val="000000"/>
          <w:szCs w:val="24"/>
        </w:rPr>
        <w:t>,</w:t>
      </w:r>
      <w:r w:rsidRPr="006825A4">
        <w:rPr>
          <w:rFonts w:eastAsia="Times New Roman" w:cs="Times New Roman"/>
          <w:color w:val="000000"/>
          <w:szCs w:val="24"/>
        </w:rPr>
        <w:t xml:space="preserve"> we correlated the overall expected value of performed decisions (i.e.</w:t>
      </w:r>
      <w:r>
        <w:rPr>
          <w:rFonts w:eastAsia="Times New Roman" w:cs="Times New Roman"/>
          <w:color w:val="000000"/>
          <w:szCs w:val="24"/>
        </w:rPr>
        <w:t>,</w:t>
      </w:r>
      <w:r w:rsidRPr="006825A4">
        <w:rPr>
          <w:rFonts w:eastAsia="Times New Roman" w:cs="Times New Roman"/>
          <w:color w:val="000000"/>
          <w:szCs w:val="24"/>
        </w:rPr>
        <w:t xml:space="preserve"> the overall </w:t>
      </w:r>
      <w:r>
        <w:rPr>
          <w:rFonts w:eastAsia="Times New Roman" w:cs="Times New Roman"/>
          <w:color w:val="000000"/>
          <w:szCs w:val="24"/>
        </w:rPr>
        <w:t>winnings,</w:t>
      </w:r>
      <w:r w:rsidRPr="006825A4">
        <w:rPr>
          <w:rFonts w:eastAsia="Times New Roman" w:cs="Times New Roman"/>
          <w:color w:val="000000"/>
          <w:szCs w:val="24"/>
        </w:rPr>
        <w:t xml:space="preserve"> which could be interpreted as rationality index) of participants with their neural activity in response to the choice stimulus. The analysis revealed a cluster in left and medial prefrontal regions that emerged at 120–390ms (</w:t>
      </w:r>
      <w:r w:rsidRPr="006825A4">
        <w:rPr>
          <w:rFonts w:eastAsia="Times New Roman" w:cs="Times New Roman"/>
          <w:i/>
          <w:color w:val="000000"/>
          <w:szCs w:val="24"/>
        </w:rPr>
        <w:t>p</w:t>
      </w:r>
      <w:r w:rsidRPr="006825A4">
        <w:rPr>
          <w:rFonts w:eastAsia="Times New Roman" w:cs="Times New Roman"/>
          <w:color w:val="000000"/>
          <w:szCs w:val="24"/>
        </w:rPr>
        <w:t>-cluster</w:t>
      </w:r>
      <w:r w:rsidRPr="006825A4">
        <w:rPr>
          <w:rFonts w:eastAsia="Times New Roman" w:cs="Times New Roman"/>
          <w:i/>
          <w:color w:val="000000"/>
          <w:szCs w:val="24"/>
        </w:rPr>
        <w:t xml:space="preserve"> </w:t>
      </w:r>
      <w:r w:rsidRPr="006825A4">
        <w:rPr>
          <w:rFonts w:eastAsia="Times New Roman" w:cs="Times New Roman"/>
          <w:color w:val="000000"/>
          <w:szCs w:val="24"/>
        </w:rPr>
        <w:t xml:space="preserve">= 0.006; </w:t>
      </w:r>
      <w:proofErr w:type="gramStart"/>
      <w:r w:rsidRPr="006825A4">
        <w:rPr>
          <w:rFonts w:eastAsia="Times New Roman" w:cs="Times New Roman"/>
          <w:i/>
          <w:color w:val="000000"/>
          <w:szCs w:val="24"/>
        </w:rPr>
        <w:t>r</w:t>
      </w:r>
      <w:r w:rsidRPr="006825A4">
        <w:rPr>
          <w:rFonts w:cs="Times New Roman"/>
          <w:color w:val="000000"/>
        </w:rPr>
        <w:t>(</w:t>
      </w:r>
      <w:proofErr w:type="gramEnd"/>
      <w:r w:rsidRPr="006825A4">
        <w:rPr>
          <w:rFonts w:cs="Times New Roman"/>
          <w:color w:val="000000"/>
        </w:rPr>
        <w:t xml:space="preserve">27) = 0.59, </w:t>
      </w:r>
      <w:r w:rsidRPr="006825A4">
        <w:rPr>
          <w:rFonts w:cs="Times New Roman"/>
          <w:i/>
          <w:iCs/>
          <w:color w:val="000000"/>
        </w:rPr>
        <w:t>p</w:t>
      </w:r>
      <w:r w:rsidRPr="006825A4">
        <w:rPr>
          <w:rFonts w:cs="Times New Roman"/>
          <w:color w:val="000000"/>
        </w:rPr>
        <w:t xml:space="preserve"> &lt; 0.001). Following excitatory stimulation</w:t>
      </w:r>
      <w:r>
        <w:rPr>
          <w:rFonts w:cs="Times New Roman"/>
          <w:color w:val="000000"/>
        </w:rPr>
        <w:t>,</w:t>
      </w:r>
      <w:r w:rsidRPr="006825A4">
        <w:rPr>
          <w:rFonts w:cs="Times New Roman"/>
          <w:color w:val="000000"/>
        </w:rPr>
        <w:t xml:space="preserve"> the correlation was slightly stronger (</w:t>
      </w:r>
      <w:proofErr w:type="gramStart"/>
      <w:r w:rsidRPr="006825A4">
        <w:rPr>
          <w:rFonts w:eastAsia="Times New Roman" w:cs="Times New Roman"/>
          <w:i/>
          <w:color w:val="000000"/>
          <w:szCs w:val="24"/>
        </w:rPr>
        <w:t>r</w:t>
      </w:r>
      <w:r w:rsidRPr="006825A4">
        <w:rPr>
          <w:rFonts w:cs="Times New Roman"/>
          <w:color w:val="000000"/>
        </w:rPr>
        <w:t>(</w:t>
      </w:r>
      <w:proofErr w:type="gramEnd"/>
      <w:r w:rsidRPr="006825A4">
        <w:rPr>
          <w:rFonts w:cs="Times New Roman"/>
          <w:color w:val="000000"/>
        </w:rPr>
        <w:t xml:space="preserve">27) = 0.58, </w:t>
      </w:r>
      <w:r w:rsidRPr="006825A4">
        <w:rPr>
          <w:rFonts w:cs="Times New Roman"/>
          <w:i/>
          <w:iCs/>
          <w:color w:val="000000"/>
        </w:rPr>
        <w:t>p</w:t>
      </w:r>
      <w:r w:rsidRPr="006825A4">
        <w:rPr>
          <w:rFonts w:cs="Times New Roman"/>
          <w:color w:val="000000"/>
        </w:rPr>
        <w:t xml:space="preserve"> &lt; 0.001) compared to the inhibitory condition (</w:t>
      </w:r>
      <w:r w:rsidRPr="006825A4">
        <w:rPr>
          <w:rFonts w:eastAsia="Times New Roman" w:cs="Times New Roman"/>
          <w:i/>
          <w:color w:val="000000"/>
          <w:szCs w:val="24"/>
        </w:rPr>
        <w:t>r</w:t>
      </w:r>
      <w:r w:rsidRPr="006825A4">
        <w:rPr>
          <w:rFonts w:cs="Times New Roman"/>
          <w:color w:val="000000"/>
        </w:rPr>
        <w:t xml:space="preserve">(27) = 0.52, </w:t>
      </w:r>
      <w:r w:rsidRPr="006825A4">
        <w:rPr>
          <w:rFonts w:cs="Times New Roman"/>
          <w:i/>
          <w:iCs/>
          <w:color w:val="000000"/>
        </w:rPr>
        <w:t>p</w:t>
      </w:r>
      <w:r w:rsidRPr="006825A4">
        <w:rPr>
          <w:rFonts w:cs="Times New Roman"/>
          <w:color w:val="000000"/>
        </w:rPr>
        <w:t xml:space="preserve"> = 0.003), although they did not differ significantly from each other (</w:t>
      </w:r>
      <w:r w:rsidRPr="006825A4">
        <w:rPr>
          <w:rFonts w:cs="Times New Roman"/>
          <w:i/>
          <w:color w:val="000000"/>
        </w:rPr>
        <w:t xml:space="preserve">z </w:t>
      </w:r>
      <w:r w:rsidRPr="006825A4">
        <w:rPr>
          <w:rFonts w:cs="Times New Roman"/>
          <w:color w:val="000000"/>
        </w:rPr>
        <w:t xml:space="preserve">= 0.29, </w:t>
      </w:r>
      <w:r w:rsidRPr="006825A4">
        <w:rPr>
          <w:rFonts w:cs="Times New Roman"/>
          <w:i/>
          <w:color w:val="000000"/>
        </w:rPr>
        <w:t xml:space="preserve">p </w:t>
      </w:r>
      <w:r w:rsidRPr="006825A4">
        <w:rPr>
          <w:rFonts w:cs="Times New Roman"/>
          <w:color w:val="000000"/>
        </w:rPr>
        <w:t>= 0.380).</w:t>
      </w:r>
    </w:p>
    <w:p w14:paraId="52970A22" w14:textId="7EF6E2EB" w:rsidR="00E561D4" w:rsidRDefault="007238C3" w:rsidP="007238C3">
      <w:pPr>
        <w:spacing w:after="0" w:line="240" w:lineRule="auto"/>
        <w:jc w:val="both"/>
        <w:rPr>
          <w:rFonts w:cs="Times New Roman"/>
          <w:color w:val="000000"/>
          <w:sz w:val="20"/>
          <w:szCs w:val="20"/>
        </w:rPr>
      </w:pPr>
      <w:r>
        <w:rPr>
          <w:noProof/>
        </w:rPr>
        <w:drawing>
          <wp:inline distT="0" distB="0" distL="0" distR="0" wp14:anchorId="67896186" wp14:editId="23529B65">
            <wp:extent cx="5972810" cy="5538470"/>
            <wp:effectExtent l="0" t="0" r="8890" b="508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2810" cy="5538470"/>
                    </a:xfrm>
                    <a:prstGeom prst="rect">
                      <a:avLst/>
                    </a:prstGeom>
                    <a:noFill/>
                    <a:ln>
                      <a:noFill/>
                    </a:ln>
                  </pic:spPr>
                </pic:pic>
              </a:graphicData>
            </a:graphic>
          </wp:inline>
        </w:drawing>
      </w:r>
      <w:r w:rsidRPr="007238C3">
        <w:rPr>
          <w:rFonts w:cs="Times New Roman"/>
          <w:i/>
          <w:iCs/>
          <w:color w:val="000000"/>
          <w:sz w:val="20"/>
          <w:szCs w:val="20"/>
        </w:rPr>
        <w:t xml:space="preserve"> </w:t>
      </w:r>
      <w:r w:rsidRPr="006825A4">
        <w:rPr>
          <w:rFonts w:cs="Times New Roman"/>
          <w:i/>
          <w:iCs/>
          <w:color w:val="000000"/>
          <w:sz w:val="20"/>
          <w:szCs w:val="20"/>
        </w:rPr>
        <w:t xml:space="preserve">Figure SM8. </w:t>
      </w:r>
      <w:r w:rsidRPr="006825A4">
        <w:rPr>
          <w:rFonts w:cs="Times New Roman"/>
          <w:b/>
          <w:color w:val="000000"/>
          <w:sz w:val="20"/>
          <w:szCs w:val="20"/>
        </w:rPr>
        <w:t>A.</w:t>
      </w:r>
      <w:r w:rsidRPr="006825A4">
        <w:rPr>
          <w:rFonts w:cs="Times New Roman"/>
          <w:color w:val="000000"/>
          <w:sz w:val="20"/>
          <w:szCs w:val="20"/>
        </w:rPr>
        <w:t xml:space="preserve"> Significant spatio-temporal cluster in left and medial prefrontal areas featuring a correlation of neural activity with </w:t>
      </w:r>
      <w:r w:rsidRPr="006825A4">
        <w:rPr>
          <w:rFonts w:eastAsia="Times New Roman" w:cs="Times New Roman"/>
          <w:color w:val="000000"/>
          <w:sz w:val="20"/>
          <w:szCs w:val="24"/>
        </w:rPr>
        <w:t>the expected value of choice (i.e.</w:t>
      </w:r>
      <w:r>
        <w:rPr>
          <w:rFonts w:eastAsia="Times New Roman" w:cs="Times New Roman"/>
          <w:color w:val="000000"/>
          <w:sz w:val="20"/>
          <w:szCs w:val="24"/>
        </w:rPr>
        <w:t>,</w:t>
      </w:r>
      <w:r w:rsidRPr="006825A4">
        <w:rPr>
          <w:rFonts w:eastAsia="Times New Roman" w:cs="Times New Roman"/>
          <w:color w:val="000000"/>
          <w:sz w:val="20"/>
          <w:szCs w:val="24"/>
        </w:rPr>
        <w:t xml:space="preserve"> overall </w:t>
      </w:r>
      <w:r>
        <w:rPr>
          <w:rFonts w:eastAsia="Times New Roman" w:cs="Times New Roman"/>
          <w:color w:val="000000"/>
          <w:sz w:val="20"/>
          <w:szCs w:val="24"/>
        </w:rPr>
        <w:t>winnings</w:t>
      </w:r>
      <w:r w:rsidRPr="006825A4">
        <w:rPr>
          <w:rFonts w:eastAsia="Times New Roman" w:cs="Times New Roman"/>
          <w:color w:val="000000"/>
          <w:sz w:val="20"/>
          <w:szCs w:val="24"/>
        </w:rPr>
        <w:t xml:space="preserve"> as correlate of rationality of choice behavior)</w:t>
      </w:r>
      <w:r w:rsidRPr="006825A4">
        <w:rPr>
          <w:rFonts w:cs="Times New Roman"/>
          <w:color w:val="000000"/>
          <w:sz w:val="20"/>
          <w:szCs w:val="20"/>
        </w:rPr>
        <w:t xml:space="preserve"> The greater the neural activation in this cluster</w:t>
      </w:r>
      <w:r>
        <w:rPr>
          <w:rFonts w:cs="Times New Roman"/>
          <w:color w:val="000000"/>
          <w:sz w:val="20"/>
          <w:szCs w:val="20"/>
        </w:rPr>
        <w:t>,</w:t>
      </w:r>
      <w:r w:rsidRPr="006825A4">
        <w:rPr>
          <w:rFonts w:cs="Times New Roman"/>
          <w:color w:val="000000"/>
          <w:sz w:val="20"/>
          <w:szCs w:val="20"/>
        </w:rPr>
        <w:t xml:space="preserve"> the greater the expectation value of the decision made. </w:t>
      </w:r>
      <w:r w:rsidRPr="006825A4">
        <w:rPr>
          <w:rFonts w:cs="Times New Roman"/>
          <w:b/>
          <w:color w:val="000000"/>
          <w:sz w:val="20"/>
          <w:szCs w:val="20"/>
        </w:rPr>
        <w:t>B.</w:t>
      </w:r>
      <w:r w:rsidRPr="006825A4">
        <w:rPr>
          <w:rFonts w:cs="Times New Roman"/>
          <w:color w:val="000000"/>
          <w:sz w:val="20"/>
          <w:szCs w:val="20"/>
        </w:rPr>
        <w:t xml:space="preserve"> Correlations in the cluster shown in A. but after excitatory stimulation only. </w:t>
      </w:r>
      <w:r w:rsidRPr="006825A4">
        <w:rPr>
          <w:rFonts w:cs="Times New Roman"/>
          <w:b/>
          <w:color w:val="000000"/>
          <w:sz w:val="20"/>
          <w:szCs w:val="20"/>
        </w:rPr>
        <w:t>C.</w:t>
      </w:r>
      <w:r w:rsidRPr="006825A4">
        <w:rPr>
          <w:rFonts w:cs="Times New Roman"/>
          <w:color w:val="000000"/>
          <w:sz w:val="20"/>
          <w:szCs w:val="20"/>
        </w:rPr>
        <w:t xml:space="preserve"> Correlations in the cluster shown in A. but after inhibitory stimulation only. Following excitatory stimulation, the correlation was slightly stronger compared to the inhibitory condition, although they did not differ significantly from each other. Topographies of effects observed in L2-MNE were projected on standard 3D brain models for visualization.</w:t>
      </w:r>
    </w:p>
    <w:p w14:paraId="138EB9F0" w14:textId="77777777" w:rsidR="007238C3" w:rsidRDefault="007238C3" w:rsidP="007238C3">
      <w:pPr>
        <w:spacing w:after="0" w:line="240" w:lineRule="auto"/>
        <w:jc w:val="both"/>
        <w:rPr>
          <w:rFonts w:eastAsia="Times New Roman" w:cs="Times New Roman"/>
          <w:color w:val="000000"/>
          <w:szCs w:val="24"/>
        </w:rPr>
      </w:pPr>
    </w:p>
    <w:p w14:paraId="680601AB" w14:textId="789E9843" w:rsidR="002926BE" w:rsidRDefault="00AD2E00" w:rsidP="001F177E">
      <w:pPr>
        <w:spacing w:before="240" w:after="240"/>
        <w:ind w:firstLine="720"/>
        <w:jc w:val="both"/>
        <w:rPr>
          <w:rFonts w:eastAsia="Times New Roman" w:cs="Times New Roman"/>
          <w:color w:val="000000"/>
          <w:szCs w:val="24"/>
        </w:rPr>
      </w:pPr>
      <w:r>
        <w:rPr>
          <w:rFonts w:eastAsia="Times New Roman" w:cs="Times New Roman"/>
          <w:color w:val="000000"/>
          <w:szCs w:val="24"/>
        </w:rPr>
        <w:t>This correlation</w:t>
      </w:r>
      <w:r w:rsidRPr="00133846">
        <w:rPr>
          <w:rFonts w:eastAsia="Times New Roman" w:cs="Times New Roman"/>
          <w:color w:val="000000"/>
          <w:szCs w:val="24"/>
        </w:rPr>
        <w:t xml:space="preserve"> between neural activity and the expected value of the decision</w:t>
      </w:r>
      <w:r w:rsidR="001F177E">
        <w:rPr>
          <w:rFonts w:eastAsia="Times New Roman" w:cs="Times New Roman"/>
          <w:color w:val="000000"/>
          <w:szCs w:val="24"/>
        </w:rPr>
        <w:t>s</w:t>
      </w:r>
      <w:r w:rsidRPr="00133846">
        <w:rPr>
          <w:rFonts w:eastAsia="Times New Roman" w:cs="Times New Roman"/>
          <w:color w:val="000000"/>
          <w:szCs w:val="24"/>
        </w:rPr>
        <w:t xml:space="preserve"> made, what can be interpreted as an index of rationality</w:t>
      </w:r>
      <w:r w:rsidR="00EB640D">
        <w:rPr>
          <w:rFonts w:eastAsia="Times New Roman" w:cs="Times New Roman"/>
          <w:color w:val="000000"/>
          <w:szCs w:val="24"/>
        </w:rPr>
        <w:t xml:space="preserve"> of </w:t>
      </w:r>
      <w:r w:rsidR="00001A4F">
        <w:rPr>
          <w:rFonts w:eastAsia="Times New Roman" w:cs="Times New Roman"/>
          <w:color w:val="000000"/>
          <w:szCs w:val="24"/>
        </w:rPr>
        <w:t>decision-making</w:t>
      </w:r>
      <w:r>
        <w:rPr>
          <w:rFonts w:eastAsia="Times New Roman" w:cs="Times New Roman"/>
          <w:color w:val="000000"/>
          <w:szCs w:val="24"/>
        </w:rPr>
        <w:t xml:space="preserve">, </w:t>
      </w:r>
      <w:r w:rsidR="00EB640D">
        <w:rPr>
          <w:rFonts w:eastAsia="Times New Roman" w:cs="Times New Roman"/>
          <w:color w:val="000000"/>
          <w:szCs w:val="24"/>
        </w:rPr>
        <w:t>further supported the relevance</w:t>
      </w:r>
      <w:r>
        <w:rPr>
          <w:rFonts w:eastAsia="Times New Roman" w:cs="Times New Roman"/>
          <w:color w:val="000000"/>
          <w:szCs w:val="24"/>
        </w:rPr>
        <w:t xml:space="preserve"> of left and medial prefrontal regions in </w:t>
      </w:r>
      <w:r w:rsidR="00D90689">
        <w:rPr>
          <w:rFonts w:eastAsia="Times New Roman" w:cs="Times New Roman"/>
          <w:color w:val="000000"/>
          <w:szCs w:val="24"/>
        </w:rPr>
        <w:t xml:space="preserve">rational </w:t>
      </w:r>
      <w:r w:rsidR="00001A4F">
        <w:rPr>
          <w:rFonts w:eastAsia="Times New Roman" w:cs="Times New Roman"/>
          <w:color w:val="000000"/>
          <w:szCs w:val="24"/>
        </w:rPr>
        <w:t>decision-making</w:t>
      </w:r>
      <w:r w:rsidRPr="00133846">
        <w:rPr>
          <w:rFonts w:eastAsia="Times New Roman" w:cs="Times New Roman"/>
          <w:color w:val="000000"/>
          <w:szCs w:val="24"/>
        </w:rPr>
        <w:t xml:space="preserve">. </w:t>
      </w:r>
      <w:r>
        <w:rPr>
          <w:rFonts w:eastAsia="Times New Roman" w:cs="Times New Roman"/>
          <w:color w:val="000000"/>
          <w:szCs w:val="24"/>
        </w:rPr>
        <w:t xml:space="preserve">This cluster </w:t>
      </w:r>
      <w:r w:rsidR="00EB640D">
        <w:rPr>
          <w:rFonts w:eastAsia="Times New Roman" w:cs="Times New Roman"/>
          <w:color w:val="000000"/>
          <w:szCs w:val="24"/>
        </w:rPr>
        <w:t>(Fig.</w:t>
      </w:r>
      <w:r w:rsidR="00B17E79">
        <w:rPr>
          <w:rFonts w:eastAsia="Times New Roman" w:cs="Times New Roman"/>
          <w:color w:val="000000"/>
          <w:szCs w:val="24"/>
        </w:rPr>
        <w:t xml:space="preserve"> </w:t>
      </w:r>
      <w:r w:rsidR="00EB640D">
        <w:rPr>
          <w:rFonts w:eastAsia="Times New Roman" w:cs="Times New Roman"/>
          <w:color w:val="000000"/>
          <w:szCs w:val="24"/>
        </w:rPr>
        <w:t xml:space="preserve">SM8) </w:t>
      </w:r>
      <w:r>
        <w:rPr>
          <w:rFonts w:eastAsia="Times New Roman" w:cs="Times New Roman"/>
          <w:color w:val="000000"/>
          <w:szCs w:val="24"/>
        </w:rPr>
        <w:t xml:space="preserve">strongly overlaps with the </w:t>
      </w:r>
      <w:r w:rsidR="00EB640D">
        <w:rPr>
          <w:rFonts w:eastAsia="Times New Roman" w:cs="Times New Roman"/>
          <w:color w:val="000000"/>
          <w:szCs w:val="24"/>
        </w:rPr>
        <w:t>subsequent (470</w:t>
      </w:r>
      <w:r w:rsidR="00B17E79">
        <w:rPr>
          <w:rFonts w:eastAsia="Times New Roman" w:cs="Times New Roman"/>
          <w:color w:val="000000"/>
          <w:szCs w:val="24"/>
        </w:rPr>
        <w:t>–</w:t>
      </w:r>
      <w:r w:rsidR="00EB640D">
        <w:rPr>
          <w:rFonts w:eastAsia="Times New Roman" w:cs="Times New Roman"/>
          <w:color w:val="000000"/>
          <w:szCs w:val="24"/>
        </w:rPr>
        <w:t xml:space="preserve">510ms) </w:t>
      </w:r>
      <w:r>
        <w:rPr>
          <w:rFonts w:eastAsia="Times New Roman" w:cs="Times New Roman"/>
          <w:color w:val="000000"/>
          <w:szCs w:val="24"/>
        </w:rPr>
        <w:t xml:space="preserve">cluster </w:t>
      </w:r>
      <w:r w:rsidR="00EB640D">
        <w:rPr>
          <w:rFonts w:eastAsia="Times New Roman" w:cs="Times New Roman"/>
          <w:color w:val="000000"/>
          <w:szCs w:val="24"/>
        </w:rPr>
        <w:t xml:space="preserve">shown </w:t>
      </w:r>
      <w:r>
        <w:rPr>
          <w:rFonts w:eastAsia="Times New Roman" w:cs="Times New Roman"/>
          <w:color w:val="000000"/>
          <w:szCs w:val="24"/>
        </w:rPr>
        <w:t>in Fig. 3C (see main text)</w:t>
      </w:r>
      <w:r w:rsidR="00D90689">
        <w:rPr>
          <w:rFonts w:eastAsia="Times New Roman" w:cs="Times New Roman"/>
          <w:color w:val="000000"/>
          <w:szCs w:val="24"/>
        </w:rPr>
        <w:t xml:space="preserve">, which </w:t>
      </w:r>
      <w:r w:rsidR="00EB640D">
        <w:rPr>
          <w:rFonts w:eastAsia="Times New Roman" w:cs="Times New Roman"/>
          <w:color w:val="000000"/>
          <w:szCs w:val="24"/>
        </w:rPr>
        <w:t>has been shown as</w:t>
      </w:r>
      <w:r w:rsidR="00D90689">
        <w:rPr>
          <w:rFonts w:eastAsia="Times New Roman" w:cs="Times New Roman"/>
          <w:color w:val="000000"/>
          <w:szCs w:val="24"/>
        </w:rPr>
        <w:t xml:space="preserve"> associated with rationality in feedback</w:t>
      </w:r>
      <w:r w:rsidR="00616001">
        <w:rPr>
          <w:rFonts w:eastAsia="Times New Roman" w:cs="Times New Roman"/>
          <w:color w:val="000000"/>
          <w:szCs w:val="24"/>
        </w:rPr>
        <w:t>-</w:t>
      </w:r>
      <w:r w:rsidR="00D90689">
        <w:rPr>
          <w:rFonts w:eastAsia="Times New Roman" w:cs="Times New Roman"/>
          <w:color w:val="000000"/>
          <w:szCs w:val="24"/>
        </w:rPr>
        <w:t xml:space="preserve">processing, </w:t>
      </w:r>
      <w:r w:rsidR="00EB640D">
        <w:rPr>
          <w:rFonts w:eastAsia="Times New Roman" w:cs="Times New Roman"/>
          <w:color w:val="000000"/>
          <w:szCs w:val="24"/>
        </w:rPr>
        <w:t xml:space="preserve">further </w:t>
      </w:r>
      <w:r w:rsidR="00D90689">
        <w:rPr>
          <w:rFonts w:eastAsia="Times New Roman" w:cs="Times New Roman"/>
          <w:color w:val="000000"/>
          <w:szCs w:val="24"/>
        </w:rPr>
        <w:t xml:space="preserve">underscoring our finding that the medial prefrontal cortex is responsible for rational evaluation of </w:t>
      </w:r>
      <w:r w:rsidR="0045683E">
        <w:rPr>
          <w:rFonts w:eastAsia="Times New Roman" w:cs="Times New Roman"/>
          <w:color w:val="000000"/>
          <w:szCs w:val="24"/>
        </w:rPr>
        <w:t>option</w:t>
      </w:r>
      <w:r w:rsidR="00EB640D">
        <w:rPr>
          <w:rFonts w:eastAsia="Times New Roman" w:cs="Times New Roman"/>
          <w:color w:val="000000"/>
          <w:szCs w:val="24"/>
        </w:rPr>
        <w:t>s</w:t>
      </w:r>
      <w:r w:rsidR="0045683E">
        <w:rPr>
          <w:rFonts w:eastAsia="Times New Roman" w:cs="Times New Roman"/>
          <w:color w:val="000000"/>
          <w:szCs w:val="24"/>
        </w:rPr>
        <w:t xml:space="preserve"> for action and feedback o</w:t>
      </w:r>
      <w:r w:rsidR="00EB640D">
        <w:rPr>
          <w:rFonts w:eastAsia="Times New Roman" w:cs="Times New Roman"/>
          <w:color w:val="000000"/>
          <w:szCs w:val="24"/>
        </w:rPr>
        <w:t>n</w:t>
      </w:r>
      <w:r w:rsidR="0045683E">
        <w:rPr>
          <w:rFonts w:eastAsia="Times New Roman" w:cs="Times New Roman"/>
          <w:color w:val="000000"/>
          <w:szCs w:val="24"/>
        </w:rPr>
        <w:t xml:space="preserve"> the performed </w:t>
      </w:r>
      <w:r w:rsidR="00EB640D">
        <w:rPr>
          <w:rFonts w:eastAsia="Times New Roman" w:cs="Times New Roman"/>
          <w:color w:val="000000"/>
          <w:szCs w:val="24"/>
        </w:rPr>
        <w:t>decision</w:t>
      </w:r>
      <w:r w:rsidR="00D90689">
        <w:rPr>
          <w:rFonts w:eastAsia="Times New Roman" w:cs="Times New Roman"/>
          <w:color w:val="000000"/>
          <w:szCs w:val="24"/>
        </w:rPr>
        <w:t>.</w:t>
      </w:r>
      <w:r w:rsidR="0045683E">
        <w:rPr>
          <w:rFonts w:eastAsia="Times New Roman" w:cs="Times New Roman"/>
          <w:color w:val="000000"/>
          <w:szCs w:val="24"/>
        </w:rPr>
        <w:t xml:space="preserve"> </w:t>
      </w:r>
      <w:r w:rsidR="00EB640D">
        <w:rPr>
          <w:rFonts w:eastAsia="Times New Roman" w:cs="Times New Roman"/>
          <w:color w:val="000000"/>
          <w:szCs w:val="24"/>
        </w:rPr>
        <w:t xml:space="preserve">Again, </w:t>
      </w:r>
      <w:r w:rsidR="00A60F6B">
        <w:rPr>
          <w:rFonts w:eastAsia="Times New Roman" w:cs="Times New Roman"/>
          <w:color w:val="000000"/>
          <w:szCs w:val="24"/>
        </w:rPr>
        <w:t>while the later cluster in the main text (see Fig. 3C) revealed an interaction with the factor stimulation,</w:t>
      </w:r>
      <w:r w:rsidR="001F177E">
        <w:rPr>
          <w:rFonts w:eastAsia="Times New Roman" w:cs="Times New Roman"/>
          <w:color w:val="000000"/>
          <w:szCs w:val="24"/>
        </w:rPr>
        <w:t xml:space="preserve"> activity in</w:t>
      </w:r>
      <w:r w:rsidR="00A60F6B">
        <w:rPr>
          <w:rFonts w:eastAsia="Times New Roman" w:cs="Times New Roman"/>
          <w:color w:val="000000"/>
          <w:szCs w:val="24"/>
        </w:rPr>
        <w:t xml:space="preserve"> this earlier cluster shown here was not modulated by stimulation. It thus remains to be resolved if the stimulation had no sufficient impact to prove a modulation on</w:t>
      </w:r>
      <w:r w:rsidR="001F177E">
        <w:rPr>
          <w:rFonts w:eastAsia="Times New Roman" w:cs="Times New Roman"/>
          <w:color w:val="000000"/>
          <w:szCs w:val="24"/>
        </w:rPr>
        <w:t xml:space="preserve"> the</w:t>
      </w:r>
      <w:r w:rsidR="00A60F6B">
        <w:rPr>
          <w:rFonts w:eastAsia="Times New Roman" w:cs="Times New Roman"/>
          <w:color w:val="000000"/>
          <w:szCs w:val="24"/>
        </w:rPr>
        <w:t xml:space="preserve"> rational</w:t>
      </w:r>
      <w:r w:rsidR="001F177E">
        <w:rPr>
          <w:rFonts w:eastAsia="Times New Roman" w:cs="Times New Roman"/>
          <w:color w:val="000000"/>
          <w:szCs w:val="24"/>
        </w:rPr>
        <w:t>ity of</w:t>
      </w:r>
      <w:r w:rsidR="00A60F6B">
        <w:rPr>
          <w:rFonts w:eastAsia="Times New Roman" w:cs="Times New Roman"/>
          <w:color w:val="000000"/>
          <w:szCs w:val="24"/>
        </w:rPr>
        <w:t xml:space="preserve"> </w:t>
      </w:r>
      <w:r w:rsidR="00242492">
        <w:rPr>
          <w:rFonts w:eastAsia="Times New Roman" w:cs="Times New Roman"/>
          <w:color w:val="000000"/>
          <w:szCs w:val="24"/>
        </w:rPr>
        <w:t xml:space="preserve">decision-making </w:t>
      </w:r>
      <w:r w:rsidR="00A60F6B">
        <w:rPr>
          <w:rFonts w:eastAsia="Times New Roman" w:cs="Times New Roman"/>
          <w:color w:val="000000"/>
          <w:szCs w:val="24"/>
        </w:rPr>
        <w:t>also in this earlier time interval.</w:t>
      </w:r>
    </w:p>
    <w:p w14:paraId="6C900FB5" w14:textId="43394BF7" w:rsidR="00504F09" w:rsidRDefault="00504F09" w:rsidP="0061333A">
      <w:pPr>
        <w:pStyle w:val="berschrift2"/>
      </w:pPr>
      <w:r>
        <w:t>2.</w:t>
      </w:r>
      <w:r w:rsidR="007B2CAD">
        <w:t>4</w:t>
      </w:r>
      <w:r>
        <w:t>.</w:t>
      </w:r>
      <w:r w:rsidRPr="00793F8B">
        <w:t xml:space="preserve"> </w:t>
      </w:r>
      <w:r>
        <w:t xml:space="preserve">Supplementary </w:t>
      </w:r>
      <w:r w:rsidR="00547124">
        <w:t>a</w:t>
      </w:r>
      <w:r>
        <w:t xml:space="preserve">nalyses on </w:t>
      </w:r>
      <w:r w:rsidR="00547124">
        <w:t>f</w:t>
      </w:r>
      <w:r>
        <w:t>eedback-</w:t>
      </w:r>
      <w:r w:rsidR="00547124">
        <w:t>p</w:t>
      </w:r>
      <w:r>
        <w:t>rocessing</w:t>
      </w:r>
    </w:p>
    <w:p w14:paraId="64BBEFAC" w14:textId="0FD02283" w:rsidR="007B2CAD" w:rsidRDefault="007B2CAD" w:rsidP="00273DF1">
      <w:pPr>
        <w:pStyle w:val="berschrift2"/>
        <w:spacing w:before="160" w:after="160"/>
      </w:pPr>
      <w:r>
        <w:t>2.4.1. SAM-</w:t>
      </w:r>
      <w:r w:rsidR="00547124">
        <w:t>a</w:t>
      </w:r>
      <w:r>
        <w:t xml:space="preserve">rousal </w:t>
      </w:r>
      <w:r w:rsidR="00547124">
        <w:t>r</w:t>
      </w:r>
      <w:r>
        <w:t>atings</w:t>
      </w:r>
    </w:p>
    <w:p w14:paraId="36836E36" w14:textId="4AF67A8E" w:rsidR="00504F09" w:rsidRDefault="0097249D" w:rsidP="00273DF1">
      <w:pPr>
        <w:spacing w:before="160"/>
        <w:ind w:firstLine="720"/>
        <w:jc w:val="both"/>
        <w:rPr>
          <w:rFonts w:eastAsia="Times New Roman" w:cs="Times New Roman"/>
          <w:color w:val="000000"/>
          <w:szCs w:val="24"/>
        </w:rPr>
      </w:pPr>
      <w:r>
        <w:rPr>
          <w:rFonts w:eastAsia="Times New Roman" w:cs="Times New Roman"/>
          <w:color w:val="000000"/>
          <w:szCs w:val="24"/>
        </w:rPr>
        <w:t>The</w:t>
      </w:r>
      <w:r w:rsidR="00CD1D24">
        <w:rPr>
          <w:rFonts w:eastAsia="Times New Roman" w:cs="Times New Roman"/>
          <w:color w:val="000000"/>
          <w:szCs w:val="24"/>
        </w:rPr>
        <w:t xml:space="preserve"> SAM-</w:t>
      </w:r>
      <w:r w:rsidR="00922184" w:rsidRPr="00922184">
        <w:rPr>
          <w:rFonts w:eastAsia="Times New Roman" w:cs="Times New Roman"/>
          <w:color w:val="000000"/>
          <w:szCs w:val="24"/>
        </w:rPr>
        <w:t>arousal ratings did not reveal any</w:t>
      </w:r>
      <w:r w:rsidR="00922184">
        <w:rPr>
          <w:rFonts w:eastAsia="Times New Roman" w:cs="Times New Roman"/>
          <w:color w:val="000000"/>
          <w:szCs w:val="24"/>
        </w:rPr>
        <w:t xml:space="preserve"> main (</w:t>
      </w:r>
      <w:proofErr w:type="gramStart"/>
      <w:r w:rsidR="00922184" w:rsidRPr="00523D6E">
        <w:rPr>
          <w:rFonts w:eastAsia="Times New Roman" w:cs="Times New Roman"/>
          <w:i/>
          <w:color w:val="000000"/>
          <w:szCs w:val="24"/>
        </w:rPr>
        <w:t>F</w:t>
      </w:r>
      <w:r w:rsidR="00922184" w:rsidRPr="00E55DBA">
        <w:rPr>
          <w:rFonts w:eastAsia="Times New Roman" w:cs="Times New Roman"/>
          <w:color w:val="000000"/>
          <w:szCs w:val="24"/>
        </w:rPr>
        <w:t>(</w:t>
      </w:r>
      <w:proofErr w:type="gramEnd"/>
      <w:r w:rsidR="00922184">
        <w:rPr>
          <w:rFonts w:eastAsia="Times New Roman" w:cs="Times New Roman"/>
          <w:color w:val="000000"/>
          <w:szCs w:val="24"/>
        </w:rPr>
        <w:t>1,</w:t>
      </w:r>
      <w:r w:rsidR="00922184" w:rsidRPr="00E55DBA">
        <w:rPr>
          <w:rFonts w:eastAsia="Times New Roman" w:cs="Times New Roman"/>
          <w:color w:val="000000"/>
          <w:szCs w:val="24"/>
        </w:rPr>
        <w:t>3</w:t>
      </w:r>
      <w:r w:rsidR="006527F7">
        <w:rPr>
          <w:rFonts w:eastAsia="Times New Roman" w:cs="Times New Roman"/>
          <w:color w:val="000000"/>
          <w:szCs w:val="24"/>
        </w:rPr>
        <w:t>5</w:t>
      </w:r>
      <w:r w:rsidR="00922184" w:rsidRPr="00E55DBA">
        <w:rPr>
          <w:rFonts w:eastAsia="Times New Roman" w:cs="Times New Roman"/>
          <w:color w:val="000000"/>
          <w:szCs w:val="24"/>
        </w:rPr>
        <w:t xml:space="preserve">) = </w:t>
      </w:r>
      <w:r w:rsidR="001C3A22">
        <w:rPr>
          <w:rFonts w:eastAsia="Times New Roman" w:cs="Times New Roman"/>
          <w:color w:val="000000"/>
          <w:szCs w:val="24"/>
        </w:rPr>
        <w:t>0.</w:t>
      </w:r>
      <w:r w:rsidR="00A86842">
        <w:rPr>
          <w:rFonts w:eastAsia="Times New Roman" w:cs="Times New Roman"/>
          <w:color w:val="000000"/>
          <w:szCs w:val="24"/>
        </w:rPr>
        <w:t>38</w:t>
      </w:r>
      <w:r w:rsidR="00922184" w:rsidRPr="00E55DBA">
        <w:rPr>
          <w:rFonts w:eastAsia="Times New Roman" w:cs="Times New Roman"/>
          <w:color w:val="000000"/>
          <w:szCs w:val="24"/>
        </w:rPr>
        <w:t xml:space="preserve">, </w:t>
      </w:r>
      <w:r w:rsidR="00922184" w:rsidRPr="004523CA">
        <w:rPr>
          <w:rFonts w:eastAsia="Times New Roman" w:cs="Times New Roman"/>
          <w:i/>
          <w:color w:val="000000"/>
          <w:szCs w:val="24"/>
        </w:rPr>
        <w:t>p</w:t>
      </w:r>
      <w:r w:rsidR="00922184" w:rsidRPr="00E55DBA">
        <w:rPr>
          <w:rFonts w:eastAsia="Times New Roman" w:cs="Times New Roman"/>
          <w:color w:val="000000"/>
          <w:szCs w:val="24"/>
        </w:rPr>
        <w:t xml:space="preserve"> </w:t>
      </w:r>
      <w:r w:rsidR="00922184">
        <w:rPr>
          <w:rFonts w:eastAsia="Times New Roman" w:cs="Times New Roman"/>
          <w:color w:val="000000"/>
          <w:szCs w:val="24"/>
        </w:rPr>
        <w:t>=</w:t>
      </w:r>
      <w:r w:rsidR="00922184" w:rsidRPr="00E55DBA">
        <w:rPr>
          <w:rFonts w:eastAsia="Times New Roman" w:cs="Times New Roman"/>
          <w:color w:val="000000"/>
          <w:szCs w:val="24"/>
        </w:rPr>
        <w:t xml:space="preserve"> 0.</w:t>
      </w:r>
      <w:r w:rsidR="00A86842">
        <w:rPr>
          <w:rFonts w:eastAsia="Times New Roman" w:cs="Times New Roman"/>
          <w:color w:val="000000"/>
          <w:szCs w:val="24"/>
        </w:rPr>
        <w:t>538</w:t>
      </w:r>
      <w:r w:rsidR="00922184">
        <w:rPr>
          <w:rFonts w:eastAsia="Times New Roman" w:cs="Times New Roman"/>
          <w:color w:val="000000"/>
          <w:szCs w:val="24"/>
        </w:rPr>
        <w:t>) or</w:t>
      </w:r>
      <w:r w:rsidR="00922184" w:rsidRPr="00922184">
        <w:rPr>
          <w:rFonts w:eastAsia="Times New Roman" w:cs="Times New Roman"/>
          <w:color w:val="000000"/>
          <w:szCs w:val="24"/>
        </w:rPr>
        <w:t xml:space="preserve"> interaction effects</w:t>
      </w:r>
      <w:r w:rsidR="008F2A8E">
        <w:rPr>
          <w:rFonts w:eastAsia="Times New Roman" w:cs="Times New Roman"/>
          <w:color w:val="000000"/>
          <w:szCs w:val="24"/>
        </w:rPr>
        <w:t xml:space="preserve"> </w:t>
      </w:r>
      <w:r w:rsidR="008F2A8E" w:rsidRPr="00922184">
        <w:rPr>
          <w:rFonts w:eastAsia="Times New Roman" w:cs="Times New Roman"/>
          <w:color w:val="000000"/>
          <w:szCs w:val="24"/>
        </w:rPr>
        <w:t xml:space="preserve">with the </w:t>
      </w:r>
      <w:r w:rsidR="00AC60DA">
        <w:rPr>
          <w:rFonts w:eastAsia="Times New Roman" w:cs="Times New Roman"/>
          <w:color w:val="000000"/>
          <w:szCs w:val="24"/>
        </w:rPr>
        <w:t xml:space="preserve">factor </w:t>
      </w:r>
      <w:r w:rsidR="008F2A8E" w:rsidRPr="00922184">
        <w:rPr>
          <w:rFonts w:eastAsia="Times New Roman" w:cs="Times New Roman"/>
          <w:color w:val="000000"/>
          <w:szCs w:val="24"/>
        </w:rPr>
        <w:t>stimulation</w:t>
      </w:r>
      <w:r w:rsidR="00A86842">
        <w:rPr>
          <w:rFonts w:eastAsia="Times New Roman" w:cs="Times New Roman"/>
          <w:color w:val="000000"/>
          <w:szCs w:val="24"/>
        </w:rPr>
        <w:t xml:space="preserve"> (stimulation </w:t>
      </w:r>
      <w:r w:rsidR="003F5217">
        <w:rPr>
          <w:rFonts w:eastAsia="Times New Roman" w:cs="Times New Roman"/>
          <w:color w:val="000000"/>
          <w:szCs w:val="24"/>
        </w:rPr>
        <w:t>by</w:t>
      </w:r>
      <w:r w:rsidR="00A86842">
        <w:rPr>
          <w:rFonts w:eastAsia="Times New Roman" w:cs="Times New Roman"/>
          <w:color w:val="000000"/>
          <w:szCs w:val="24"/>
        </w:rPr>
        <w:t xml:space="preserve"> decision: </w:t>
      </w:r>
      <w:r w:rsidR="00A86842" w:rsidRPr="00523D6E">
        <w:rPr>
          <w:rFonts w:eastAsia="Times New Roman" w:cs="Times New Roman"/>
          <w:i/>
          <w:color w:val="000000"/>
          <w:szCs w:val="24"/>
        </w:rPr>
        <w:t>F</w:t>
      </w:r>
      <w:r w:rsidR="00A86842" w:rsidRPr="00E55DBA">
        <w:rPr>
          <w:rFonts w:eastAsia="Times New Roman" w:cs="Times New Roman"/>
          <w:color w:val="000000"/>
          <w:szCs w:val="24"/>
        </w:rPr>
        <w:t>(</w:t>
      </w:r>
      <w:r w:rsidR="00A86842">
        <w:rPr>
          <w:rFonts w:eastAsia="Times New Roman" w:cs="Times New Roman"/>
          <w:color w:val="000000"/>
          <w:szCs w:val="24"/>
        </w:rPr>
        <w:t>1,</w:t>
      </w:r>
      <w:r w:rsidR="00A86842" w:rsidRPr="00E55DBA">
        <w:rPr>
          <w:rFonts w:eastAsia="Times New Roman" w:cs="Times New Roman"/>
          <w:color w:val="000000"/>
          <w:szCs w:val="24"/>
        </w:rPr>
        <w:t>3</w:t>
      </w:r>
      <w:r w:rsidR="00A86842">
        <w:rPr>
          <w:rFonts w:eastAsia="Times New Roman" w:cs="Times New Roman"/>
          <w:color w:val="000000"/>
          <w:szCs w:val="24"/>
        </w:rPr>
        <w:t>5</w:t>
      </w:r>
      <w:r w:rsidR="00A86842" w:rsidRPr="00E55DBA">
        <w:rPr>
          <w:rFonts w:eastAsia="Times New Roman" w:cs="Times New Roman"/>
          <w:color w:val="000000"/>
          <w:szCs w:val="24"/>
        </w:rPr>
        <w:t xml:space="preserve">) = </w:t>
      </w:r>
      <w:r w:rsidR="00A86842">
        <w:rPr>
          <w:rFonts w:eastAsia="Times New Roman" w:cs="Times New Roman"/>
          <w:color w:val="000000"/>
          <w:szCs w:val="24"/>
        </w:rPr>
        <w:t>0.08</w:t>
      </w:r>
      <w:r w:rsidR="00A86842" w:rsidRPr="00E55DBA">
        <w:rPr>
          <w:rFonts w:eastAsia="Times New Roman" w:cs="Times New Roman"/>
          <w:color w:val="000000"/>
          <w:szCs w:val="24"/>
        </w:rPr>
        <w:t xml:space="preserve">, </w:t>
      </w:r>
      <w:r w:rsidR="00A86842" w:rsidRPr="004523CA">
        <w:rPr>
          <w:rFonts w:eastAsia="Times New Roman" w:cs="Times New Roman"/>
          <w:i/>
          <w:color w:val="000000"/>
          <w:szCs w:val="24"/>
        </w:rPr>
        <w:t>p</w:t>
      </w:r>
      <w:r w:rsidR="00A86842" w:rsidRPr="00E55DBA">
        <w:rPr>
          <w:rFonts w:eastAsia="Times New Roman" w:cs="Times New Roman"/>
          <w:color w:val="000000"/>
          <w:szCs w:val="24"/>
        </w:rPr>
        <w:t xml:space="preserve"> </w:t>
      </w:r>
      <w:r w:rsidR="00A86842">
        <w:rPr>
          <w:rFonts w:eastAsia="Times New Roman" w:cs="Times New Roman"/>
          <w:color w:val="000000"/>
          <w:szCs w:val="24"/>
        </w:rPr>
        <w:t>=</w:t>
      </w:r>
      <w:r w:rsidR="00A86842" w:rsidRPr="00E55DBA">
        <w:rPr>
          <w:rFonts w:eastAsia="Times New Roman" w:cs="Times New Roman"/>
          <w:color w:val="000000"/>
          <w:szCs w:val="24"/>
        </w:rPr>
        <w:t xml:space="preserve"> 0.</w:t>
      </w:r>
      <w:r w:rsidR="00A86842">
        <w:rPr>
          <w:rFonts w:eastAsia="Times New Roman" w:cs="Times New Roman"/>
          <w:color w:val="000000"/>
          <w:szCs w:val="24"/>
        </w:rPr>
        <w:t xml:space="preserve">775; stimulation </w:t>
      </w:r>
      <w:r w:rsidR="003F5217">
        <w:rPr>
          <w:rFonts w:eastAsia="Times New Roman" w:cs="Times New Roman"/>
          <w:color w:val="000000"/>
          <w:szCs w:val="24"/>
        </w:rPr>
        <w:t>by</w:t>
      </w:r>
      <w:r w:rsidR="00A86842">
        <w:rPr>
          <w:rFonts w:eastAsia="Times New Roman" w:cs="Times New Roman"/>
          <w:color w:val="000000"/>
          <w:szCs w:val="24"/>
        </w:rPr>
        <w:t xml:space="preserve"> outcome: </w:t>
      </w:r>
      <w:r w:rsidR="00A86842" w:rsidRPr="00523D6E">
        <w:rPr>
          <w:rFonts w:eastAsia="Times New Roman" w:cs="Times New Roman"/>
          <w:i/>
          <w:color w:val="000000"/>
          <w:szCs w:val="24"/>
        </w:rPr>
        <w:t>F</w:t>
      </w:r>
      <w:r w:rsidR="00A86842" w:rsidRPr="00E55DBA">
        <w:rPr>
          <w:rFonts w:eastAsia="Times New Roman" w:cs="Times New Roman"/>
          <w:color w:val="000000"/>
          <w:szCs w:val="24"/>
        </w:rPr>
        <w:t>(</w:t>
      </w:r>
      <w:r w:rsidR="00A86842">
        <w:rPr>
          <w:rFonts w:eastAsia="Times New Roman" w:cs="Times New Roman"/>
          <w:color w:val="000000"/>
          <w:szCs w:val="24"/>
        </w:rPr>
        <w:t>1,</w:t>
      </w:r>
      <w:r w:rsidR="00A86842" w:rsidRPr="00E55DBA">
        <w:rPr>
          <w:rFonts w:eastAsia="Times New Roman" w:cs="Times New Roman"/>
          <w:color w:val="000000"/>
          <w:szCs w:val="24"/>
        </w:rPr>
        <w:t>3</w:t>
      </w:r>
      <w:r w:rsidR="00A86842">
        <w:rPr>
          <w:rFonts w:eastAsia="Times New Roman" w:cs="Times New Roman"/>
          <w:color w:val="000000"/>
          <w:szCs w:val="24"/>
        </w:rPr>
        <w:t>5</w:t>
      </w:r>
      <w:r w:rsidR="00A86842" w:rsidRPr="00E55DBA">
        <w:rPr>
          <w:rFonts w:eastAsia="Times New Roman" w:cs="Times New Roman"/>
          <w:color w:val="000000"/>
          <w:szCs w:val="24"/>
        </w:rPr>
        <w:t xml:space="preserve">) = </w:t>
      </w:r>
      <w:r w:rsidR="00A86842">
        <w:rPr>
          <w:rFonts w:eastAsia="Times New Roman" w:cs="Times New Roman"/>
          <w:color w:val="000000"/>
          <w:szCs w:val="24"/>
        </w:rPr>
        <w:t>1.57</w:t>
      </w:r>
      <w:r w:rsidR="00A86842" w:rsidRPr="00E55DBA">
        <w:rPr>
          <w:rFonts w:eastAsia="Times New Roman" w:cs="Times New Roman"/>
          <w:color w:val="000000"/>
          <w:szCs w:val="24"/>
        </w:rPr>
        <w:t xml:space="preserve">, </w:t>
      </w:r>
      <w:r w:rsidR="00A86842" w:rsidRPr="004523CA">
        <w:rPr>
          <w:rFonts w:eastAsia="Times New Roman" w:cs="Times New Roman"/>
          <w:i/>
          <w:color w:val="000000"/>
          <w:szCs w:val="24"/>
        </w:rPr>
        <w:t>p</w:t>
      </w:r>
      <w:r w:rsidR="00A86842" w:rsidRPr="00E55DBA">
        <w:rPr>
          <w:rFonts w:eastAsia="Times New Roman" w:cs="Times New Roman"/>
          <w:color w:val="000000"/>
          <w:szCs w:val="24"/>
        </w:rPr>
        <w:t xml:space="preserve"> </w:t>
      </w:r>
      <w:r w:rsidR="00A86842">
        <w:rPr>
          <w:rFonts w:eastAsia="Times New Roman" w:cs="Times New Roman"/>
          <w:color w:val="000000"/>
          <w:szCs w:val="24"/>
        </w:rPr>
        <w:t>=</w:t>
      </w:r>
      <w:r w:rsidR="00A86842" w:rsidRPr="00E55DBA">
        <w:rPr>
          <w:rFonts w:eastAsia="Times New Roman" w:cs="Times New Roman"/>
          <w:color w:val="000000"/>
          <w:szCs w:val="24"/>
        </w:rPr>
        <w:t xml:space="preserve"> 0.</w:t>
      </w:r>
      <w:r w:rsidR="00A86842">
        <w:rPr>
          <w:rFonts w:eastAsia="Times New Roman" w:cs="Times New Roman"/>
          <w:color w:val="000000"/>
          <w:szCs w:val="24"/>
        </w:rPr>
        <w:t xml:space="preserve">219; stimulation </w:t>
      </w:r>
      <w:r w:rsidR="003F5217">
        <w:rPr>
          <w:rFonts w:eastAsia="Times New Roman" w:cs="Times New Roman"/>
          <w:color w:val="000000"/>
          <w:szCs w:val="24"/>
        </w:rPr>
        <w:t>by</w:t>
      </w:r>
      <w:r w:rsidR="00A86842">
        <w:rPr>
          <w:rFonts w:eastAsia="Times New Roman" w:cs="Times New Roman"/>
          <w:color w:val="000000"/>
          <w:szCs w:val="24"/>
        </w:rPr>
        <w:t xml:space="preserve"> decision </w:t>
      </w:r>
      <w:r w:rsidR="003F5217">
        <w:rPr>
          <w:rFonts w:eastAsia="Times New Roman" w:cs="Times New Roman"/>
          <w:color w:val="000000"/>
          <w:szCs w:val="24"/>
        </w:rPr>
        <w:t>by</w:t>
      </w:r>
      <w:r w:rsidR="00A86842">
        <w:rPr>
          <w:rFonts w:eastAsia="Times New Roman" w:cs="Times New Roman"/>
          <w:color w:val="000000"/>
          <w:szCs w:val="24"/>
        </w:rPr>
        <w:t xml:space="preserve"> outcome: </w:t>
      </w:r>
      <w:r w:rsidR="00A86842" w:rsidRPr="00523D6E">
        <w:rPr>
          <w:rFonts w:eastAsia="Times New Roman" w:cs="Times New Roman"/>
          <w:i/>
          <w:color w:val="000000"/>
          <w:szCs w:val="24"/>
        </w:rPr>
        <w:t>F</w:t>
      </w:r>
      <w:r w:rsidR="00A86842" w:rsidRPr="00E55DBA">
        <w:rPr>
          <w:rFonts w:eastAsia="Times New Roman" w:cs="Times New Roman"/>
          <w:color w:val="000000"/>
          <w:szCs w:val="24"/>
        </w:rPr>
        <w:t>(</w:t>
      </w:r>
      <w:r w:rsidR="00A86842">
        <w:rPr>
          <w:rFonts w:eastAsia="Times New Roman" w:cs="Times New Roman"/>
          <w:color w:val="000000"/>
          <w:szCs w:val="24"/>
        </w:rPr>
        <w:t>1,</w:t>
      </w:r>
      <w:r w:rsidR="00A86842" w:rsidRPr="00E55DBA">
        <w:rPr>
          <w:rFonts w:eastAsia="Times New Roman" w:cs="Times New Roman"/>
          <w:color w:val="000000"/>
          <w:szCs w:val="24"/>
        </w:rPr>
        <w:t>3</w:t>
      </w:r>
      <w:r w:rsidR="00A86842">
        <w:rPr>
          <w:rFonts w:eastAsia="Times New Roman" w:cs="Times New Roman"/>
          <w:color w:val="000000"/>
          <w:szCs w:val="24"/>
        </w:rPr>
        <w:t>5</w:t>
      </w:r>
      <w:r w:rsidR="00A86842" w:rsidRPr="00E55DBA">
        <w:rPr>
          <w:rFonts w:eastAsia="Times New Roman" w:cs="Times New Roman"/>
          <w:color w:val="000000"/>
          <w:szCs w:val="24"/>
        </w:rPr>
        <w:t xml:space="preserve">) = </w:t>
      </w:r>
      <w:r w:rsidR="00A86842">
        <w:rPr>
          <w:rFonts w:eastAsia="Times New Roman" w:cs="Times New Roman"/>
          <w:color w:val="000000"/>
          <w:szCs w:val="24"/>
        </w:rPr>
        <w:t>0.12</w:t>
      </w:r>
      <w:r w:rsidR="00A86842" w:rsidRPr="00E55DBA">
        <w:rPr>
          <w:rFonts w:eastAsia="Times New Roman" w:cs="Times New Roman"/>
          <w:color w:val="000000"/>
          <w:szCs w:val="24"/>
        </w:rPr>
        <w:t xml:space="preserve">, </w:t>
      </w:r>
      <w:r w:rsidR="00A86842" w:rsidRPr="004523CA">
        <w:rPr>
          <w:rFonts w:eastAsia="Times New Roman" w:cs="Times New Roman"/>
          <w:i/>
          <w:color w:val="000000"/>
          <w:szCs w:val="24"/>
        </w:rPr>
        <w:t>p</w:t>
      </w:r>
      <w:r w:rsidR="00A86842" w:rsidRPr="00E55DBA">
        <w:rPr>
          <w:rFonts w:eastAsia="Times New Roman" w:cs="Times New Roman"/>
          <w:color w:val="000000"/>
          <w:szCs w:val="24"/>
        </w:rPr>
        <w:t xml:space="preserve"> </w:t>
      </w:r>
      <w:r w:rsidR="00A86842">
        <w:rPr>
          <w:rFonts w:eastAsia="Times New Roman" w:cs="Times New Roman"/>
          <w:color w:val="000000"/>
          <w:szCs w:val="24"/>
        </w:rPr>
        <w:t>=</w:t>
      </w:r>
      <w:r w:rsidR="00A86842" w:rsidRPr="00E55DBA">
        <w:rPr>
          <w:rFonts w:eastAsia="Times New Roman" w:cs="Times New Roman"/>
          <w:color w:val="000000"/>
          <w:szCs w:val="24"/>
        </w:rPr>
        <w:t xml:space="preserve"> 0.</w:t>
      </w:r>
      <w:r w:rsidR="00A86842">
        <w:rPr>
          <w:rFonts w:eastAsia="Times New Roman" w:cs="Times New Roman"/>
          <w:color w:val="000000"/>
          <w:szCs w:val="24"/>
        </w:rPr>
        <w:t>730)</w:t>
      </w:r>
      <w:r w:rsidR="00922184">
        <w:rPr>
          <w:rFonts w:eastAsia="Times New Roman" w:cs="Times New Roman"/>
          <w:color w:val="000000"/>
          <w:szCs w:val="24"/>
        </w:rPr>
        <w:t>.</w:t>
      </w:r>
      <w:r w:rsidR="00F60D02">
        <w:rPr>
          <w:rFonts w:eastAsia="Times New Roman" w:cs="Times New Roman"/>
          <w:color w:val="000000"/>
          <w:szCs w:val="24"/>
        </w:rPr>
        <w:t xml:space="preserve"> Unsurprisingly, the main effect of decision was highly significant, with </w:t>
      </w:r>
      <w:r w:rsidR="00AC60DA">
        <w:rPr>
          <w:rFonts w:eastAsia="Times New Roman" w:cs="Times New Roman"/>
          <w:color w:val="000000"/>
          <w:szCs w:val="24"/>
        </w:rPr>
        <w:t>‘</w:t>
      </w:r>
      <w:r w:rsidR="00F60D02">
        <w:rPr>
          <w:rFonts w:eastAsia="Times New Roman" w:cs="Times New Roman"/>
          <w:color w:val="000000"/>
          <w:szCs w:val="24"/>
        </w:rPr>
        <w:t>gamble</w:t>
      </w:r>
      <w:r w:rsidR="00AC60DA">
        <w:rPr>
          <w:rFonts w:eastAsia="Times New Roman" w:cs="Times New Roman"/>
          <w:color w:val="000000"/>
          <w:szCs w:val="24"/>
        </w:rPr>
        <w:t>’</w:t>
      </w:r>
      <w:r w:rsidR="00F60D02">
        <w:rPr>
          <w:rFonts w:eastAsia="Times New Roman" w:cs="Times New Roman"/>
          <w:color w:val="000000"/>
          <w:szCs w:val="24"/>
        </w:rPr>
        <w:t xml:space="preserve"> decisions being rated more arousing than </w:t>
      </w:r>
      <w:r w:rsidR="00AC60DA">
        <w:rPr>
          <w:rFonts w:eastAsia="Times New Roman" w:cs="Times New Roman"/>
          <w:color w:val="000000"/>
          <w:szCs w:val="24"/>
        </w:rPr>
        <w:t>‘</w:t>
      </w:r>
      <w:r w:rsidR="00F60D02">
        <w:rPr>
          <w:rFonts w:eastAsia="Times New Roman" w:cs="Times New Roman"/>
          <w:color w:val="000000"/>
          <w:szCs w:val="24"/>
        </w:rPr>
        <w:t>keep</w:t>
      </w:r>
      <w:r w:rsidR="00AC60DA">
        <w:rPr>
          <w:rFonts w:eastAsia="Times New Roman" w:cs="Times New Roman"/>
          <w:color w:val="000000"/>
          <w:szCs w:val="24"/>
        </w:rPr>
        <w:t>’</w:t>
      </w:r>
      <w:r w:rsidR="00F60D02">
        <w:rPr>
          <w:rFonts w:eastAsia="Times New Roman" w:cs="Times New Roman"/>
          <w:color w:val="000000"/>
          <w:szCs w:val="24"/>
        </w:rPr>
        <w:t xml:space="preserve"> decisions </w:t>
      </w:r>
      <w:proofErr w:type="gramStart"/>
      <w:r w:rsidR="00F60D02" w:rsidRPr="00523D6E">
        <w:rPr>
          <w:rFonts w:eastAsia="Times New Roman" w:cs="Times New Roman"/>
          <w:i/>
          <w:color w:val="000000"/>
          <w:szCs w:val="24"/>
        </w:rPr>
        <w:t>F</w:t>
      </w:r>
      <w:r w:rsidR="00F60D02" w:rsidRPr="00E55DBA">
        <w:rPr>
          <w:rFonts w:eastAsia="Times New Roman" w:cs="Times New Roman"/>
          <w:color w:val="000000"/>
          <w:szCs w:val="24"/>
        </w:rPr>
        <w:t>(</w:t>
      </w:r>
      <w:proofErr w:type="gramEnd"/>
      <w:r w:rsidR="00F60D02">
        <w:rPr>
          <w:rFonts w:eastAsia="Times New Roman" w:cs="Times New Roman"/>
          <w:color w:val="000000"/>
          <w:szCs w:val="24"/>
        </w:rPr>
        <w:t>1,</w:t>
      </w:r>
      <w:r w:rsidR="00F60D02" w:rsidRPr="00E55DBA">
        <w:rPr>
          <w:rFonts w:eastAsia="Times New Roman" w:cs="Times New Roman"/>
          <w:color w:val="000000"/>
          <w:szCs w:val="24"/>
        </w:rPr>
        <w:t>3</w:t>
      </w:r>
      <w:r w:rsidR="00F60D02">
        <w:rPr>
          <w:rFonts w:eastAsia="Times New Roman" w:cs="Times New Roman"/>
          <w:color w:val="000000"/>
          <w:szCs w:val="24"/>
        </w:rPr>
        <w:t>5</w:t>
      </w:r>
      <w:r w:rsidR="00F60D02" w:rsidRPr="00E55DBA">
        <w:rPr>
          <w:rFonts w:eastAsia="Times New Roman" w:cs="Times New Roman"/>
          <w:color w:val="000000"/>
          <w:szCs w:val="24"/>
        </w:rPr>
        <w:t xml:space="preserve">) = </w:t>
      </w:r>
      <w:r w:rsidR="00F60D02">
        <w:rPr>
          <w:rFonts w:eastAsia="Times New Roman" w:cs="Times New Roman"/>
          <w:color w:val="000000"/>
          <w:szCs w:val="24"/>
        </w:rPr>
        <w:t>113.30</w:t>
      </w:r>
      <w:r w:rsidR="00F60D02" w:rsidRPr="00E55DBA">
        <w:rPr>
          <w:rFonts w:eastAsia="Times New Roman" w:cs="Times New Roman"/>
          <w:color w:val="000000"/>
          <w:szCs w:val="24"/>
        </w:rPr>
        <w:t xml:space="preserve">, </w:t>
      </w:r>
      <w:r w:rsidR="00F60D02" w:rsidRPr="004523CA">
        <w:rPr>
          <w:rFonts w:eastAsia="Times New Roman" w:cs="Times New Roman"/>
          <w:i/>
          <w:color w:val="000000"/>
          <w:szCs w:val="24"/>
        </w:rPr>
        <w:t>p</w:t>
      </w:r>
      <w:r w:rsidR="00F60D02" w:rsidRPr="00E55DBA">
        <w:rPr>
          <w:rFonts w:eastAsia="Times New Roman" w:cs="Times New Roman"/>
          <w:color w:val="000000"/>
          <w:szCs w:val="24"/>
        </w:rPr>
        <w:t xml:space="preserve"> </w:t>
      </w:r>
      <w:r w:rsidR="00F60D02">
        <w:rPr>
          <w:rFonts w:eastAsia="Times New Roman" w:cs="Times New Roman"/>
          <w:color w:val="000000"/>
          <w:szCs w:val="24"/>
        </w:rPr>
        <w:t>&lt;</w:t>
      </w:r>
      <w:r w:rsidR="00F60D02" w:rsidRPr="00E55DBA">
        <w:rPr>
          <w:rFonts w:eastAsia="Times New Roman" w:cs="Times New Roman"/>
          <w:color w:val="000000"/>
          <w:szCs w:val="24"/>
        </w:rPr>
        <w:t xml:space="preserve"> 0.</w:t>
      </w:r>
      <w:r w:rsidR="00F60D02">
        <w:rPr>
          <w:rFonts w:eastAsia="Times New Roman" w:cs="Times New Roman"/>
          <w:color w:val="000000"/>
          <w:szCs w:val="24"/>
        </w:rPr>
        <w:t>001).</w:t>
      </w:r>
      <w:r w:rsidR="00922184">
        <w:rPr>
          <w:rFonts w:eastAsia="Times New Roman" w:cs="Times New Roman"/>
          <w:color w:val="000000"/>
          <w:szCs w:val="24"/>
        </w:rPr>
        <w:t xml:space="preserve"> </w:t>
      </w:r>
      <w:r w:rsidR="00CD1D24">
        <w:rPr>
          <w:rFonts w:eastAsia="Times New Roman" w:cs="Times New Roman"/>
          <w:color w:val="000000"/>
          <w:szCs w:val="24"/>
        </w:rPr>
        <w:t xml:space="preserve">The main effect of outcome was insignificant </w:t>
      </w:r>
      <w:r w:rsidR="00183316">
        <w:rPr>
          <w:rFonts w:eastAsia="Times New Roman" w:cs="Times New Roman"/>
          <w:color w:val="000000"/>
          <w:szCs w:val="24"/>
        </w:rPr>
        <w:t>(</w:t>
      </w:r>
      <w:proofErr w:type="gramStart"/>
      <w:r w:rsidR="00CD1D24" w:rsidRPr="00523D6E">
        <w:rPr>
          <w:rFonts w:eastAsia="Times New Roman" w:cs="Times New Roman"/>
          <w:i/>
          <w:color w:val="000000"/>
          <w:szCs w:val="24"/>
        </w:rPr>
        <w:t>F</w:t>
      </w:r>
      <w:r w:rsidR="00CD1D24" w:rsidRPr="00E55DBA">
        <w:rPr>
          <w:rFonts w:eastAsia="Times New Roman" w:cs="Times New Roman"/>
          <w:color w:val="000000"/>
          <w:szCs w:val="24"/>
        </w:rPr>
        <w:t>(</w:t>
      </w:r>
      <w:proofErr w:type="gramEnd"/>
      <w:r w:rsidR="00CD1D24">
        <w:rPr>
          <w:rFonts w:eastAsia="Times New Roman" w:cs="Times New Roman"/>
          <w:color w:val="000000"/>
          <w:szCs w:val="24"/>
        </w:rPr>
        <w:t>1,</w:t>
      </w:r>
      <w:r w:rsidR="00CD1D24" w:rsidRPr="00E55DBA">
        <w:rPr>
          <w:rFonts w:eastAsia="Times New Roman" w:cs="Times New Roman"/>
          <w:color w:val="000000"/>
          <w:szCs w:val="24"/>
        </w:rPr>
        <w:t>3</w:t>
      </w:r>
      <w:r w:rsidR="00CD1D24">
        <w:rPr>
          <w:rFonts w:eastAsia="Times New Roman" w:cs="Times New Roman"/>
          <w:color w:val="000000"/>
          <w:szCs w:val="24"/>
        </w:rPr>
        <w:t>5</w:t>
      </w:r>
      <w:r w:rsidR="00CD1D24" w:rsidRPr="00E55DBA">
        <w:rPr>
          <w:rFonts w:eastAsia="Times New Roman" w:cs="Times New Roman"/>
          <w:color w:val="000000"/>
          <w:szCs w:val="24"/>
        </w:rPr>
        <w:t xml:space="preserve">) = </w:t>
      </w:r>
      <w:r w:rsidR="00CD1D24">
        <w:rPr>
          <w:rFonts w:eastAsia="Times New Roman" w:cs="Times New Roman"/>
          <w:color w:val="000000"/>
          <w:szCs w:val="24"/>
        </w:rPr>
        <w:t>0.51</w:t>
      </w:r>
      <w:r w:rsidR="00CD1D24" w:rsidRPr="00E55DBA">
        <w:rPr>
          <w:rFonts w:eastAsia="Times New Roman" w:cs="Times New Roman"/>
          <w:color w:val="000000"/>
          <w:szCs w:val="24"/>
        </w:rPr>
        <w:t xml:space="preserve">, </w:t>
      </w:r>
      <w:r w:rsidR="00CD1D24" w:rsidRPr="004523CA">
        <w:rPr>
          <w:rFonts w:eastAsia="Times New Roman" w:cs="Times New Roman"/>
          <w:i/>
          <w:color w:val="000000"/>
          <w:szCs w:val="24"/>
        </w:rPr>
        <w:t>p</w:t>
      </w:r>
      <w:r w:rsidR="00CD1D24" w:rsidRPr="00E55DBA">
        <w:rPr>
          <w:rFonts w:eastAsia="Times New Roman" w:cs="Times New Roman"/>
          <w:color w:val="000000"/>
          <w:szCs w:val="24"/>
        </w:rPr>
        <w:t xml:space="preserve"> </w:t>
      </w:r>
      <w:r w:rsidR="00CD1D24">
        <w:rPr>
          <w:rFonts w:eastAsia="Times New Roman" w:cs="Times New Roman"/>
          <w:color w:val="000000"/>
          <w:szCs w:val="24"/>
        </w:rPr>
        <w:t>=</w:t>
      </w:r>
      <w:r w:rsidR="00CD1D24" w:rsidRPr="00E55DBA">
        <w:rPr>
          <w:rFonts w:eastAsia="Times New Roman" w:cs="Times New Roman"/>
          <w:color w:val="000000"/>
          <w:szCs w:val="24"/>
        </w:rPr>
        <w:t xml:space="preserve"> 0.</w:t>
      </w:r>
      <w:r w:rsidR="00CD1D24">
        <w:rPr>
          <w:rFonts w:eastAsia="Times New Roman" w:cs="Times New Roman"/>
          <w:color w:val="000000"/>
          <w:szCs w:val="24"/>
        </w:rPr>
        <w:t xml:space="preserve">482), while the interaction effect of decision </w:t>
      </w:r>
      <w:r w:rsidR="003F5217">
        <w:rPr>
          <w:rFonts w:eastAsia="Times New Roman" w:cs="Times New Roman"/>
          <w:color w:val="000000"/>
          <w:szCs w:val="24"/>
        </w:rPr>
        <w:t>by</w:t>
      </w:r>
      <w:r w:rsidR="00CD1D24">
        <w:rPr>
          <w:rFonts w:eastAsia="Times New Roman" w:cs="Times New Roman"/>
          <w:color w:val="000000"/>
          <w:szCs w:val="24"/>
        </w:rPr>
        <w:t xml:space="preserve"> outcome was significant</w:t>
      </w:r>
      <w:r w:rsidR="00183316">
        <w:rPr>
          <w:rFonts w:eastAsia="Times New Roman" w:cs="Times New Roman"/>
          <w:color w:val="000000"/>
          <w:szCs w:val="24"/>
        </w:rPr>
        <w:t xml:space="preserve"> (</w:t>
      </w:r>
      <w:r w:rsidR="00CD1D24" w:rsidRPr="00523D6E">
        <w:rPr>
          <w:rFonts w:eastAsia="Times New Roman" w:cs="Times New Roman"/>
          <w:i/>
          <w:color w:val="000000"/>
          <w:szCs w:val="24"/>
        </w:rPr>
        <w:t>F</w:t>
      </w:r>
      <w:r w:rsidR="00CD1D24" w:rsidRPr="00E55DBA">
        <w:rPr>
          <w:rFonts w:eastAsia="Times New Roman" w:cs="Times New Roman"/>
          <w:color w:val="000000"/>
          <w:szCs w:val="24"/>
        </w:rPr>
        <w:t>(</w:t>
      </w:r>
      <w:r w:rsidR="00CD1D24">
        <w:rPr>
          <w:rFonts w:eastAsia="Times New Roman" w:cs="Times New Roman"/>
          <w:color w:val="000000"/>
          <w:szCs w:val="24"/>
        </w:rPr>
        <w:t>1,</w:t>
      </w:r>
      <w:r w:rsidR="00CD1D24" w:rsidRPr="00E55DBA">
        <w:rPr>
          <w:rFonts w:eastAsia="Times New Roman" w:cs="Times New Roman"/>
          <w:color w:val="000000"/>
          <w:szCs w:val="24"/>
        </w:rPr>
        <w:t>3</w:t>
      </w:r>
      <w:r w:rsidR="00CD1D24">
        <w:rPr>
          <w:rFonts w:eastAsia="Times New Roman" w:cs="Times New Roman"/>
          <w:color w:val="000000"/>
          <w:szCs w:val="24"/>
        </w:rPr>
        <w:t>5</w:t>
      </w:r>
      <w:r w:rsidR="00CD1D24" w:rsidRPr="00E55DBA">
        <w:rPr>
          <w:rFonts w:eastAsia="Times New Roman" w:cs="Times New Roman"/>
          <w:color w:val="000000"/>
          <w:szCs w:val="24"/>
        </w:rPr>
        <w:t xml:space="preserve">) = </w:t>
      </w:r>
      <w:r w:rsidR="00CD1D24">
        <w:rPr>
          <w:rFonts w:eastAsia="Times New Roman" w:cs="Times New Roman"/>
          <w:color w:val="000000"/>
          <w:szCs w:val="24"/>
        </w:rPr>
        <w:t>9.89</w:t>
      </w:r>
      <w:r w:rsidR="00CD1D24" w:rsidRPr="00E55DBA">
        <w:rPr>
          <w:rFonts w:eastAsia="Times New Roman" w:cs="Times New Roman"/>
          <w:color w:val="000000"/>
          <w:szCs w:val="24"/>
        </w:rPr>
        <w:t xml:space="preserve">, </w:t>
      </w:r>
      <w:r w:rsidR="00CD1D24" w:rsidRPr="004523CA">
        <w:rPr>
          <w:rFonts w:eastAsia="Times New Roman" w:cs="Times New Roman"/>
          <w:i/>
          <w:color w:val="000000"/>
          <w:szCs w:val="24"/>
        </w:rPr>
        <w:t>p</w:t>
      </w:r>
      <w:r w:rsidR="00CD1D24" w:rsidRPr="00E55DBA">
        <w:rPr>
          <w:rFonts w:eastAsia="Times New Roman" w:cs="Times New Roman"/>
          <w:color w:val="000000"/>
          <w:szCs w:val="24"/>
        </w:rPr>
        <w:t xml:space="preserve"> </w:t>
      </w:r>
      <w:r w:rsidR="00CD1D24">
        <w:rPr>
          <w:rFonts w:eastAsia="Times New Roman" w:cs="Times New Roman"/>
          <w:color w:val="000000"/>
          <w:szCs w:val="24"/>
        </w:rPr>
        <w:t>=</w:t>
      </w:r>
      <w:r w:rsidR="00CD1D24" w:rsidRPr="00E55DBA">
        <w:rPr>
          <w:rFonts w:eastAsia="Times New Roman" w:cs="Times New Roman"/>
          <w:color w:val="000000"/>
          <w:szCs w:val="24"/>
        </w:rPr>
        <w:t xml:space="preserve"> 0.</w:t>
      </w:r>
      <w:r w:rsidR="00CD1D24">
        <w:rPr>
          <w:rFonts w:eastAsia="Times New Roman" w:cs="Times New Roman"/>
          <w:color w:val="000000"/>
          <w:szCs w:val="24"/>
        </w:rPr>
        <w:t>003).</w:t>
      </w:r>
      <w:r w:rsidR="00F60D02">
        <w:rPr>
          <w:rFonts w:eastAsia="Times New Roman" w:cs="Times New Roman"/>
          <w:color w:val="000000"/>
          <w:szCs w:val="24"/>
        </w:rPr>
        <w:t xml:space="preserve"> Gains were rated as more arousing after </w:t>
      </w:r>
      <w:r w:rsidR="00AC60DA">
        <w:rPr>
          <w:rFonts w:eastAsia="Times New Roman" w:cs="Times New Roman"/>
          <w:color w:val="000000"/>
          <w:szCs w:val="24"/>
        </w:rPr>
        <w:t>‘</w:t>
      </w:r>
      <w:r w:rsidR="00F60D02">
        <w:rPr>
          <w:rFonts w:eastAsia="Times New Roman" w:cs="Times New Roman"/>
          <w:color w:val="000000"/>
          <w:szCs w:val="24"/>
        </w:rPr>
        <w:t>gamble</w:t>
      </w:r>
      <w:r w:rsidR="00AC60DA">
        <w:rPr>
          <w:rFonts w:eastAsia="Times New Roman" w:cs="Times New Roman"/>
          <w:color w:val="000000"/>
          <w:szCs w:val="24"/>
        </w:rPr>
        <w:t>’</w:t>
      </w:r>
      <w:r w:rsidR="00F60D02">
        <w:rPr>
          <w:rFonts w:eastAsia="Times New Roman" w:cs="Times New Roman"/>
          <w:color w:val="000000"/>
          <w:szCs w:val="24"/>
        </w:rPr>
        <w:t xml:space="preserve"> decisions</w:t>
      </w:r>
      <w:r w:rsidR="007238C3">
        <w:rPr>
          <w:rFonts w:eastAsia="Times New Roman" w:cs="Times New Roman"/>
          <w:color w:val="000000"/>
          <w:szCs w:val="24"/>
        </w:rPr>
        <w:t>,</w:t>
      </w:r>
      <w:r w:rsidR="00F60D02">
        <w:rPr>
          <w:rFonts w:eastAsia="Times New Roman" w:cs="Times New Roman"/>
          <w:color w:val="000000"/>
          <w:szCs w:val="24"/>
        </w:rPr>
        <w:t xml:space="preserve"> and losses were rated as more arousing in response to </w:t>
      </w:r>
      <w:r w:rsidR="00AC60DA">
        <w:rPr>
          <w:rFonts w:eastAsia="Times New Roman" w:cs="Times New Roman"/>
          <w:color w:val="000000"/>
          <w:szCs w:val="24"/>
        </w:rPr>
        <w:t>‘</w:t>
      </w:r>
      <w:r w:rsidR="00F60D02">
        <w:rPr>
          <w:rFonts w:eastAsia="Times New Roman" w:cs="Times New Roman"/>
          <w:color w:val="000000"/>
          <w:szCs w:val="24"/>
        </w:rPr>
        <w:t>keep</w:t>
      </w:r>
      <w:r w:rsidR="00AC60DA">
        <w:rPr>
          <w:rFonts w:eastAsia="Times New Roman" w:cs="Times New Roman"/>
          <w:color w:val="000000"/>
          <w:szCs w:val="24"/>
        </w:rPr>
        <w:t>’</w:t>
      </w:r>
      <w:r w:rsidR="00F60D02">
        <w:rPr>
          <w:rFonts w:eastAsia="Times New Roman" w:cs="Times New Roman"/>
          <w:color w:val="000000"/>
          <w:szCs w:val="24"/>
        </w:rPr>
        <w:t xml:space="preserve"> decisions. </w:t>
      </w:r>
    </w:p>
    <w:p w14:paraId="73919482" w14:textId="540E7E9C" w:rsidR="002F37CE" w:rsidRDefault="002F37CE" w:rsidP="0087378A">
      <w:pPr>
        <w:spacing w:after="0" w:line="240" w:lineRule="auto"/>
        <w:jc w:val="both"/>
        <w:rPr>
          <w:rFonts w:cs="Times New Roman"/>
          <w:i/>
          <w:iCs/>
          <w:color w:val="000000"/>
          <w:sz w:val="20"/>
          <w:szCs w:val="20"/>
          <w:highlight w:val="yellow"/>
        </w:rPr>
      </w:pPr>
    </w:p>
    <w:p w14:paraId="7FF23231" w14:textId="11A78189" w:rsidR="007F31AB" w:rsidRPr="00D25EB7" w:rsidRDefault="00E960AB" w:rsidP="007F31AB">
      <w:pPr>
        <w:spacing w:after="0" w:line="240" w:lineRule="auto"/>
        <w:jc w:val="both"/>
        <w:rPr>
          <w:rFonts w:eastAsia="Times New Roman" w:cs="Times New Roman"/>
          <w:color w:val="000000"/>
          <w:szCs w:val="24"/>
        </w:rPr>
      </w:pPr>
      <w:r>
        <w:rPr>
          <w:noProof/>
        </w:rPr>
        <w:drawing>
          <wp:inline distT="0" distB="0" distL="0" distR="0" wp14:anchorId="126D12F4" wp14:editId="70DF3870">
            <wp:extent cx="5807075" cy="7529195"/>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07075" cy="7529195"/>
                    </a:xfrm>
                    <a:prstGeom prst="rect">
                      <a:avLst/>
                    </a:prstGeom>
                    <a:noFill/>
                    <a:ln>
                      <a:noFill/>
                    </a:ln>
                  </pic:spPr>
                </pic:pic>
              </a:graphicData>
            </a:graphic>
          </wp:inline>
        </w:drawing>
      </w:r>
      <w:r w:rsidR="0087378A" w:rsidRPr="00C866D7">
        <w:rPr>
          <w:rFonts w:cs="Times New Roman"/>
          <w:i/>
          <w:iCs/>
          <w:color w:val="000000"/>
          <w:sz w:val="20"/>
          <w:szCs w:val="20"/>
        </w:rPr>
        <w:t>Figure</w:t>
      </w:r>
      <w:r w:rsidR="0087378A" w:rsidRPr="00C866D7">
        <w:rPr>
          <w:rFonts w:cs="Times New Roman"/>
          <w:color w:val="000000"/>
          <w:sz w:val="20"/>
          <w:szCs w:val="20"/>
        </w:rPr>
        <w:t xml:space="preserve"> SM</w:t>
      </w:r>
      <w:r w:rsidR="007238C3">
        <w:rPr>
          <w:rFonts w:cs="Times New Roman"/>
          <w:color w:val="000000"/>
          <w:sz w:val="20"/>
          <w:szCs w:val="20"/>
        </w:rPr>
        <w:t>9</w:t>
      </w:r>
      <w:r w:rsidR="0087378A" w:rsidRPr="007C4915">
        <w:rPr>
          <w:rFonts w:cs="Times New Roman"/>
          <w:color w:val="000000"/>
          <w:sz w:val="20"/>
          <w:szCs w:val="20"/>
        </w:rPr>
        <w:t>.</w:t>
      </w:r>
      <w:r w:rsidR="0087378A">
        <w:rPr>
          <w:rFonts w:cs="Times New Roman"/>
          <w:b/>
          <w:color w:val="000000"/>
          <w:sz w:val="20"/>
          <w:szCs w:val="20"/>
        </w:rPr>
        <w:t xml:space="preserve"> </w:t>
      </w:r>
      <w:r w:rsidR="0087378A" w:rsidRPr="00FF1F34">
        <w:rPr>
          <w:rFonts w:cs="Times New Roman"/>
          <w:color w:val="000000"/>
          <w:sz w:val="20"/>
          <w:szCs w:val="20"/>
        </w:rPr>
        <w:t xml:space="preserve">SAM-ratings of </w:t>
      </w:r>
      <w:r w:rsidR="0097249D">
        <w:rPr>
          <w:rFonts w:cs="Times New Roman"/>
          <w:color w:val="000000"/>
          <w:sz w:val="20"/>
          <w:szCs w:val="20"/>
        </w:rPr>
        <w:t>emotional</w:t>
      </w:r>
      <w:r w:rsidR="0097249D" w:rsidRPr="00FF1F34">
        <w:rPr>
          <w:rFonts w:cs="Times New Roman"/>
          <w:color w:val="000000"/>
          <w:sz w:val="20"/>
          <w:szCs w:val="20"/>
        </w:rPr>
        <w:t xml:space="preserve"> </w:t>
      </w:r>
      <w:r w:rsidR="00CD0AD6">
        <w:rPr>
          <w:rFonts w:cs="Times New Roman"/>
          <w:color w:val="000000"/>
          <w:sz w:val="20"/>
          <w:szCs w:val="20"/>
        </w:rPr>
        <w:t>arousal</w:t>
      </w:r>
      <w:r w:rsidR="0087378A" w:rsidRPr="00FF1F34">
        <w:rPr>
          <w:rFonts w:cs="Times New Roman"/>
          <w:color w:val="000000"/>
          <w:sz w:val="20"/>
          <w:szCs w:val="20"/>
        </w:rPr>
        <w:t xml:space="preserve"> (1=</w:t>
      </w:r>
      <w:r w:rsidR="0087378A">
        <w:rPr>
          <w:rFonts w:cs="Times New Roman"/>
          <w:color w:val="000000"/>
          <w:sz w:val="20"/>
          <w:szCs w:val="20"/>
        </w:rPr>
        <w:t>not arousing at all</w:t>
      </w:r>
      <w:r w:rsidR="0087378A" w:rsidRPr="00FF1F34">
        <w:rPr>
          <w:rFonts w:cs="Times New Roman"/>
          <w:color w:val="000000"/>
          <w:sz w:val="20"/>
          <w:szCs w:val="20"/>
        </w:rPr>
        <w:t xml:space="preserve">, 9=highly </w:t>
      </w:r>
      <w:r w:rsidR="0087378A">
        <w:rPr>
          <w:rFonts w:cs="Times New Roman"/>
          <w:color w:val="000000"/>
          <w:sz w:val="20"/>
          <w:szCs w:val="20"/>
        </w:rPr>
        <w:t>arousing</w:t>
      </w:r>
      <w:r w:rsidR="0087378A" w:rsidRPr="00FF1F34">
        <w:rPr>
          <w:rFonts w:cs="Times New Roman"/>
          <w:color w:val="000000"/>
          <w:sz w:val="20"/>
          <w:szCs w:val="20"/>
        </w:rPr>
        <w:t>)</w:t>
      </w:r>
      <w:r w:rsidR="0087378A">
        <w:rPr>
          <w:rFonts w:cs="Times New Roman"/>
          <w:color w:val="000000"/>
          <w:sz w:val="20"/>
          <w:szCs w:val="20"/>
        </w:rPr>
        <w:t xml:space="preserve"> in dependency of stimulation and outcome</w:t>
      </w:r>
      <w:r w:rsidR="0087378A" w:rsidRPr="007C4915">
        <w:rPr>
          <w:rFonts w:cs="Times New Roman"/>
          <w:color w:val="000000"/>
          <w:sz w:val="20"/>
          <w:szCs w:val="20"/>
        </w:rPr>
        <w:t xml:space="preserve">. </w:t>
      </w:r>
      <w:r w:rsidR="0087378A">
        <w:rPr>
          <w:rFonts w:cs="Times New Roman"/>
          <w:color w:val="000000"/>
          <w:sz w:val="20"/>
          <w:szCs w:val="20"/>
        </w:rPr>
        <w:t>After ‘keep’ decisions</w:t>
      </w:r>
      <w:r w:rsidR="00A60F6B">
        <w:rPr>
          <w:rFonts w:cs="Times New Roman"/>
          <w:color w:val="000000"/>
          <w:sz w:val="20"/>
          <w:szCs w:val="20"/>
        </w:rPr>
        <w:t xml:space="preserve"> (</w:t>
      </w:r>
      <w:r w:rsidR="00A60F6B" w:rsidRPr="00A60F6B">
        <w:rPr>
          <w:rFonts w:cs="Times New Roman"/>
          <w:b/>
          <w:color w:val="000000"/>
          <w:sz w:val="20"/>
          <w:szCs w:val="20"/>
        </w:rPr>
        <w:t>A.</w:t>
      </w:r>
      <w:r w:rsidR="00A60F6B">
        <w:rPr>
          <w:rFonts w:cs="Times New Roman"/>
          <w:color w:val="000000"/>
          <w:sz w:val="20"/>
          <w:szCs w:val="20"/>
        </w:rPr>
        <w:t>)</w:t>
      </w:r>
      <w:r w:rsidR="0087378A">
        <w:rPr>
          <w:rFonts w:cs="Times New Roman"/>
          <w:color w:val="000000"/>
          <w:sz w:val="20"/>
          <w:szCs w:val="20"/>
        </w:rPr>
        <w:t xml:space="preserve"> losses were rated as more arousing than gains, while ‘gamble’ decisions</w:t>
      </w:r>
      <w:r w:rsidR="00A60F6B">
        <w:rPr>
          <w:rFonts w:cs="Times New Roman"/>
          <w:color w:val="000000"/>
          <w:sz w:val="20"/>
          <w:szCs w:val="20"/>
        </w:rPr>
        <w:t xml:space="preserve"> (</w:t>
      </w:r>
      <w:r w:rsidR="00A60F6B" w:rsidRPr="00A60F6B">
        <w:rPr>
          <w:rFonts w:cs="Times New Roman"/>
          <w:b/>
          <w:color w:val="000000"/>
          <w:sz w:val="20"/>
          <w:szCs w:val="20"/>
        </w:rPr>
        <w:t>B.</w:t>
      </w:r>
      <w:r w:rsidR="00A60F6B">
        <w:rPr>
          <w:rFonts w:cs="Times New Roman"/>
          <w:color w:val="000000"/>
          <w:sz w:val="20"/>
          <w:szCs w:val="20"/>
        </w:rPr>
        <w:t>)</w:t>
      </w:r>
      <w:r w:rsidR="0087378A">
        <w:rPr>
          <w:rFonts w:cs="Times New Roman"/>
          <w:color w:val="000000"/>
          <w:sz w:val="20"/>
          <w:szCs w:val="20"/>
        </w:rPr>
        <w:t xml:space="preserve"> evoked the opposite pattern.</w:t>
      </w:r>
      <w:r w:rsidR="007F31AB">
        <w:rPr>
          <w:rFonts w:cs="Times New Roman"/>
          <w:color w:val="000000"/>
          <w:sz w:val="20"/>
          <w:szCs w:val="20"/>
        </w:rPr>
        <w:t xml:space="preserve"> </w:t>
      </w:r>
      <w:r w:rsidR="007F31AB">
        <w:rPr>
          <w:color w:val="000000"/>
          <w:sz w:val="20"/>
          <w:szCs w:val="20"/>
        </w:rPr>
        <w:t>Boxplots indicate means (black dot</w:t>
      </w:r>
      <w:r w:rsidR="00547124">
        <w:rPr>
          <w:color w:val="000000"/>
          <w:sz w:val="20"/>
          <w:szCs w:val="20"/>
        </w:rPr>
        <w:t>s</w:t>
      </w:r>
      <w:r w:rsidR="007F31AB">
        <w:rPr>
          <w:color w:val="000000"/>
          <w:sz w:val="20"/>
          <w:szCs w:val="20"/>
        </w:rPr>
        <w:t>), medians (grey line</w:t>
      </w:r>
      <w:r w:rsidR="00547124">
        <w:rPr>
          <w:color w:val="000000"/>
          <w:sz w:val="20"/>
          <w:szCs w:val="20"/>
        </w:rPr>
        <w:t>s</w:t>
      </w:r>
      <w:r w:rsidR="007F31AB">
        <w:rPr>
          <w:color w:val="000000"/>
          <w:sz w:val="20"/>
          <w:szCs w:val="20"/>
        </w:rPr>
        <w:t>) and lower and upper quartiles</w:t>
      </w:r>
      <w:r w:rsidR="007F31AB" w:rsidRPr="007F1E70">
        <w:rPr>
          <w:color w:val="000000"/>
          <w:sz w:val="20"/>
          <w:szCs w:val="20"/>
        </w:rPr>
        <w:t xml:space="preserve">. </w:t>
      </w:r>
      <w:r w:rsidR="007F31AB">
        <w:rPr>
          <w:rFonts w:cs="Times New Roman"/>
          <w:color w:val="000000"/>
          <w:sz w:val="20"/>
          <w:szCs w:val="20"/>
        </w:rPr>
        <w:t>Asterisks indicate significance levels: + &lt; 0.1, * &lt; 0.05, ** &lt; 0.01, *** &lt; 0.001</w:t>
      </w:r>
      <w:r w:rsidR="007F31AB" w:rsidRPr="009403F0">
        <w:rPr>
          <w:rFonts w:cs="Times New Roman"/>
          <w:color w:val="000000"/>
          <w:sz w:val="20"/>
          <w:szCs w:val="20"/>
        </w:rPr>
        <w:t>.</w:t>
      </w:r>
      <w:r w:rsidR="007F31AB">
        <w:rPr>
          <w:rFonts w:cs="Times New Roman"/>
          <w:color w:val="000000"/>
          <w:sz w:val="20"/>
          <w:szCs w:val="20"/>
        </w:rPr>
        <w:t xml:space="preserve"> </w:t>
      </w:r>
    </w:p>
    <w:p w14:paraId="6A1D1CEA" w14:textId="6B2B874B" w:rsidR="0087378A" w:rsidRDefault="0087378A" w:rsidP="0087378A">
      <w:pPr>
        <w:spacing w:after="0" w:line="240" w:lineRule="auto"/>
        <w:jc w:val="both"/>
        <w:rPr>
          <w:rFonts w:eastAsia="Times New Roman" w:cs="Times New Roman"/>
          <w:color w:val="000000"/>
          <w:szCs w:val="24"/>
        </w:rPr>
      </w:pPr>
    </w:p>
    <w:p w14:paraId="2746E4E4" w14:textId="77777777" w:rsidR="00273DF1" w:rsidRDefault="00273DF1" w:rsidP="00273DF1">
      <w:pPr>
        <w:spacing w:before="160"/>
        <w:ind w:firstLine="720"/>
        <w:jc w:val="both"/>
        <w:rPr>
          <w:rFonts w:eastAsia="Times New Roman" w:cs="Times New Roman"/>
          <w:color w:val="000000"/>
          <w:szCs w:val="24"/>
        </w:rPr>
      </w:pPr>
    </w:p>
    <w:p w14:paraId="52DC04CE" w14:textId="77777777" w:rsidR="00547124" w:rsidRPr="006825A4" w:rsidRDefault="00547124" w:rsidP="00547124">
      <w:pPr>
        <w:pStyle w:val="berschrift2"/>
        <w:spacing w:before="160" w:after="160"/>
      </w:pPr>
      <w:r w:rsidRPr="006825A4">
        <w:t>2.4.2. Behavioral interaction of stimulation and decisions</w:t>
      </w:r>
    </w:p>
    <w:p w14:paraId="5DB123E9" w14:textId="77777777" w:rsidR="00547124" w:rsidRPr="006825A4" w:rsidRDefault="00547124" w:rsidP="00547124">
      <w:pPr>
        <w:spacing w:before="160"/>
        <w:ind w:firstLine="720"/>
        <w:jc w:val="both"/>
        <w:rPr>
          <w:rFonts w:eastAsia="Times New Roman" w:cs="Times New Roman"/>
          <w:color w:val="000000"/>
          <w:szCs w:val="24"/>
        </w:rPr>
      </w:pPr>
      <w:r w:rsidRPr="006825A4">
        <w:rPr>
          <w:rFonts w:eastAsia="Times New Roman" w:cs="Times New Roman"/>
          <w:color w:val="000000"/>
          <w:szCs w:val="24"/>
        </w:rPr>
        <w:t>With our specific interest regarding the interaction of stimulation by decision, we calculated a repeated-measures ANOVA to analyze the perceived hedonic valence (SAM rating) of outcomes. This term was insignificant in the mixed</w:t>
      </w:r>
      <w:r>
        <w:rPr>
          <w:rFonts w:eastAsia="Times New Roman" w:cs="Times New Roman"/>
          <w:color w:val="000000"/>
          <w:szCs w:val="24"/>
        </w:rPr>
        <w:t>-</w:t>
      </w:r>
      <w:r w:rsidRPr="006825A4">
        <w:rPr>
          <w:rFonts w:eastAsia="Times New Roman" w:cs="Times New Roman"/>
          <w:color w:val="000000"/>
          <w:szCs w:val="24"/>
        </w:rPr>
        <w:t>effects linear regression (see main text). Nevertheless, the ANOVA indicated a significant interaction of stimulation by decision (</w:t>
      </w:r>
      <w:proofErr w:type="gramStart"/>
      <w:r w:rsidRPr="006825A4">
        <w:rPr>
          <w:rFonts w:eastAsia="Times New Roman" w:cs="Times New Roman"/>
          <w:i/>
          <w:color w:val="000000"/>
          <w:szCs w:val="24"/>
        </w:rPr>
        <w:t>F</w:t>
      </w:r>
      <w:r w:rsidRPr="006825A4">
        <w:rPr>
          <w:rFonts w:eastAsia="Times New Roman" w:cs="Times New Roman"/>
          <w:color w:val="000000"/>
          <w:szCs w:val="24"/>
        </w:rPr>
        <w:t>(</w:t>
      </w:r>
      <w:proofErr w:type="gramEnd"/>
      <w:r w:rsidRPr="006825A4">
        <w:rPr>
          <w:rFonts w:eastAsia="Times New Roman" w:cs="Times New Roman"/>
          <w:color w:val="000000"/>
          <w:szCs w:val="24"/>
        </w:rPr>
        <w:t xml:space="preserve">1,35) = 20.54, </w:t>
      </w:r>
      <w:r w:rsidRPr="006825A4">
        <w:rPr>
          <w:rFonts w:eastAsia="Times New Roman" w:cs="Times New Roman"/>
          <w:i/>
          <w:color w:val="000000"/>
          <w:szCs w:val="24"/>
        </w:rPr>
        <w:t>p</w:t>
      </w:r>
      <w:r w:rsidRPr="006825A4">
        <w:rPr>
          <w:rFonts w:eastAsia="Times New Roman" w:cs="Times New Roman"/>
          <w:color w:val="000000"/>
          <w:szCs w:val="24"/>
        </w:rPr>
        <w:t xml:space="preserve"> &lt; 0.001), whereby the ‘keep’ option was evaluated more positively than the ‘gamble’ option after excitatory tDCS</w:t>
      </w:r>
      <w:r>
        <w:rPr>
          <w:rFonts w:eastAsia="Times New Roman" w:cs="Times New Roman"/>
          <w:color w:val="000000"/>
          <w:szCs w:val="24"/>
        </w:rPr>
        <w:t>,</w:t>
      </w:r>
      <w:r w:rsidRPr="006825A4">
        <w:rPr>
          <w:rFonts w:eastAsia="Times New Roman" w:cs="Times New Roman"/>
          <w:color w:val="000000"/>
          <w:szCs w:val="24"/>
        </w:rPr>
        <w:t xml:space="preserve"> with an opposite pattern in the inhibitory condition. </w:t>
      </w:r>
    </w:p>
    <w:p w14:paraId="0446A154" w14:textId="77777777" w:rsidR="00ED3E3A" w:rsidRDefault="00ED3E3A" w:rsidP="00FF1F34">
      <w:pPr>
        <w:spacing w:after="0" w:line="240" w:lineRule="auto"/>
        <w:jc w:val="both"/>
        <w:rPr>
          <w:rFonts w:cs="Times New Roman"/>
          <w:i/>
          <w:iCs/>
          <w:color w:val="000000"/>
          <w:sz w:val="20"/>
          <w:szCs w:val="20"/>
        </w:rPr>
      </w:pPr>
    </w:p>
    <w:p w14:paraId="55DE2E1E" w14:textId="77777777" w:rsidR="00ED3E3A" w:rsidRDefault="00ED3E3A" w:rsidP="00FF1F34">
      <w:pPr>
        <w:spacing w:after="0" w:line="240" w:lineRule="auto"/>
        <w:jc w:val="both"/>
        <w:rPr>
          <w:rFonts w:cs="Times New Roman"/>
          <w:i/>
          <w:iCs/>
          <w:color w:val="000000"/>
          <w:sz w:val="20"/>
          <w:szCs w:val="20"/>
        </w:rPr>
      </w:pPr>
    </w:p>
    <w:p w14:paraId="47F70574" w14:textId="77777777" w:rsidR="00ED3E3A" w:rsidRDefault="00ED3E3A" w:rsidP="00FF1F34">
      <w:pPr>
        <w:spacing w:after="0" w:line="240" w:lineRule="auto"/>
        <w:jc w:val="both"/>
        <w:rPr>
          <w:rFonts w:cs="Times New Roman"/>
          <w:i/>
          <w:iCs/>
          <w:color w:val="000000"/>
          <w:sz w:val="20"/>
          <w:szCs w:val="20"/>
        </w:rPr>
      </w:pPr>
    </w:p>
    <w:p w14:paraId="0DE13BDB" w14:textId="77777777" w:rsidR="00ED3E3A" w:rsidRDefault="00ED3E3A" w:rsidP="00FF1F34">
      <w:pPr>
        <w:spacing w:after="0" w:line="240" w:lineRule="auto"/>
        <w:jc w:val="both"/>
        <w:rPr>
          <w:rFonts w:cs="Times New Roman"/>
          <w:i/>
          <w:iCs/>
          <w:color w:val="000000"/>
          <w:sz w:val="20"/>
          <w:szCs w:val="20"/>
        </w:rPr>
      </w:pPr>
    </w:p>
    <w:p w14:paraId="5281C665" w14:textId="7CCD1BB1" w:rsidR="00481E04" w:rsidRPr="00D25EB7" w:rsidRDefault="00E960AB" w:rsidP="00481E04">
      <w:pPr>
        <w:spacing w:after="0" w:line="240" w:lineRule="auto"/>
        <w:jc w:val="both"/>
        <w:rPr>
          <w:rFonts w:eastAsia="Times New Roman" w:cs="Times New Roman"/>
          <w:color w:val="000000"/>
          <w:szCs w:val="24"/>
        </w:rPr>
      </w:pPr>
      <w:r>
        <w:rPr>
          <w:noProof/>
        </w:rPr>
        <w:drawing>
          <wp:inline distT="0" distB="0" distL="0" distR="0" wp14:anchorId="44E18F23" wp14:editId="01443A42">
            <wp:extent cx="5972810" cy="4452620"/>
            <wp:effectExtent l="0" t="0" r="8890" b="508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2810" cy="4452620"/>
                    </a:xfrm>
                    <a:prstGeom prst="rect">
                      <a:avLst/>
                    </a:prstGeom>
                    <a:noFill/>
                    <a:ln>
                      <a:noFill/>
                    </a:ln>
                  </pic:spPr>
                </pic:pic>
              </a:graphicData>
            </a:graphic>
          </wp:inline>
        </w:drawing>
      </w:r>
      <w:r w:rsidR="00FF1F34" w:rsidRPr="00742F50">
        <w:rPr>
          <w:rFonts w:cs="Times New Roman"/>
          <w:i/>
          <w:iCs/>
          <w:color w:val="000000"/>
          <w:sz w:val="20"/>
          <w:szCs w:val="20"/>
        </w:rPr>
        <w:t>Figure</w:t>
      </w:r>
      <w:r w:rsidR="00FF1F34" w:rsidRPr="00742F50">
        <w:rPr>
          <w:rFonts w:cs="Times New Roman"/>
          <w:color w:val="000000"/>
          <w:sz w:val="20"/>
          <w:szCs w:val="20"/>
        </w:rPr>
        <w:t xml:space="preserve"> SM</w:t>
      </w:r>
      <w:r w:rsidR="00742F50">
        <w:rPr>
          <w:rFonts w:cs="Times New Roman"/>
          <w:color w:val="000000"/>
          <w:sz w:val="20"/>
          <w:szCs w:val="20"/>
        </w:rPr>
        <w:t>1</w:t>
      </w:r>
      <w:r w:rsidR="007238C3">
        <w:rPr>
          <w:rFonts w:cs="Times New Roman"/>
          <w:color w:val="000000"/>
          <w:sz w:val="20"/>
          <w:szCs w:val="20"/>
        </w:rPr>
        <w:t>0</w:t>
      </w:r>
      <w:r w:rsidR="00FF1F34" w:rsidRPr="007C4915">
        <w:rPr>
          <w:rFonts w:cs="Times New Roman"/>
          <w:color w:val="000000"/>
          <w:sz w:val="20"/>
          <w:szCs w:val="20"/>
        </w:rPr>
        <w:t>.</w:t>
      </w:r>
      <w:r w:rsidR="00FF1F34">
        <w:rPr>
          <w:rFonts w:cs="Times New Roman"/>
          <w:b/>
          <w:color w:val="000000"/>
          <w:sz w:val="20"/>
          <w:szCs w:val="20"/>
        </w:rPr>
        <w:t xml:space="preserve"> </w:t>
      </w:r>
      <w:r w:rsidR="00FF1F34" w:rsidRPr="00FF1F34">
        <w:rPr>
          <w:rFonts w:cs="Times New Roman"/>
          <w:color w:val="000000"/>
          <w:sz w:val="20"/>
          <w:szCs w:val="20"/>
        </w:rPr>
        <w:t>SAM-ratings of hedonic valence (1=highly unpleasant, 9=highly pleasant)</w:t>
      </w:r>
      <w:r w:rsidR="00FF1F34">
        <w:rPr>
          <w:rFonts w:cs="Times New Roman"/>
          <w:color w:val="000000"/>
          <w:sz w:val="20"/>
          <w:szCs w:val="20"/>
        </w:rPr>
        <w:t xml:space="preserve"> in dependency of stimulation and decision</w:t>
      </w:r>
      <w:r w:rsidR="00FF1F34" w:rsidRPr="007C4915">
        <w:rPr>
          <w:rFonts w:cs="Times New Roman"/>
          <w:color w:val="000000"/>
          <w:sz w:val="20"/>
          <w:szCs w:val="20"/>
        </w:rPr>
        <w:t xml:space="preserve">. </w:t>
      </w:r>
      <w:r w:rsidR="009C4678">
        <w:rPr>
          <w:rFonts w:cs="Times New Roman"/>
          <w:color w:val="000000"/>
          <w:sz w:val="20"/>
          <w:szCs w:val="20"/>
        </w:rPr>
        <w:t xml:space="preserve">Following excitatory </w:t>
      </w:r>
      <w:r w:rsidR="00747CA5">
        <w:rPr>
          <w:rFonts w:cs="Times New Roman"/>
          <w:color w:val="000000"/>
          <w:sz w:val="20"/>
          <w:szCs w:val="20"/>
        </w:rPr>
        <w:t>stimulation,</w:t>
      </w:r>
      <w:r w:rsidR="009C4678">
        <w:rPr>
          <w:rFonts w:cs="Times New Roman"/>
          <w:color w:val="000000"/>
          <w:sz w:val="20"/>
          <w:szCs w:val="20"/>
        </w:rPr>
        <w:t xml:space="preserve"> the results of the </w:t>
      </w:r>
      <w:r w:rsidR="00AC60DA">
        <w:rPr>
          <w:rFonts w:cs="Times New Roman"/>
          <w:color w:val="000000"/>
          <w:sz w:val="20"/>
          <w:szCs w:val="20"/>
        </w:rPr>
        <w:t>‘</w:t>
      </w:r>
      <w:r w:rsidR="009C4678">
        <w:rPr>
          <w:rFonts w:cs="Times New Roman"/>
          <w:color w:val="000000"/>
          <w:sz w:val="20"/>
          <w:szCs w:val="20"/>
        </w:rPr>
        <w:t>keep</w:t>
      </w:r>
      <w:r w:rsidR="00AC60DA">
        <w:rPr>
          <w:rFonts w:cs="Times New Roman"/>
          <w:color w:val="000000"/>
          <w:sz w:val="20"/>
          <w:szCs w:val="20"/>
        </w:rPr>
        <w:t>’</w:t>
      </w:r>
      <w:r w:rsidR="009C4678">
        <w:rPr>
          <w:rFonts w:cs="Times New Roman"/>
          <w:color w:val="000000"/>
          <w:sz w:val="20"/>
          <w:szCs w:val="20"/>
        </w:rPr>
        <w:t xml:space="preserve"> option were rated more positive than the ones of the </w:t>
      </w:r>
      <w:r w:rsidR="00AC60DA">
        <w:rPr>
          <w:rFonts w:cs="Times New Roman"/>
          <w:color w:val="000000"/>
          <w:sz w:val="20"/>
          <w:szCs w:val="20"/>
        </w:rPr>
        <w:t>‘</w:t>
      </w:r>
      <w:r w:rsidR="009C4678">
        <w:rPr>
          <w:rFonts w:cs="Times New Roman"/>
          <w:color w:val="000000"/>
          <w:sz w:val="20"/>
          <w:szCs w:val="20"/>
        </w:rPr>
        <w:t>gamble</w:t>
      </w:r>
      <w:r w:rsidR="00AC60DA">
        <w:rPr>
          <w:rFonts w:cs="Times New Roman"/>
          <w:color w:val="000000"/>
          <w:sz w:val="20"/>
          <w:szCs w:val="20"/>
        </w:rPr>
        <w:t>’</w:t>
      </w:r>
      <w:r w:rsidR="009C4678">
        <w:rPr>
          <w:rFonts w:cs="Times New Roman"/>
          <w:color w:val="000000"/>
          <w:sz w:val="20"/>
          <w:szCs w:val="20"/>
        </w:rPr>
        <w:t xml:space="preserve"> option and vice versa after inhibitory stimulation.</w:t>
      </w:r>
      <w:r w:rsidR="00481E04">
        <w:rPr>
          <w:rFonts w:cs="Times New Roman"/>
          <w:color w:val="000000"/>
          <w:sz w:val="20"/>
          <w:szCs w:val="20"/>
        </w:rPr>
        <w:t xml:space="preserve"> </w:t>
      </w:r>
      <w:r w:rsidR="00481E04">
        <w:rPr>
          <w:color w:val="000000"/>
          <w:sz w:val="20"/>
          <w:szCs w:val="20"/>
        </w:rPr>
        <w:t>Boxplots indicate means (black dot</w:t>
      </w:r>
      <w:r w:rsidR="00547124">
        <w:rPr>
          <w:color w:val="000000"/>
          <w:sz w:val="20"/>
          <w:szCs w:val="20"/>
        </w:rPr>
        <w:t>s</w:t>
      </w:r>
      <w:r w:rsidR="00481E04">
        <w:rPr>
          <w:color w:val="000000"/>
          <w:sz w:val="20"/>
          <w:szCs w:val="20"/>
        </w:rPr>
        <w:t>), medians (grey line</w:t>
      </w:r>
      <w:r w:rsidR="00547124">
        <w:rPr>
          <w:color w:val="000000"/>
          <w:sz w:val="20"/>
          <w:szCs w:val="20"/>
        </w:rPr>
        <w:t>s</w:t>
      </w:r>
      <w:r w:rsidR="00481E04">
        <w:rPr>
          <w:color w:val="000000"/>
          <w:sz w:val="20"/>
          <w:szCs w:val="20"/>
        </w:rPr>
        <w:t>) and lower and upper quartiles</w:t>
      </w:r>
      <w:r w:rsidR="00481E04" w:rsidRPr="007F1E70">
        <w:rPr>
          <w:color w:val="000000"/>
          <w:sz w:val="20"/>
          <w:szCs w:val="20"/>
        </w:rPr>
        <w:t xml:space="preserve">. </w:t>
      </w:r>
      <w:r w:rsidR="00481E04">
        <w:rPr>
          <w:rFonts w:cs="Times New Roman"/>
          <w:color w:val="000000"/>
          <w:sz w:val="20"/>
          <w:szCs w:val="20"/>
        </w:rPr>
        <w:t>Asterisks indicate significance levels: + &lt; 0.1, * &lt; 0.05, ** &lt; 0.01, *** &lt; 0.001</w:t>
      </w:r>
      <w:r w:rsidR="00481E04" w:rsidRPr="009403F0">
        <w:rPr>
          <w:rFonts w:cs="Times New Roman"/>
          <w:color w:val="000000"/>
          <w:sz w:val="20"/>
          <w:szCs w:val="20"/>
        </w:rPr>
        <w:t>.</w:t>
      </w:r>
      <w:r w:rsidR="00481E04">
        <w:rPr>
          <w:rFonts w:cs="Times New Roman"/>
          <w:color w:val="000000"/>
          <w:sz w:val="20"/>
          <w:szCs w:val="20"/>
        </w:rPr>
        <w:t xml:space="preserve"> </w:t>
      </w:r>
    </w:p>
    <w:p w14:paraId="502249CE" w14:textId="33A816DC" w:rsidR="00FF1F34" w:rsidRPr="00814AB1" w:rsidRDefault="00FF1F34" w:rsidP="00FF1F34">
      <w:pPr>
        <w:spacing w:after="0" w:line="240" w:lineRule="auto"/>
        <w:jc w:val="both"/>
        <w:rPr>
          <w:rFonts w:eastAsia="Times New Roman" w:cs="Times New Roman"/>
          <w:color w:val="000000"/>
          <w:szCs w:val="24"/>
        </w:rPr>
      </w:pPr>
    </w:p>
    <w:p w14:paraId="0B3E3ECD" w14:textId="77777777" w:rsidR="008A3C35" w:rsidRDefault="008A3C35" w:rsidP="008A3C35">
      <w:pPr>
        <w:spacing w:before="240" w:after="240"/>
        <w:ind w:firstLine="720"/>
        <w:jc w:val="both"/>
        <w:rPr>
          <w:rFonts w:eastAsia="Times New Roman" w:cs="Times New Roman"/>
          <w:color w:val="000000"/>
          <w:szCs w:val="24"/>
        </w:rPr>
      </w:pPr>
    </w:p>
    <w:p w14:paraId="5991A923" w14:textId="77777777" w:rsidR="00547124" w:rsidRPr="006825A4" w:rsidRDefault="00547124" w:rsidP="00547124">
      <w:pPr>
        <w:spacing w:before="240" w:after="240"/>
        <w:ind w:firstLine="720"/>
        <w:jc w:val="both"/>
        <w:rPr>
          <w:rFonts w:eastAsia="Times New Roman" w:cs="Times New Roman"/>
          <w:color w:val="000000"/>
          <w:szCs w:val="24"/>
        </w:rPr>
      </w:pPr>
      <w:r w:rsidRPr="006825A4">
        <w:rPr>
          <w:rFonts w:eastAsia="Times New Roman" w:cs="Times New Roman"/>
          <w:color w:val="000000"/>
          <w:szCs w:val="24"/>
        </w:rPr>
        <w:t xml:space="preserve">Since </w:t>
      </w:r>
      <w:r>
        <w:rPr>
          <w:rFonts w:eastAsia="Times New Roman" w:cs="Times New Roman"/>
          <w:color w:val="000000"/>
          <w:szCs w:val="24"/>
        </w:rPr>
        <w:t>‘</w:t>
      </w:r>
      <w:r w:rsidRPr="006825A4">
        <w:rPr>
          <w:rFonts w:eastAsia="Times New Roman" w:cs="Times New Roman"/>
          <w:color w:val="000000"/>
          <w:szCs w:val="24"/>
        </w:rPr>
        <w:t>keep’ outcomes were evaluated more positive</w:t>
      </w:r>
      <w:r>
        <w:rPr>
          <w:rFonts w:eastAsia="Times New Roman" w:cs="Times New Roman"/>
          <w:color w:val="000000"/>
          <w:szCs w:val="24"/>
        </w:rPr>
        <w:t>ly</w:t>
      </w:r>
      <w:r w:rsidRPr="006825A4">
        <w:rPr>
          <w:rFonts w:eastAsia="Times New Roman" w:cs="Times New Roman"/>
          <w:color w:val="000000"/>
          <w:szCs w:val="24"/>
        </w:rPr>
        <w:t xml:space="preserve"> than the outcomes following </w:t>
      </w:r>
      <w:r>
        <w:rPr>
          <w:rFonts w:eastAsia="Times New Roman" w:cs="Times New Roman"/>
          <w:color w:val="000000"/>
          <w:szCs w:val="24"/>
        </w:rPr>
        <w:t>‘</w:t>
      </w:r>
      <w:r w:rsidRPr="006825A4">
        <w:rPr>
          <w:rFonts w:eastAsia="Times New Roman" w:cs="Times New Roman"/>
          <w:color w:val="000000"/>
          <w:szCs w:val="24"/>
        </w:rPr>
        <w:t>gamble’ decisions after excitatory stimulation and</w:t>
      </w:r>
      <w:r>
        <w:rPr>
          <w:rFonts w:eastAsia="Times New Roman" w:cs="Times New Roman"/>
          <w:color w:val="000000"/>
          <w:szCs w:val="24"/>
        </w:rPr>
        <w:t>,</w:t>
      </w:r>
      <w:r w:rsidRPr="006825A4">
        <w:rPr>
          <w:rFonts w:eastAsia="Times New Roman" w:cs="Times New Roman"/>
          <w:color w:val="000000"/>
          <w:szCs w:val="24"/>
        </w:rPr>
        <w:t xml:space="preserve"> vice versa in the inhibitory condition, one can interpret this as another sign </w:t>
      </w:r>
      <w:r>
        <w:rPr>
          <w:rFonts w:eastAsia="Times New Roman" w:cs="Times New Roman"/>
          <w:color w:val="000000"/>
          <w:szCs w:val="24"/>
        </w:rPr>
        <w:t xml:space="preserve">that </w:t>
      </w:r>
      <w:r w:rsidRPr="006825A4">
        <w:rPr>
          <w:rFonts w:eastAsia="Times New Roman" w:cs="Times New Roman"/>
          <w:color w:val="000000"/>
          <w:szCs w:val="24"/>
        </w:rPr>
        <w:t>excitatory vmPFC-tDCS</w:t>
      </w:r>
      <w:r w:rsidRPr="00A14622">
        <w:rPr>
          <w:rFonts w:eastAsia="Times New Roman" w:cs="Times New Roman"/>
          <w:color w:val="000000"/>
          <w:szCs w:val="24"/>
        </w:rPr>
        <w:t xml:space="preserve"> </w:t>
      </w:r>
      <w:r>
        <w:rPr>
          <w:rFonts w:eastAsia="Times New Roman" w:cs="Times New Roman"/>
          <w:color w:val="000000"/>
          <w:szCs w:val="24"/>
        </w:rPr>
        <w:t xml:space="preserve">allowed for </w:t>
      </w:r>
      <w:r w:rsidRPr="006825A4">
        <w:rPr>
          <w:rFonts w:eastAsia="Times New Roman" w:cs="Times New Roman"/>
          <w:color w:val="000000"/>
          <w:szCs w:val="24"/>
        </w:rPr>
        <w:t>a more responsible evaluation of gambling. This result matches our other behavioral results (see Fig. 2B, 2C in the main text and Fig. SM2) as well as findings of other authors</w:t>
      </w:r>
      <w:r w:rsidRPr="006825A4">
        <w:rPr>
          <w:rFonts w:eastAsia="Times New Roman" w:cs="Times New Roman"/>
          <w:color w:val="000000"/>
          <w:szCs w:val="24"/>
        </w:rPr>
        <w:fldChar w:fldCharType="begin" w:fldLock="1"/>
      </w:r>
      <w:r w:rsidRPr="006825A4">
        <w:rPr>
          <w:rFonts w:eastAsia="Times New Roman" w:cs="Times New Roman"/>
          <w:color w:val="000000"/>
          <w:szCs w:val="24"/>
        </w:rPr>
        <w:instrText>ADDIN CSL_CITATION {"citationItems":[{"id":"ITEM-1","itemData":{"DOI":"10.1038/nn1378","ISSN":"10976256","PMID":"15643429","abstract":"By analogy to drug dependence, it has been speculated that the underlying pathology in pathological gambling is a reduction in the sensitivity of the reward system. Studying pathological gamblers and controls during a guessing game using functional magnetic resonance imaging, we observed a reduction of ventral striatal and ventromedial prefrontal activation in the pathological gamblers that was negatively correlated with gambling severity, linking hypoactivation of these areas to disease severity.","author":[{"dropping-particle":"","family":"Reuter","given":"Jan","non-dropping-particle":"","parse-names":false,"suffix":""},{"dropping-particle":"","family":"Raedler","given":"Thomas","non-dropping-particle":"","parse-names":false,"suffix":""},{"dropping-particle":"","family":"Rose","given":"Michael","non-dropping-particle":"","parse-names":false,"suffix":""},{"dropping-particle":"","family":"Hand","given":"Iver","non-dropping-particle":"","parse-names":false,"suffix":""},{"dropping-particle":"","family":"Gläscher","given":"Jan","non-dropping-particle":"","parse-names":false,"suffix":""},{"dropping-particle":"","family":"Büchel","given":"Christian","non-dropping-particle":"","parse-names":false,"suffix":""}],"container-title":"Nature Neuroscience","id":"ITEM-1","issue":"2","issued":{"date-parts":[["2005"]]},"page":"147-148","title":"Pathological gambling is linked to reduced activation of the mesolimbic reward system","type":"article-journal","volume":"8"},"uris":["http://www.mendeley.com/documents/?uuid=94382fbd-f0d5-4735-ade7-716ed1007f24"]},{"id":"ITEM-2","itemData":{"DOI":"10.1038/s41598-019-55157-z","ISSN":"20452322","PMID":"31822732","abstract":"Delay discounting requires computing trade-offs between immediate-small rewards and later-larger rewards. Negative and positive emotions shift decisions towards more or less impulsive responses, respectively. Models have conceptualized this trade-off by describing an interplay between “emotional” and “rational” processes, with the former involved during immediate choices and relying on the ventromedial prefrontal cortex (vmPFC), and the latter involved in long-term choices and relying on the dorsolateral prefrontal cortex (dlPFC). Whether stimulation of the vmPFC modulates emotion-induced delay discounting remains unclear. We applied tDCS over the vmPFC in 20 healthy individuals during a delay discounting task following an emotional (positive, negative) or neutral induction. Our results showed that cathodal tDCS increased impulsivity after positive emotions in high impulsivity trials. For low impulsivity trials, anodal tDCS decreased impulsivity following neutral induction compared with emotional induction. Our findings demonstrate that the vmPFC integrates reward and emotion most prominently in situations of increased impulsivity, whereas when higher cognitive control is required the vmPFC appears to be less engaged, possibly due to recruitment of the dlPFC. Understanding how stimulation and emotion influence decision-making at the behavioural and neural levels holds promise to develop interventions to reduce impulsivity.","author":[{"dropping-particle":"","family":"Manuel","given":"Aurélie L.","non-dropping-particle":"","parse-names":false,"suffix":""},{"dropping-particle":"","family":"Murray","given":"Nicholas W.G.","non-dropping-particle":"","parse-names":false,"suffix":""},{"dropping-particle":"","family":"Piguet","given":"Olivier","non-dropping-particle":"","parse-names":false,"suffix":""}],"container-title":"Scientific Reports","id":"ITEM-2","issue":"1","issued":{"date-parts":[["2019"]]},"page":"1-9","title":"Transcranial direct current stimulation (tDCS) over vmPFC modulates interactions between reward and emotion in delay discounting","type":"article-journal","volume":"9"},"uris":["http://www.mendeley.com/documents/?uuid=aa91ed4a-22af-4a50-988c-f309e33453c5"]}],"mendeley":{"formattedCitation":"&lt;sup&gt;11,20&lt;/sup&gt;","plainTextFormattedCitation":"11,20","previouslyFormattedCitation":"&lt;sup&gt;11,20&lt;/sup&gt;"},"properties":{"noteIndex":0},"schema":"https://github.com/citation-style-language/schema/raw/master/csl-citation.json"}</w:instrText>
      </w:r>
      <w:r w:rsidRPr="006825A4">
        <w:rPr>
          <w:rFonts w:eastAsia="Times New Roman" w:cs="Times New Roman"/>
          <w:color w:val="000000"/>
          <w:szCs w:val="24"/>
        </w:rPr>
        <w:fldChar w:fldCharType="separate"/>
      </w:r>
      <w:r w:rsidRPr="006825A4">
        <w:rPr>
          <w:rFonts w:eastAsia="Times New Roman" w:cs="Times New Roman"/>
          <w:noProof/>
          <w:color w:val="000000"/>
          <w:szCs w:val="24"/>
          <w:vertAlign w:val="superscript"/>
        </w:rPr>
        <w:t>11,20</w:t>
      </w:r>
      <w:r w:rsidRPr="006825A4">
        <w:rPr>
          <w:rFonts w:eastAsia="Times New Roman" w:cs="Times New Roman"/>
          <w:color w:val="000000"/>
          <w:szCs w:val="24"/>
        </w:rPr>
        <w:fldChar w:fldCharType="end"/>
      </w:r>
      <w:r w:rsidRPr="006825A4">
        <w:rPr>
          <w:rFonts w:eastAsia="Times New Roman" w:cs="Times New Roman"/>
          <w:color w:val="000000"/>
          <w:szCs w:val="24"/>
        </w:rPr>
        <w:t>.</w:t>
      </w:r>
    </w:p>
    <w:p w14:paraId="62CB0CB7" w14:textId="77777777" w:rsidR="00541695" w:rsidRDefault="00541695" w:rsidP="00631A7B">
      <w:pPr>
        <w:spacing w:before="240" w:after="240"/>
        <w:jc w:val="both"/>
        <w:rPr>
          <w:rFonts w:eastAsia="Times New Roman" w:cs="Times New Roman"/>
          <w:color w:val="000000"/>
          <w:szCs w:val="24"/>
        </w:rPr>
      </w:pPr>
    </w:p>
    <w:p w14:paraId="22B3A11F" w14:textId="35853EF3" w:rsidR="00541695" w:rsidRDefault="00541695" w:rsidP="00541695">
      <w:pPr>
        <w:pStyle w:val="berschrift2"/>
      </w:pPr>
      <w:r>
        <w:t>2.4.3</w:t>
      </w:r>
      <w:r w:rsidR="00811464">
        <w:t>.</w:t>
      </w:r>
      <w:r w:rsidRPr="00793F8B">
        <w:t xml:space="preserve"> </w:t>
      </w:r>
      <w:r>
        <w:t xml:space="preserve">Neural main effect of </w:t>
      </w:r>
      <w:r w:rsidR="00547124">
        <w:t>o</w:t>
      </w:r>
      <w:r>
        <w:t>utcome</w:t>
      </w:r>
    </w:p>
    <w:p w14:paraId="2FF4D969" w14:textId="53CCCCD0" w:rsidR="008B6B04" w:rsidRDefault="008B6B04" w:rsidP="008B6B04">
      <w:pPr>
        <w:spacing w:before="240" w:after="240"/>
        <w:ind w:firstLine="720"/>
        <w:jc w:val="both"/>
        <w:rPr>
          <w:rFonts w:eastAsia="Times New Roman" w:cs="Times New Roman"/>
          <w:color w:val="000000"/>
          <w:szCs w:val="24"/>
        </w:rPr>
      </w:pPr>
      <w:r>
        <w:rPr>
          <w:rFonts w:eastAsia="Times New Roman" w:cs="Times New Roman"/>
          <w:color w:val="000000"/>
          <w:szCs w:val="24"/>
        </w:rPr>
        <w:t xml:space="preserve">Finally, we observed a main effect of </w:t>
      </w:r>
      <w:r w:rsidR="0080641B">
        <w:rPr>
          <w:rFonts w:eastAsia="Times New Roman" w:cs="Times New Roman"/>
          <w:color w:val="000000"/>
          <w:szCs w:val="24"/>
        </w:rPr>
        <w:t>o</w:t>
      </w:r>
      <w:r>
        <w:rPr>
          <w:rFonts w:eastAsia="Times New Roman" w:cs="Times New Roman"/>
          <w:color w:val="000000"/>
          <w:szCs w:val="24"/>
        </w:rPr>
        <w:t>utcome, that cover</w:t>
      </w:r>
      <w:r w:rsidR="00AC60DA">
        <w:rPr>
          <w:rFonts w:eastAsia="Times New Roman" w:cs="Times New Roman"/>
          <w:color w:val="000000"/>
          <w:szCs w:val="24"/>
        </w:rPr>
        <w:t>ed</w:t>
      </w:r>
      <w:r>
        <w:rPr>
          <w:rFonts w:eastAsia="Times New Roman" w:cs="Times New Roman"/>
          <w:color w:val="000000"/>
          <w:szCs w:val="24"/>
        </w:rPr>
        <w:t xml:space="preserve"> the </w:t>
      </w:r>
      <w:r w:rsidR="00AC60DA">
        <w:rPr>
          <w:rFonts w:eastAsia="Times New Roman" w:cs="Times New Roman"/>
          <w:color w:val="000000"/>
          <w:szCs w:val="24"/>
        </w:rPr>
        <w:t xml:space="preserve">complete </w:t>
      </w:r>
      <w:r w:rsidR="00F60590">
        <w:rPr>
          <w:rFonts w:eastAsia="Times New Roman" w:cs="Times New Roman"/>
          <w:color w:val="000000"/>
          <w:szCs w:val="24"/>
        </w:rPr>
        <w:t>inverse source model</w:t>
      </w:r>
      <w:r>
        <w:rPr>
          <w:rFonts w:eastAsia="Times New Roman" w:cs="Times New Roman"/>
          <w:color w:val="000000"/>
          <w:szCs w:val="24"/>
        </w:rPr>
        <w:t xml:space="preserve"> and </w:t>
      </w:r>
      <w:r w:rsidR="00AC60DA">
        <w:rPr>
          <w:rFonts w:eastAsia="Times New Roman" w:cs="Times New Roman"/>
          <w:color w:val="000000"/>
          <w:szCs w:val="24"/>
        </w:rPr>
        <w:t>got significant in the complete time</w:t>
      </w:r>
      <w:r>
        <w:rPr>
          <w:rFonts w:eastAsia="Times New Roman" w:cs="Times New Roman"/>
          <w:color w:val="000000"/>
          <w:szCs w:val="24"/>
        </w:rPr>
        <w:t xml:space="preserve"> interval</w:t>
      </w:r>
      <w:r w:rsidR="00AC60DA">
        <w:rPr>
          <w:rFonts w:eastAsia="Times New Roman" w:cs="Times New Roman"/>
          <w:color w:val="000000"/>
          <w:szCs w:val="24"/>
        </w:rPr>
        <w:t xml:space="preserve"> </w:t>
      </w:r>
      <w:r w:rsidR="00F60590">
        <w:rPr>
          <w:rFonts w:eastAsia="Times New Roman" w:cs="Times New Roman"/>
          <w:color w:val="000000"/>
          <w:szCs w:val="24"/>
        </w:rPr>
        <w:t xml:space="preserve">of interest </w:t>
      </w:r>
      <w:r>
        <w:rPr>
          <w:rFonts w:eastAsia="Times New Roman" w:cs="Times New Roman"/>
          <w:color w:val="000000"/>
          <w:szCs w:val="24"/>
        </w:rPr>
        <w:t>from 0</w:t>
      </w:r>
      <w:r w:rsidR="00AC60DA" w:rsidRPr="00E82D23">
        <w:rPr>
          <w:rStyle w:val="Funotenzeichen"/>
        </w:rPr>
        <w:footnoteReference w:id="3"/>
      </w:r>
      <w:r>
        <w:rPr>
          <w:rFonts w:eastAsia="Times New Roman" w:cs="Times New Roman"/>
          <w:color w:val="000000"/>
          <w:szCs w:val="24"/>
        </w:rPr>
        <w:t xml:space="preserve"> – 600ms (</w:t>
      </w:r>
      <w:r>
        <w:rPr>
          <w:rFonts w:eastAsia="Times New Roman" w:cs="Times New Roman"/>
          <w:i/>
          <w:color w:val="000000"/>
          <w:szCs w:val="24"/>
        </w:rPr>
        <w:t>p</w:t>
      </w:r>
      <w:r>
        <w:rPr>
          <w:rFonts w:eastAsia="Times New Roman" w:cs="Times New Roman"/>
          <w:color w:val="000000"/>
          <w:szCs w:val="24"/>
        </w:rPr>
        <w:t>-cluster &lt; 0.001</w:t>
      </w:r>
      <w:r w:rsidR="00FD2C39">
        <w:rPr>
          <w:rFonts w:eastAsia="Times New Roman" w:cs="Times New Roman"/>
          <w:color w:val="000000"/>
          <w:szCs w:val="24"/>
        </w:rPr>
        <w:t xml:space="preserve">; </w:t>
      </w:r>
      <w:r w:rsidR="00FD2C39">
        <w:rPr>
          <w:rFonts w:eastAsia="Times New Roman" w:cs="Times New Roman"/>
          <w:i/>
          <w:color w:val="000000"/>
          <w:szCs w:val="24"/>
        </w:rPr>
        <w:t>F</w:t>
      </w:r>
      <w:r w:rsidR="00FD2C39" w:rsidRPr="00E55DBA">
        <w:rPr>
          <w:rFonts w:eastAsia="Times New Roman" w:cs="Times New Roman"/>
          <w:color w:val="000000"/>
          <w:szCs w:val="24"/>
        </w:rPr>
        <w:t>(</w:t>
      </w:r>
      <w:r w:rsidR="00FD2C39">
        <w:rPr>
          <w:rFonts w:eastAsia="Times New Roman" w:cs="Times New Roman"/>
          <w:color w:val="000000"/>
          <w:szCs w:val="24"/>
        </w:rPr>
        <w:t>1,27</w:t>
      </w:r>
      <w:r w:rsidR="00FD2C39" w:rsidRPr="00E55DBA">
        <w:rPr>
          <w:rFonts w:eastAsia="Times New Roman" w:cs="Times New Roman"/>
          <w:color w:val="000000"/>
          <w:szCs w:val="24"/>
        </w:rPr>
        <w:t xml:space="preserve">) = </w:t>
      </w:r>
      <w:r w:rsidR="00FD2C39">
        <w:rPr>
          <w:rFonts w:eastAsia="Times New Roman" w:cs="Times New Roman"/>
          <w:color w:val="000000"/>
          <w:szCs w:val="24"/>
        </w:rPr>
        <w:t>86.04</w:t>
      </w:r>
      <w:r w:rsidR="00FD2C39" w:rsidRPr="00E55DBA">
        <w:rPr>
          <w:rFonts w:eastAsia="Times New Roman" w:cs="Times New Roman"/>
          <w:color w:val="000000"/>
          <w:szCs w:val="24"/>
        </w:rPr>
        <w:t xml:space="preserve">, </w:t>
      </w:r>
      <w:r w:rsidR="00FD2C39" w:rsidRPr="00244C06">
        <w:rPr>
          <w:rFonts w:eastAsia="Times New Roman" w:cs="Times New Roman"/>
          <w:i/>
          <w:color w:val="000000"/>
          <w:szCs w:val="24"/>
        </w:rPr>
        <w:t>p</w:t>
      </w:r>
      <w:r w:rsidR="00FD2C39" w:rsidRPr="00E55DBA">
        <w:rPr>
          <w:rFonts w:eastAsia="Times New Roman" w:cs="Times New Roman"/>
          <w:color w:val="000000"/>
          <w:szCs w:val="24"/>
        </w:rPr>
        <w:t xml:space="preserve"> </w:t>
      </w:r>
      <w:r w:rsidR="00FD2C39">
        <w:rPr>
          <w:rFonts w:eastAsia="Times New Roman" w:cs="Times New Roman"/>
          <w:color w:val="000000"/>
          <w:szCs w:val="24"/>
        </w:rPr>
        <w:t>&lt;</w:t>
      </w:r>
      <w:r w:rsidR="00FD2C39" w:rsidRPr="00E55DBA">
        <w:rPr>
          <w:rFonts w:eastAsia="Times New Roman" w:cs="Times New Roman"/>
          <w:color w:val="000000"/>
          <w:szCs w:val="24"/>
        </w:rPr>
        <w:t xml:space="preserve"> 0.</w:t>
      </w:r>
      <w:r w:rsidR="00FD2C39">
        <w:rPr>
          <w:rFonts w:eastAsia="Times New Roman" w:cs="Times New Roman"/>
          <w:color w:val="000000"/>
          <w:szCs w:val="24"/>
        </w:rPr>
        <w:t>001</w:t>
      </w:r>
      <w:r>
        <w:rPr>
          <w:rFonts w:eastAsia="Times New Roman" w:cs="Times New Roman"/>
          <w:color w:val="000000"/>
          <w:szCs w:val="24"/>
        </w:rPr>
        <w:t xml:space="preserve">). </w:t>
      </w:r>
      <w:r w:rsidR="00CB3F35">
        <w:rPr>
          <w:rFonts w:eastAsia="Times New Roman" w:cs="Times New Roman"/>
          <w:color w:val="000000"/>
          <w:szCs w:val="24"/>
        </w:rPr>
        <w:t>In this cluster</w:t>
      </w:r>
      <w:r w:rsidR="00547124">
        <w:rPr>
          <w:rFonts w:eastAsia="Times New Roman" w:cs="Times New Roman"/>
          <w:color w:val="000000"/>
          <w:szCs w:val="24"/>
        </w:rPr>
        <w:t>,</w:t>
      </w:r>
      <w:r w:rsidR="00CB3F35">
        <w:rPr>
          <w:rFonts w:eastAsia="Times New Roman" w:cs="Times New Roman"/>
          <w:color w:val="000000"/>
          <w:szCs w:val="24"/>
        </w:rPr>
        <w:t xml:space="preserve"> </w:t>
      </w:r>
      <w:r w:rsidR="00DD7E35">
        <w:rPr>
          <w:rFonts w:eastAsia="Times New Roman" w:cs="Times New Roman"/>
          <w:color w:val="000000"/>
          <w:szCs w:val="24"/>
        </w:rPr>
        <w:t xml:space="preserve">much </w:t>
      </w:r>
      <w:r w:rsidR="00AC60DA">
        <w:rPr>
          <w:rFonts w:eastAsia="Times New Roman" w:cs="Times New Roman"/>
          <w:color w:val="000000"/>
          <w:szCs w:val="24"/>
        </w:rPr>
        <w:t xml:space="preserve">stronger </w:t>
      </w:r>
      <w:r w:rsidR="00CB3F35">
        <w:rPr>
          <w:rFonts w:eastAsia="Times New Roman" w:cs="Times New Roman"/>
          <w:color w:val="000000"/>
          <w:szCs w:val="24"/>
        </w:rPr>
        <w:t xml:space="preserve">activations occurred in response to </w:t>
      </w:r>
      <w:r w:rsidR="00A57D2B">
        <w:rPr>
          <w:rFonts w:eastAsia="Times New Roman" w:cs="Times New Roman"/>
          <w:color w:val="000000"/>
          <w:szCs w:val="24"/>
        </w:rPr>
        <w:t>losses compared to gains.</w:t>
      </w:r>
    </w:p>
    <w:p w14:paraId="227C7911" w14:textId="54F669F5" w:rsidR="00481E04" w:rsidRPr="00D25EB7" w:rsidRDefault="005D0A1E" w:rsidP="00481E04">
      <w:pPr>
        <w:spacing w:after="0" w:line="240" w:lineRule="auto"/>
        <w:jc w:val="both"/>
        <w:rPr>
          <w:rFonts w:eastAsia="Times New Roman" w:cs="Times New Roman"/>
          <w:color w:val="000000"/>
          <w:szCs w:val="24"/>
        </w:rPr>
      </w:pPr>
      <w:r>
        <w:rPr>
          <w:noProof/>
        </w:rPr>
        <w:drawing>
          <wp:inline distT="0" distB="0" distL="0" distR="0" wp14:anchorId="6E160922" wp14:editId="1D512CC9">
            <wp:extent cx="5972810" cy="3622675"/>
            <wp:effectExtent l="0" t="0" r="889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72810" cy="3622675"/>
                    </a:xfrm>
                    <a:prstGeom prst="rect">
                      <a:avLst/>
                    </a:prstGeom>
                    <a:noFill/>
                    <a:ln>
                      <a:noFill/>
                    </a:ln>
                  </pic:spPr>
                </pic:pic>
              </a:graphicData>
            </a:graphic>
          </wp:inline>
        </w:drawing>
      </w:r>
      <w:r w:rsidR="003A3EDA" w:rsidRPr="00C90A3E">
        <w:rPr>
          <w:rFonts w:cs="Times New Roman"/>
          <w:i/>
          <w:iCs/>
          <w:color w:val="000000"/>
          <w:sz w:val="20"/>
          <w:szCs w:val="20"/>
        </w:rPr>
        <w:t>Figure SM</w:t>
      </w:r>
      <w:r w:rsidR="00C90A3E" w:rsidRPr="00C90A3E">
        <w:rPr>
          <w:rFonts w:cs="Times New Roman"/>
          <w:i/>
          <w:iCs/>
          <w:color w:val="000000"/>
          <w:sz w:val="20"/>
          <w:szCs w:val="20"/>
        </w:rPr>
        <w:t>1</w:t>
      </w:r>
      <w:r w:rsidR="007238C3">
        <w:rPr>
          <w:rFonts w:cs="Times New Roman"/>
          <w:i/>
          <w:iCs/>
          <w:color w:val="000000"/>
          <w:sz w:val="20"/>
          <w:szCs w:val="20"/>
        </w:rPr>
        <w:t>1</w:t>
      </w:r>
      <w:r w:rsidR="003A3EDA" w:rsidRPr="00C90A3E">
        <w:rPr>
          <w:rFonts w:cs="Times New Roman"/>
          <w:i/>
          <w:iCs/>
          <w:color w:val="000000"/>
          <w:sz w:val="20"/>
          <w:szCs w:val="20"/>
        </w:rPr>
        <w:t>.</w:t>
      </w:r>
      <w:r w:rsidR="003A3EDA" w:rsidRPr="00CB701E">
        <w:rPr>
          <w:rFonts w:cs="Times New Roman"/>
          <w:i/>
          <w:iCs/>
          <w:color w:val="000000"/>
          <w:sz w:val="20"/>
          <w:szCs w:val="20"/>
        </w:rPr>
        <w:t xml:space="preserve"> </w:t>
      </w:r>
      <w:r w:rsidR="003A3EDA">
        <w:rPr>
          <w:rFonts w:cs="Times New Roman"/>
          <w:b/>
          <w:iCs/>
          <w:color w:val="000000"/>
          <w:sz w:val="20"/>
          <w:szCs w:val="20"/>
        </w:rPr>
        <w:t xml:space="preserve">A. </w:t>
      </w:r>
      <w:r w:rsidR="003A3EDA" w:rsidRPr="00CB701E">
        <w:rPr>
          <w:rFonts w:cs="Times New Roman"/>
          <w:color w:val="000000"/>
          <w:sz w:val="20"/>
          <w:szCs w:val="20"/>
        </w:rPr>
        <w:t>Significant spatio-temporal cluster</w:t>
      </w:r>
      <w:r w:rsidR="003A3EDA">
        <w:rPr>
          <w:rFonts w:cs="Times New Roman"/>
          <w:color w:val="000000"/>
          <w:sz w:val="20"/>
          <w:szCs w:val="20"/>
        </w:rPr>
        <w:t xml:space="preserve"> </w:t>
      </w:r>
      <w:r w:rsidR="003A3EDA" w:rsidRPr="00CB701E">
        <w:rPr>
          <w:rFonts w:cs="Times New Roman"/>
          <w:color w:val="000000"/>
          <w:sz w:val="20"/>
          <w:szCs w:val="20"/>
        </w:rPr>
        <w:t xml:space="preserve">featuring a </w:t>
      </w:r>
      <w:r w:rsidR="003A3EDA">
        <w:rPr>
          <w:rFonts w:cs="Times New Roman"/>
          <w:color w:val="000000"/>
          <w:sz w:val="20"/>
          <w:szCs w:val="20"/>
        </w:rPr>
        <w:t>main</w:t>
      </w:r>
      <w:r w:rsidR="003A3EDA" w:rsidRPr="00CB701E">
        <w:rPr>
          <w:rFonts w:cs="Times New Roman"/>
          <w:color w:val="000000"/>
          <w:sz w:val="20"/>
          <w:szCs w:val="20"/>
        </w:rPr>
        <w:t xml:space="preserve"> effect of </w:t>
      </w:r>
      <w:r w:rsidR="003A3EDA">
        <w:rPr>
          <w:rFonts w:cs="Times New Roman"/>
          <w:color w:val="000000"/>
          <w:sz w:val="20"/>
          <w:szCs w:val="20"/>
        </w:rPr>
        <w:t>outcome</w:t>
      </w:r>
      <w:r w:rsidR="003A3EDA" w:rsidRPr="00CB701E">
        <w:rPr>
          <w:rFonts w:cs="Times New Roman"/>
          <w:color w:val="000000"/>
          <w:sz w:val="20"/>
          <w:szCs w:val="20"/>
        </w:rPr>
        <w:t xml:space="preserve"> revealed by an ANOVA</w:t>
      </w:r>
      <w:r w:rsidR="00F60D02">
        <w:rPr>
          <w:rFonts w:cs="Times New Roman"/>
          <w:color w:val="000000"/>
          <w:sz w:val="20"/>
          <w:szCs w:val="20"/>
        </w:rPr>
        <w:t>.</w:t>
      </w:r>
      <w:r w:rsidR="00235835">
        <w:rPr>
          <w:rFonts w:cs="Times New Roman"/>
          <w:color w:val="000000"/>
          <w:sz w:val="20"/>
          <w:szCs w:val="20"/>
        </w:rPr>
        <w:t xml:space="preserve"> </w:t>
      </w:r>
      <w:r w:rsidR="00235835">
        <w:rPr>
          <w:rFonts w:cs="Times New Roman"/>
          <w:b/>
          <w:color w:val="000000"/>
          <w:sz w:val="20"/>
          <w:szCs w:val="20"/>
        </w:rPr>
        <w:t>B.</w:t>
      </w:r>
      <w:r w:rsidR="00235835">
        <w:rPr>
          <w:rFonts w:cs="Times New Roman"/>
          <w:color w:val="000000"/>
          <w:sz w:val="20"/>
          <w:szCs w:val="20"/>
        </w:rPr>
        <w:t xml:space="preserve"> </w:t>
      </w:r>
      <w:r w:rsidR="00235835" w:rsidRPr="00235835">
        <w:rPr>
          <w:rFonts w:cs="Times New Roman"/>
          <w:color w:val="000000"/>
          <w:sz w:val="20"/>
          <w:szCs w:val="20"/>
        </w:rPr>
        <w:t xml:space="preserve">Time courses of the significant spatio-temporal cluster with a main effect of </w:t>
      </w:r>
      <w:r w:rsidR="007F15F6">
        <w:rPr>
          <w:rFonts w:cs="Times New Roman"/>
          <w:color w:val="000000"/>
          <w:sz w:val="20"/>
          <w:szCs w:val="20"/>
        </w:rPr>
        <w:t>outcome</w:t>
      </w:r>
      <w:r w:rsidR="00235835" w:rsidRPr="00235835">
        <w:rPr>
          <w:rFonts w:cs="Times New Roman"/>
          <w:color w:val="000000"/>
          <w:sz w:val="20"/>
          <w:szCs w:val="20"/>
        </w:rPr>
        <w:t xml:space="preserve"> revealed by </w:t>
      </w:r>
      <w:r w:rsidR="00235835">
        <w:rPr>
          <w:rFonts w:cs="Times New Roman"/>
          <w:color w:val="000000"/>
          <w:sz w:val="20"/>
          <w:szCs w:val="20"/>
        </w:rPr>
        <w:t>an ANOVA</w:t>
      </w:r>
      <w:r w:rsidR="00235835" w:rsidRPr="00235835">
        <w:rPr>
          <w:rFonts w:cs="Times New Roman"/>
          <w:color w:val="000000"/>
          <w:sz w:val="20"/>
          <w:szCs w:val="20"/>
        </w:rPr>
        <w:t xml:space="preserve">. </w:t>
      </w:r>
      <w:r w:rsidR="00481E04">
        <w:rPr>
          <w:color w:val="000000"/>
          <w:sz w:val="20"/>
          <w:szCs w:val="20"/>
        </w:rPr>
        <w:t>Boxplots indicate means (black dot), medians (grey line) and lower and upper quartiles</w:t>
      </w:r>
      <w:r w:rsidR="00481E04" w:rsidRPr="007F1E70">
        <w:rPr>
          <w:color w:val="000000"/>
          <w:sz w:val="20"/>
          <w:szCs w:val="20"/>
        </w:rPr>
        <w:t xml:space="preserve">. </w:t>
      </w:r>
      <w:r w:rsidR="00481E04">
        <w:rPr>
          <w:rFonts w:cs="Times New Roman"/>
          <w:color w:val="000000"/>
          <w:sz w:val="20"/>
          <w:szCs w:val="20"/>
        </w:rPr>
        <w:t>Asterisks indicate significance levels: + &lt; 0.1, * &lt; 0.05, ** &lt; 0.01, *** &lt; 0.001</w:t>
      </w:r>
      <w:r w:rsidR="00481E04" w:rsidRPr="009403F0">
        <w:rPr>
          <w:rFonts w:cs="Times New Roman"/>
          <w:color w:val="000000"/>
          <w:sz w:val="20"/>
          <w:szCs w:val="20"/>
        </w:rPr>
        <w:t>.</w:t>
      </w:r>
      <w:r w:rsidR="00481E04">
        <w:rPr>
          <w:rFonts w:cs="Times New Roman"/>
          <w:color w:val="000000"/>
          <w:sz w:val="20"/>
          <w:szCs w:val="20"/>
        </w:rPr>
        <w:t xml:space="preserve"> </w:t>
      </w:r>
    </w:p>
    <w:p w14:paraId="72A8478A" w14:textId="5B0F7815" w:rsidR="007F36BD" w:rsidRDefault="007F36BD" w:rsidP="001E12C8">
      <w:pPr>
        <w:spacing w:after="0" w:line="240" w:lineRule="auto"/>
        <w:jc w:val="both"/>
        <w:rPr>
          <w:rFonts w:cs="Times New Roman"/>
          <w:color w:val="000000"/>
          <w:sz w:val="20"/>
          <w:szCs w:val="20"/>
        </w:rPr>
      </w:pPr>
    </w:p>
    <w:p w14:paraId="2FA967A0" w14:textId="10F933CE" w:rsidR="001E12C8" w:rsidRDefault="001E12C8" w:rsidP="001E12C8">
      <w:pPr>
        <w:spacing w:after="0" w:line="240" w:lineRule="auto"/>
        <w:jc w:val="both"/>
        <w:rPr>
          <w:rFonts w:eastAsia="Times New Roman" w:cs="Times New Roman"/>
          <w:color w:val="000000"/>
          <w:szCs w:val="24"/>
        </w:rPr>
      </w:pPr>
    </w:p>
    <w:p w14:paraId="43450EAC" w14:textId="4B50B619" w:rsidR="001E12C8" w:rsidRDefault="001E12C8" w:rsidP="001E12C8">
      <w:pPr>
        <w:spacing w:after="0" w:line="240" w:lineRule="auto"/>
        <w:jc w:val="both"/>
        <w:rPr>
          <w:rFonts w:eastAsia="Times New Roman" w:cs="Times New Roman"/>
          <w:color w:val="000000"/>
          <w:szCs w:val="24"/>
        </w:rPr>
      </w:pPr>
    </w:p>
    <w:p w14:paraId="7266C036" w14:textId="77777777" w:rsidR="001E12C8" w:rsidRPr="001E12C8" w:rsidRDefault="001E12C8" w:rsidP="001E12C8">
      <w:pPr>
        <w:spacing w:after="0" w:line="240" w:lineRule="auto"/>
        <w:jc w:val="both"/>
        <w:rPr>
          <w:rFonts w:eastAsia="Times New Roman" w:cs="Times New Roman"/>
          <w:color w:val="000000"/>
          <w:szCs w:val="24"/>
        </w:rPr>
      </w:pPr>
    </w:p>
    <w:p w14:paraId="7AD87AF0" w14:textId="77777777" w:rsidR="00547124" w:rsidRPr="006825A4" w:rsidRDefault="00547124" w:rsidP="00547124">
      <w:pPr>
        <w:spacing w:after="0" w:line="240" w:lineRule="auto"/>
        <w:jc w:val="both"/>
        <w:rPr>
          <w:rFonts w:eastAsia="Times New Roman" w:cs="Times New Roman"/>
          <w:color w:val="000000"/>
          <w:szCs w:val="24"/>
        </w:rPr>
      </w:pPr>
    </w:p>
    <w:p w14:paraId="5DF13801" w14:textId="6F5A08E1" w:rsidR="00547124" w:rsidRPr="006825A4" w:rsidRDefault="00547124" w:rsidP="00547124">
      <w:pPr>
        <w:ind w:firstLine="720"/>
        <w:rPr>
          <w:rFonts w:cs="Times New Roman"/>
          <w:color w:val="000000"/>
          <w:szCs w:val="24"/>
        </w:rPr>
      </w:pPr>
      <w:r w:rsidRPr="006825A4">
        <w:rPr>
          <w:rFonts w:eastAsia="Times New Roman" w:cs="Times New Roman"/>
          <w:color w:val="000000"/>
          <w:szCs w:val="24"/>
        </w:rPr>
        <w:t>This cluster most likely reflects the</w:t>
      </w:r>
      <w:r w:rsidR="002473F6">
        <w:rPr>
          <w:rFonts w:eastAsia="Times New Roman" w:cs="Times New Roman"/>
          <w:color w:val="000000"/>
          <w:szCs w:val="24"/>
        </w:rPr>
        <w:t xml:space="preserve"> individuals</w:t>
      </w:r>
      <w:r w:rsidRPr="006825A4">
        <w:rPr>
          <w:rFonts w:eastAsia="Times New Roman" w:cs="Times New Roman"/>
          <w:color w:val="000000"/>
          <w:szCs w:val="24"/>
        </w:rPr>
        <w:t xml:space="preserve"> strong loss</w:t>
      </w:r>
      <w:r w:rsidR="002473F6">
        <w:rPr>
          <w:rFonts w:eastAsia="Times New Roman" w:cs="Times New Roman"/>
          <w:color w:val="000000"/>
          <w:szCs w:val="24"/>
        </w:rPr>
        <w:t>-</w:t>
      </w:r>
      <w:r w:rsidRPr="006825A4">
        <w:rPr>
          <w:rFonts w:eastAsia="Times New Roman" w:cs="Times New Roman"/>
          <w:color w:val="000000"/>
          <w:szCs w:val="24"/>
        </w:rPr>
        <w:t>aversion</w:t>
      </w:r>
      <w:r>
        <w:rPr>
          <w:rFonts w:eastAsia="Times New Roman" w:cs="Times New Roman"/>
          <w:color w:val="000000"/>
          <w:szCs w:val="24"/>
        </w:rPr>
        <w:t>,</w:t>
      </w:r>
      <w:r w:rsidRPr="006825A4">
        <w:rPr>
          <w:rFonts w:eastAsia="Times New Roman" w:cs="Times New Roman"/>
          <w:color w:val="000000"/>
          <w:szCs w:val="24"/>
        </w:rPr>
        <w:t xml:space="preserve"> as </w:t>
      </w:r>
      <w:r w:rsidRPr="006825A4">
        <w:rPr>
          <w:rFonts w:cs="Times New Roman"/>
          <w:color w:val="000000"/>
          <w:szCs w:val="24"/>
        </w:rPr>
        <w:t xml:space="preserve">losses are typically rated </w:t>
      </w:r>
      <w:r>
        <w:rPr>
          <w:rFonts w:cs="Times New Roman"/>
          <w:color w:val="000000"/>
          <w:szCs w:val="24"/>
        </w:rPr>
        <w:t xml:space="preserve">as being </w:t>
      </w:r>
      <w:r w:rsidRPr="006825A4">
        <w:rPr>
          <w:rFonts w:cs="Times New Roman"/>
          <w:color w:val="000000"/>
          <w:szCs w:val="24"/>
        </w:rPr>
        <w:t xml:space="preserve">around twice as salient </w:t>
      </w:r>
      <w:r>
        <w:rPr>
          <w:rFonts w:cs="Times New Roman"/>
          <w:color w:val="000000"/>
          <w:szCs w:val="24"/>
        </w:rPr>
        <w:t xml:space="preserve">as </w:t>
      </w:r>
      <w:r w:rsidRPr="006825A4">
        <w:rPr>
          <w:rFonts w:cs="Times New Roman"/>
          <w:color w:val="000000"/>
          <w:szCs w:val="24"/>
        </w:rPr>
        <w:t>gains of the same value</w:t>
      </w:r>
      <w:r w:rsidRPr="006825A4">
        <w:rPr>
          <w:rFonts w:cs="Times New Roman"/>
          <w:color w:val="000000"/>
          <w:szCs w:val="24"/>
        </w:rPr>
        <w:fldChar w:fldCharType="begin" w:fldLock="1"/>
      </w:r>
      <w:r w:rsidRPr="006825A4">
        <w:rPr>
          <w:rFonts w:cs="Times New Roman"/>
          <w:color w:val="000000"/>
          <w:szCs w:val="24"/>
        </w:rPr>
        <w:instrText>ADDIN CSL_CITATION {"citationItems":[{"id":"ITEM-1","itemData":{"author":[{"dropping-particle":"","family":"Kahneman","given":"Daniel","non-dropping-particle":"","parse-names":false,"suffix":""},{"dropping-particle":"","family":"Tversky","given":"Amos","non-dropping-particle":"","parse-names":false,"suffix":""}],"container-title":"Econometrica","id":"ITEM-1","issue":"2","issued":{"date-parts":[["1979"]]},"page":"263-291","title":"Prospect Theory: An Analysis of Decision under Risk","type":"article-journal","volume":"47"},"uris":["http://www.mendeley.com/documents/?uuid=5cb41a22-f827-46da-a719-c33bec0f44ea"]},{"id":"ITEM-2","itemData":{"DOI":"10.1007/BF00122574","ISSN":"1573-0476","abstract":"We develop a new version of prospect theory that employs cumulative rather than separable decision weights and extends the theory in several respects. This version, called cumulative prospect theory, applies to uncertain as well as to risky prospects with any number of outcomes, and it allows different weighting functions for gains and for losses. Two principles, diminishing sensitivity and loss aversion, are invoked to explain the characteristic curvature of the value function and the weighting functions. A review of the experimental evidence and the results of a new experiment confirm a distinctive fourfold pattern of risk attitudes: risk aversion for gains and risk seeking for losses of high probability; risk seeking for gains and risk aversion for losses of low probability.","author":[{"dropping-particle":"","family":"Tversky","given":"Amos","non-dropping-particle":"","parse-names":false,"suffix":""},{"dropping-particle":"","family":"Kahneman","given":"Daniel","non-dropping-particle":"","parse-names":false,"suffix":""}],"container-title":"Journal of Risk and Uncertainty","id":"ITEM-2","issue":"4","issued":{"date-parts":[["1992"]]},"page":"297-323","title":"Advances in prospect theory: Cumulative representation of uncertainty","type":"article-journal","volume":"5"},"uris":["http://www.mendeley.com/documents/?uuid=6a63a693-40ae-4532-879d-dbbdc97544d4"]}],"mendeley":{"formattedCitation":"&lt;sup&gt;21,22&lt;/sup&gt;","plainTextFormattedCitation":"21,22","previouslyFormattedCitation":"&lt;sup&gt;21,22&lt;/sup&gt;"},"properties":{"noteIndex":0},"schema":"https://github.com/citation-style-language/schema/raw/master/csl-citation.json"}</w:instrText>
      </w:r>
      <w:r w:rsidRPr="006825A4">
        <w:rPr>
          <w:rFonts w:cs="Times New Roman"/>
          <w:color w:val="000000"/>
          <w:szCs w:val="24"/>
        </w:rPr>
        <w:fldChar w:fldCharType="separate"/>
      </w:r>
      <w:r w:rsidRPr="006825A4">
        <w:rPr>
          <w:rFonts w:cs="Times New Roman"/>
          <w:noProof/>
          <w:color w:val="000000"/>
          <w:szCs w:val="24"/>
          <w:vertAlign w:val="superscript"/>
        </w:rPr>
        <w:t>21,22</w:t>
      </w:r>
      <w:r w:rsidRPr="006825A4">
        <w:rPr>
          <w:rFonts w:cs="Times New Roman"/>
          <w:color w:val="000000"/>
          <w:szCs w:val="24"/>
        </w:rPr>
        <w:fldChar w:fldCharType="end"/>
      </w:r>
      <w:r w:rsidRPr="006825A4">
        <w:rPr>
          <w:rFonts w:cs="Times New Roman"/>
          <w:color w:val="000000"/>
          <w:szCs w:val="24"/>
        </w:rPr>
        <w:t>.</w:t>
      </w:r>
    </w:p>
    <w:p w14:paraId="26E197F0" w14:textId="77777777" w:rsidR="00547124" w:rsidRDefault="00547124" w:rsidP="00E11305">
      <w:pPr>
        <w:pStyle w:val="berschrift1"/>
        <w:jc w:val="center"/>
        <w:rPr>
          <w:rFonts w:ascii="Times New Roman" w:hAnsi="Times New Roman" w:cs="Times New Roman"/>
          <w:b/>
          <w:color w:val="000000" w:themeColor="text1"/>
          <w:sz w:val="28"/>
        </w:rPr>
      </w:pPr>
    </w:p>
    <w:p w14:paraId="2C3FF4D0" w14:textId="4BC38567" w:rsidR="005D3D2C" w:rsidRPr="00AD57C8" w:rsidRDefault="005D3D2C" w:rsidP="00E11305">
      <w:pPr>
        <w:pStyle w:val="berschrift1"/>
        <w:jc w:val="center"/>
        <w:rPr>
          <w:rFonts w:ascii="Times New Roman" w:hAnsi="Times New Roman" w:cs="Times New Roman"/>
          <w:b/>
          <w:color w:val="000000" w:themeColor="text1"/>
          <w:sz w:val="28"/>
        </w:rPr>
      </w:pPr>
      <w:r w:rsidRPr="00AD57C8">
        <w:rPr>
          <w:rFonts w:ascii="Times New Roman" w:hAnsi="Times New Roman" w:cs="Times New Roman"/>
          <w:b/>
          <w:color w:val="000000" w:themeColor="text1"/>
          <w:sz w:val="28"/>
        </w:rPr>
        <w:t>SM</w:t>
      </w:r>
      <w:r w:rsidR="00495E63">
        <w:rPr>
          <w:rFonts w:ascii="Times New Roman" w:hAnsi="Times New Roman" w:cs="Times New Roman"/>
          <w:b/>
          <w:color w:val="000000" w:themeColor="text1"/>
          <w:sz w:val="28"/>
        </w:rPr>
        <w:t>3</w:t>
      </w:r>
      <w:r w:rsidRPr="00AD57C8">
        <w:rPr>
          <w:rFonts w:ascii="Times New Roman" w:hAnsi="Times New Roman" w:cs="Times New Roman"/>
          <w:b/>
          <w:color w:val="000000" w:themeColor="text1"/>
          <w:sz w:val="28"/>
        </w:rPr>
        <w:t>.References</w:t>
      </w:r>
    </w:p>
    <w:p w14:paraId="6FC034CD" w14:textId="0A94F597" w:rsidR="00547124" w:rsidRPr="002473F6" w:rsidRDefault="005D3D2C" w:rsidP="00547124">
      <w:pPr>
        <w:widowControl w:val="0"/>
        <w:autoSpaceDE w:val="0"/>
        <w:autoSpaceDN w:val="0"/>
        <w:adjustRightInd w:val="0"/>
        <w:spacing w:before="240" w:after="240" w:line="240" w:lineRule="auto"/>
        <w:ind w:left="640" w:hanging="640"/>
        <w:rPr>
          <w:rFonts w:cs="Times New Roman"/>
          <w:noProof/>
          <w:szCs w:val="24"/>
          <w:lang w:val="de-DE"/>
        </w:rPr>
      </w:pPr>
      <w:r>
        <w:rPr>
          <w:color w:val="000000"/>
        </w:rPr>
        <w:fldChar w:fldCharType="begin" w:fldLock="1"/>
      </w:r>
      <w:r>
        <w:rPr>
          <w:color w:val="000000"/>
        </w:rPr>
        <w:instrText xml:space="preserve">ADDIN Mendeley Bibliography CSL_BIBLIOGRAPHY </w:instrText>
      </w:r>
      <w:r>
        <w:rPr>
          <w:color w:val="000000"/>
        </w:rPr>
        <w:fldChar w:fldCharType="separate"/>
      </w:r>
      <w:r w:rsidR="00547124" w:rsidRPr="00547124">
        <w:rPr>
          <w:rFonts w:cs="Times New Roman"/>
          <w:noProof/>
          <w:szCs w:val="24"/>
        </w:rPr>
        <w:t>1.</w:t>
      </w:r>
      <w:r w:rsidR="00547124" w:rsidRPr="00547124">
        <w:rPr>
          <w:rFonts w:cs="Times New Roman"/>
          <w:noProof/>
          <w:szCs w:val="24"/>
        </w:rPr>
        <w:tab/>
        <w:t xml:space="preserve">Van den Berg, I., Franken, I. H. A. &amp; Muris, P. A new scale for measuring reward responsiveness. </w:t>
      </w:r>
      <w:r w:rsidR="00547124" w:rsidRPr="002473F6">
        <w:rPr>
          <w:rFonts w:cs="Times New Roman"/>
          <w:i/>
          <w:iCs/>
          <w:noProof/>
          <w:szCs w:val="24"/>
          <w:lang w:val="de-DE"/>
        </w:rPr>
        <w:t>Front. Psychol.</w:t>
      </w:r>
      <w:r w:rsidR="00547124" w:rsidRPr="002473F6">
        <w:rPr>
          <w:rFonts w:cs="Times New Roman"/>
          <w:noProof/>
          <w:szCs w:val="24"/>
          <w:lang w:val="de-DE"/>
        </w:rPr>
        <w:t xml:space="preserve"> </w:t>
      </w:r>
      <w:r w:rsidR="00547124" w:rsidRPr="002473F6">
        <w:rPr>
          <w:rFonts w:cs="Times New Roman"/>
          <w:b/>
          <w:bCs/>
          <w:noProof/>
          <w:szCs w:val="24"/>
          <w:lang w:val="de-DE"/>
        </w:rPr>
        <w:t>1</w:t>
      </w:r>
      <w:r w:rsidR="00547124" w:rsidRPr="002473F6">
        <w:rPr>
          <w:rFonts w:cs="Times New Roman"/>
          <w:noProof/>
          <w:szCs w:val="24"/>
          <w:lang w:val="de-DE"/>
        </w:rPr>
        <w:t>, 1–7 (2010).</w:t>
      </w:r>
    </w:p>
    <w:p w14:paraId="3BB680A7"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2473F6">
        <w:rPr>
          <w:rFonts w:cs="Times New Roman"/>
          <w:noProof/>
          <w:szCs w:val="24"/>
          <w:lang w:val="de-DE"/>
        </w:rPr>
        <w:t>2.</w:t>
      </w:r>
      <w:r w:rsidRPr="002473F6">
        <w:rPr>
          <w:rFonts w:cs="Times New Roman"/>
          <w:noProof/>
          <w:szCs w:val="24"/>
          <w:lang w:val="de-DE"/>
        </w:rPr>
        <w:tab/>
        <w:t xml:space="preserve">Gerlach, A. L., Andor, T. &amp; Patzelt, J. Die bedeutung von unsicherheits-intoleranz für die generalisierte angststörung: Modellüberlegungen und Entwicklung einer deutschen version der unsicherheitsintoleranz-skala. </w:t>
      </w:r>
      <w:r w:rsidRPr="00547124">
        <w:rPr>
          <w:rFonts w:cs="Times New Roman"/>
          <w:i/>
          <w:iCs/>
          <w:noProof/>
          <w:szCs w:val="24"/>
        </w:rPr>
        <w:t>Z. Klin. Psychol. Psychother.</w:t>
      </w:r>
      <w:r w:rsidRPr="00547124">
        <w:rPr>
          <w:rFonts w:cs="Times New Roman"/>
          <w:noProof/>
          <w:szCs w:val="24"/>
        </w:rPr>
        <w:t xml:space="preserve"> </w:t>
      </w:r>
      <w:r w:rsidRPr="00547124">
        <w:rPr>
          <w:rFonts w:cs="Times New Roman"/>
          <w:b/>
          <w:bCs/>
          <w:noProof/>
          <w:szCs w:val="24"/>
        </w:rPr>
        <w:t>37</w:t>
      </w:r>
      <w:r w:rsidRPr="00547124">
        <w:rPr>
          <w:rFonts w:cs="Times New Roman"/>
          <w:noProof/>
          <w:szCs w:val="24"/>
        </w:rPr>
        <w:t>, 190–199 (2008).</w:t>
      </w:r>
    </w:p>
    <w:p w14:paraId="63725AF6"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3.</w:t>
      </w:r>
      <w:r w:rsidRPr="00547124">
        <w:rPr>
          <w:rFonts w:cs="Times New Roman"/>
          <w:noProof/>
          <w:szCs w:val="24"/>
        </w:rPr>
        <w:tab/>
        <w:t xml:space="preserve">Crowne, D. P. &amp; Marlowe, D. A new scale of social desirability independent of psychopathology. </w:t>
      </w:r>
      <w:r w:rsidRPr="00547124">
        <w:rPr>
          <w:rFonts w:cs="Times New Roman"/>
          <w:i/>
          <w:iCs/>
          <w:noProof/>
          <w:szCs w:val="24"/>
        </w:rPr>
        <w:t>J. Consult. Psychol.</w:t>
      </w:r>
      <w:r w:rsidRPr="00547124">
        <w:rPr>
          <w:rFonts w:cs="Times New Roman"/>
          <w:noProof/>
          <w:szCs w:val="24"/>
        </w:rPr>
        <w:t xml:space="preserve"> </w:t>
      </w:r>
      <w:r w:rsidRPr="00547124">
        <w:rPr>
          <w:rFonts w:cs="Times New Roman"/>
          <w:b/>
          <w:bCs/>
          <w:noProof/>
          <w:szCs w:val="24"/>
        </w:rPr>
        <w:t>24</w:t>
      </w:r>
      <w:r w:rsidRPr="00547124">
        <w:rPr>
          <w:rFonts w:cs="Times New Roman"/>
          <w:noProof/>
          <w:szCs w:val="24"/>
        </w:rPr>
        <w:t>, 349–354 (1960).</w:t>
      </w:r>
    </w:p>
    <w:p w14:paraId="35187678"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4.</w:t>
      </w:r>
      <w:r w:rsidRPr="00547124">
        <w:rPr>
          <w:rFonts w:cs="Times New Roman"/>
          <w:noProof/>
          <w:szCs w:val="24"/>
        </w:rPr>
        <w:tab/>
        <w:t>Beck, A. T., Steer, R. A. &amp; Brown, G. K. BDI-II. (1996).</w:t>
      </w:r>
    </w:p>
    <w:p w14:paraId="0685B10A"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5.</w:t>
      </w:r>
      <w:r w:rsidRPr="00547124">
        <w:rPr>
          <w:rFonts w:cs="Times New Roman"/>
          <w:noProof/>
          <w:szCs w:val="24"/>
        </w:rPr>
        <w:tab/>
        <w:t xml:space="preserve">Watson, D., Clark, L. A. &amp; Tellegen, A. Development and validation of brief measures of positive and negative affect: the  PANAS scales. </w:t>
      </w:r>
      <w:r w:rsidRPr="00547124">
        <w:rPr>
          <w:rFonts w:cs="Times New Roman"/>
          <w:i/>
          <w:iCs/>
          <w:noProof/>
          <w:szCs w:val="24"/>
        </w:rPr>
        <w:t>J. Pers. Soc. Psychol.</w:t>
      </w:r>
      <w:r w:rsidRPr="00547124">
        <w:rPr>
          <w:rFonts w:cs="Times New Roman"/>
          <w:noProof/>
          <w:szCs w:val="24"/>
        </w:rPr>
        <w:t xml:space="preserve"> </w:t>
      </w:r>
      <w:r w:rsidRPr="00547124">
        <w:rPr>
          <w:rFonts w:cs="Times New Roman"/>
          <w:b/>
          <w:bCs/>
          <w:noProof/>
          <w:szCs w:val="24"/>
        </w:rPr>
        <w:t>54</w:t>
      </w:r>
      <w:r w:rsidRPr="00547124">
        <w:rPr>
          <w:rFonts w:cs="Times New Roman"/>
          <w:noProof/>
          <w:szCs w:val="24"/>
        </w:rPr>
        <w:t>, 1063–1070 (1988).</w:t>
      </w:r>
    </w:p>
    <w:p w14:paraId="51E57F22"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6.</w:t>
      </w:r>
      <w:r w:rsidRPr="00547124">
        <w:rPr>
          <w:rFonts w:cs="Times New Roman"/>
          <w:noProof/>
          <w:szCs w:val="24"/>
        </w:rPr>
        <w:tab/>
        <w:t xml:space="preserve">Hämäläinen, M. S. &amp; Ilmoniemi, R. J. Interpreting magnetic fields of the brain: minimum norm estimates. </w:t>
      </w:r>
      <w:r w:rsidRPr="00547124">
        <w:rPr>
          <w:rFonts w:cs="Times New Roman"/>
          <w:i/>
          <w:iCs/>
          <w:noProof/>
          <w:szCs w:val="24"/>
        </w:rPr>
        <w:t>Med. Biol. Eng. Comput.</w:t>
      </w:r>
      <w:r w:rsidRPr="00547124">
        <w:rPr>
          <w:rFonts w:cs="Times New Roman"/>
          <w:noProof/>
          <w:szCs w:val="24"/>
        </w:rPr>
        <w:t xml:space="preserve"> </w:t>
      </w:r>
      <w:r w:rsidRPr="00547124">
        <w:rPr>
          <w:rFonts w:cs="Times New Roman"/>
          <w:b/>
          <w:bCs/>
          <w:noProof/>
          <w:szCs w:val="24"/>
        </w:rPr>
        <w:t>32</w:t>
      </w:r>
      <w:r w:rsidRPr="00547124">
        <w:rPr>
          <w:rFonts w:cs="Times New Roman"/>
          <w:noProof/>
          <w:szCs w:val="24"/>
        </w:rPr>
        <w:t>, 35–42 (1994).</w:t>
      </w:r>
    </w:p>
    <w:p w14:paraId="6C4B2586"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7.</w:t>
      </w:r>
      <w:r w:rsidRPr="00547124">
        <w:rPr>
          <w:rFonts w:cs="Times New Roman"/>
          <w:noProof/>
          <w:szCs w:val="24"/>
        </w:rPr>
        <w:tab/>
        <w:t xml:space="preserve">Roesmann, K. </w:t>
      </w:r>
      <w:r w:rsidRPr="00547124">
        <w:rPr>
          <w:rFonts w:cs="Times New Roman"/>
          <w:i/>
          <w:iCs/>
          <w:noProof/>
          <w:szCs w:val="24"/>
        </w:rPr>
        <w:t>et al.</w:t>
      </w:r>
      <w:r w:rsidRPr="00547124">
        <w:rPr>
          <w:rFonts w:cs="Times New Roman"/>
          <w:noProof/>
          <w:szCs w:val="24"/>
        </w:rPr>
        <w:t xml:space="preserve"> Transcranial direct current stimulation of the ventromedial prefrontal cortex  modulates perceptual and neural patterns of fear generalization. </w:t>
      </w:r>
      <w:r w:rsidRPr="00547124">
        <w:rPr>
          <w:rFonts w:cs="Times New Roman"/>
          <w:i/>
          <w:iCs/>
          <w:noProof/>
          <w:szCs w:val="24"/>
        </w:rPr>
        <w:t>Biol. psychiatry. Cogn. Neurosci. neuroimaging</w:t>
      </w:r>
      <w:r w:rsidRPr="00547124">
        <w:rPr>
          <w:rFonts w:cs="Times New Roman"/>
          <w:noProof/>
          <w:szCs w:val="24"/>
        </w:rPr>
        <w:t xml:space="preserve"> (2021) doi:10.1016/j.bpsc.2021.08.001.</w:t>
      </w:r>
    </w:p>
    <w:p w14:paraId="19EB6E48"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8.</w:t>
      </w:r>
      <w:r w:rsidRPr="00547124">
        <w:rPr>
          <w:rFonts w:cs="Times New Roman"/>
          <w:noProof/>
          <w:szCs w:val="24"/>
        </w:rPr>
        <w:tab/>
        <w:t xml:space="preserve">Winker, C. </w:t>
      </w:r>
      <w:r w:rsidRPr="00547124">
        <w:rPr>
          <w:rFonts w:cs="Times New Roman"/>
          <w:i/>
          <w:iCs/>
          <w:noProof/>
          <w:szCs w:val="24"/>
        </w:rPr>
        <w:t>et al.</w:t>
      </w:r>
      <w:r w:rsidRPr="00547124">
        <w:rPr>
          <w:rFonts w:cs="Times New Roman"/>
          <w:noProof/>
          <w:szCs w:val="24"/>
        </w:rPr>
        <w:t xml:space="preserve"> Noninvasive stimulation of the ventromedial prefrontal cortex modulates emotional face processing. </w:t>
      </w:r>
      <w:r w:rsidRPr="00547124">
        <w:rPr>
          <w:rFonts w:cs="Times New Roman"/>
          <w:i/>
          <w:iCs/>
          <w:noProof/>
          <w:szCs w:val="24"/>
        </w:rPr>
        <w:t>Neuroimage</w:t>
      </w:r>
      <w:r w:rsidRPr="00547124">
        <w:rPr>
          <w:rFonts w:cs="Times New Roman"/>
          <w:noProof/>
          <w:szCs w:val="24"/>
        </w:rPr>
        <w:t xml:space="preserve"> </w:t>
      </w:r>
      <w:r w:rsidRPr="00547124">
        <w:rPr>
          <w:rFonts w:cs="Times New Roman"/>
          <w:b/>
          <w:bCs/>
          <w:noProof/>
          <w:szCs w:val="24"/>
        </w:rPr>
        <w:t>175</w:t>
      </w:r>
      <w:r w:rsidRPr="00547124">
        <w:rPr>
          <w:rFonts w:cs="Times New Roman"/>
          <w:noProof/>
          <w:szCs w:val="24"/>
        </w:rPr>
        <w:t>, 388–401 (2018).</w:t>
      </w:r>
    </w:p>
    <w:p w14:paraId="77F28982"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9.</w:t>
      </w:r>
      <w:r w:rsidRPr="00547124">
        <w:rPr>
          <w:rFonts w:cs="Times New Roman"/>
          <w:noProof/>
          <w:szCs w:val="24"/>
        </w:rPr>
        <w:tab/>
        <w:t xml:space="preserve">Maris, E. &amp; Oostenveld, R. Nonparametric statistical testing of EEG- and MEG-data. </w:t>
      </w:r>
      <w:r w:rsidRPr="00547124">
        <w:rPr>
          <w:rFonts w:cs="Times New Roman"/>
          <w:i/>
          <w:iCs/>
          <w:noProof/>
          <w:szCs w:val="24"/>
        </w:rPr>
        <w:t>J. Neurosci. Methods</w:t>
      </w:r>
      <w:r w:rsidRPr="00547124">
        <w:rPr>
          <w:rFonts w:cs="Times New Roman"/>
          <w:noProof/>
          <w:szCs w:val="24"/>
        </w:rPr>
        <w:t xml:space="preserve"> </w:t>
      </w:r>
      <w:r w:rsidRPr="00547124">
        <w:rPr>
          <w:rFonts w:cs="Times New Roman"/>
          <w:b/>
          <w:bCs/>
          <w:noProof/>
          <w:szCs w:val="24"/>
        </w:rPr>
        <w:t>164</w:t>
      </w:r>
      <w:r w:rsidRPr="00547124">
        <w:rPr>
          <w:rFonts w:cs="Times New Roman"/>
          <w:noProof/>
          <w:szCs w:val="24"/>
        </w:rPr>
        <w:t>, 177–190 (2007).</w:t>
      </w:r>
    </w:p>
    <w:p w14:paraId="2E9239C3"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10.</w:t>
      </w:r>
      <w:r w:rsidRPr="00547124">
        <w:rPr>
          <w:rFonts w:cs="Times New Roman"/>
          <w:noProof/>
          <w:szCs w:val="24"/>
        </w:rPr>
        <w:tab/>
        <w:t xml:space="preserve">Xue, G., Lu, Z., Levin, I. P. &amp; Bechara, A. An fMRI study of risk-taking following wins and losses: Implications for the gambler’s fallacy. </w:t>
      </w:r>
      <w:r w:rsidRPr="00547124">
        <w:rPr>
          <w:rFonts w:cs="Times New Roman"/>
          <w:i/>
          <w:iCs/>
          <w:noProof/>
          <w:szCs w:val="24"/>
        </w:rPr>
        <w:t>Hum. Brain Mapp.</w:t>
      </w:r>
      <w:r w:rsidRPr="00547124">
        <w:rPr>
          <w:rFonts w:cs="Times New Roman"/>
          <w:noProof/>
          <w:szCs w:val="24"/>
        </w:rPr>
        <w:t xml:space="preserve"> </w:t>
      </w:r>
      <w:r w:rsidRPr="00547124">
        <w:rPr>
          <w:rFonts w:cs="Times New Roman"/>
          <w:b/>
          <w:bCs/>
          <w:noProof/>
          <w:szCs w:val="24"/>
        </w:rPr>
        <w:t>32</w:t>
      </w:r>
      <w:r w:rsidRPr="00547124">
        <w:rPr>
          <w:rFonts w:cs="Times New Roman"/>
          <w:noProof/>
          <w:szCs w:val="24"/>
        </w:rPr>
        <w:t>, 271–281 (2011).</w:t>
      </w:r>
    </w:p>
    <w:p w14:paraId="3ABEB94B"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11.</w:t>
      </w:r>
      <w:r w:rsidRPr="00547124">
        <w:rPr>
          <w:rFonts w:cs="Times New Roman"/>
          <w:noProof/>
          <w:szCs w:val="24"/>
        </w:rPr>
        <w:tab/>
        <w:t xml:space="preserve">Reuter, J. </w:t>
      </w:r>
      <w:r w:rsidRPr="00547124">
        <w:rPr>
          <w:rFonts w:cs="Times New Roman"/>
          <w:i/>
          <w:iCs/>
          <w:noProof/>
          <w:szCs w:val="24"/>
        </w:rPr>
        <w:t>et al.</w:t>
      </w:r>
      <w:r w:rsidRPr="00547124">
        <w:rPr>
          <w:rFonts w:cs="Times New Roman"/>
          <w:noProof/>
          <w:szCs w:val="24"/>
        </w:rPr>
        <w:t xml:space="preserve"> Pathological gambling is linked to reduced activation of the mesolimbic reward system. </w:t>
      </w:r>
      <w:r w:rsidRPr="00547124">
        <w:rPr>
          <w:rFonts w:cs="Times New Roman"/>
          <w:i/>
          <w:iCs/>
          <w:noProof/>
          <w:szCs w:val="24"/>
        </w:rPr>
        <w:t>Nat. Neurosci.</w:t>
      </w:r>
      <w:r w:rsidRPr="00547124">
        <w:rPr>
          <w:rFonts w:cs="Times New Roman"/>
          <w:noProof/>
          <w:szCs w:val="24"/>
        </w:rPr>
        <w:t xml:space="preserve"> </w:t>
      </w:r>
      <w:r w:rsidRPr="00547124">
        <w:rPr>
          <w:rFonts w:cs="Times New Roman"/>
          <w:b/>
          <w:bCs/>
          <w:noProof/>
          <w:szCs w:val="24"/>
        </w:rPr>
        <w:t>8</w:t>
      </w:r>
      <w:r w:rsidRPr="00547124">
        <w:rPr>
          <w:rFonts w:cs="Times New Roman"/>
          <w:noProof/>
          <w:szCs w:val="24"/>
        </w:rPr>
        <w:t>, 147–148 (2005).</w:t>
      </w:r>
    </w:p>
    <w:p w14:paraId="41D748B7"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12.</w:t>
      </w:r>
      <w:r w:rsidRPr="00547124">
        <w:rPr>
          <w:rFonts w:cs="Times New Roman"/>
          <w:noProof/>
          <w:szCs w:val="24"/>
        </w:rPr>
        <w:tab/>
        <w:t xml:space="preserve">Shiv, B., Loewenstein, G., Bechara, A., Damasio, H. &amp; Damasio, A. R. Investment behavior and the negative side of emotion. </w:t>
      </w:r>
      <w:r w:rsidRPr="00547124">
        <w:rPr>
          <w:rFonts w:cs="Times New Roman"/>
          <w:i/>
          <w:iCs/>
          <w:noProof/>
          <w:szCs w:val="24"/>
        </w:rPr>
        <w:t>Psychol. Sci.</w:t>
      </w:r>
      <w:r w:rsidRPr="00547124">
        <w:rPr>
          <w:rFonts w:cs="Times New Roman"/>
          <w:noProof/>
          <w:szCs w:val="24"/>
        </w:rPr>
        <w:t xml:space="preserve"> </w:t>
      </w:r>
      <w:r w:rsidRPr="00547124">
        <w:rPr>
          <w:rFonts w:cs="Times New Roman"/>
          <w:b/>
          <w:bCs/>
          <w:noProof/>
          <w:szCs w:val="24"/>
        </w:rPr>
        <w:t>16</w:t>
      </w:r>
      <w:r w:rsidRPr="00547124">
        <w:rPr>
          <w:rFonts w:cs="Times New Roman"/>
          <w:noProof/>
          <w:szCs w:val="24"/>
        </w:rPr>
        <w:t>, 435–439 (2005).</w:t>
      </w:r>
    </w:p>
    <w:p w14:paraId="7B0D5F7B"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13.</w:t>
      </w:r>
      <w:r w:rsidRPr="00547124">
        <w:rPr>
          <w:rFonts w:cs="Times New Roman"/>
          <w:noProof/>
          <w:szCs w:val="24"/>
        </w:rPr>
        <w:tab/>
        <w:t xml:space="preserve">Rogers, R. D. </w:t>
      </w:r>
      <w:r w:rsidRPr="00547124">
        <w:rPr>
          <w:rFonts w:cs="Times New Roman"/>
          <w:i/>
          <w:iCs/>
          <w:noProof/>
          <w:szCs w:val="24"/>
        </w:rPr>
        <w:t>et al.</w:t>
      </w:r>
      <w:r w:rsidRPr="00547124">
        <w:rPr>
          <w:rFonts w:cs="Times New Roman"/>
          <w:noProof/>
          <w:szCs w:val="24"/>
        </w:rPr>
        <w:t xml:space="preserve"> Distinct portions of anterior cingulate cortex and medial prefrontal cortex are activated by reward processing in separable phases of decision-making cognition. </w:t>
      </w:r>
      <w:r w:rsidRPr="00547124">
        <w:rPr>
          <w:rFonts w:cs="Times New Roman"/>
          <w:i/>
          <w:iCs/>
          <w:noProof/>
          <w:szCs w:val="24"/>
        </w:rPr>
        <w:t>Biol. Psychiatry</w:t>
      </w:r>
      <w:r w:rsidRPr="00547124">
        <w:rPr>
          <w:rFonts w:cs="Times New Roman"/>
          <w:noProof/>
          <w:szCs w:val="24"/>
        </w:rPr>
        <w:t xml:space="preserve"> </w:t>
      </w:r>
      <w:r w:rsidRPr="00547124">
        <w:rPr>
          <w:rFonts w:cs="Times New Roman"/>
          <w:b/>
          <w:bCs/>
          <w:noProof/>
          <w:szCs w:val="24"/>
        </w:rPr>
        <w:t>55</w:t>
      </w:r>
      <w:r w:rsidRPr="00547124">
        <w:rPr>
          <w:rFonts w:cs="Times New Roman"/>
          <w:noProof/>
          <w:szCs w:val="24"/>
        </w:rPr>
        <w:t>, 594–602 (2004).</w:t>
      </w:r>
    </w:p>
    <w:p w14:paraId="4B14EB11"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14.</w:t>
      </w:r>
      <w:r w:rsidRPr="00547124">
        <w:rPr>
          <w:rFonts w:cs="Times New Roman"/>
          <w:noProof/>
          <w:szCs w:val="24"/>
        </w:rPr>
        <w:tab/>
        <w:t xml:space="preserve">Sescousse, G., Caldú, X., Segura, B. &amp; Dreher, J. C. Processing of primary and secondary rewards: A quantitative meta-analysis and review of human functional neuroimaging studies. </w:t>
      </w:r>
      <w:r w:rsidRPr="00547124">
        <w:rPr>
          <w:rFonts w:cs="Times New Roman"/>
          <w:i/>
          <w:iCs/>
          <w:noProof/>
          <w:szCs w:val="24"/>
        </w:rPr>
        <w:t>Neurosci. Biobehav. Rev.</w:t>
      </w:r>
      <w:r w:rsidRPr="00547124">
        <w:rPr>
          <w:rFonts w:cs="Times New Roman"/>
          <w:noProof/>
          <w:szCs w:val="24"/>
        </w:rPr>
        <w:t xml:space="preserve"> </w:t>
      </w:r>
      <w:r w:rsidRPr="00547124">
        <w:rPr>
          <w:rFonts w:cs="Times New Roman"/>
          <w:b/>
          <w:bCs/>
          <w:noProof/>
          <w:szCs w:val="24"/>
        </w:rPr>
        <w:t>37</w:t>
      </w:r>
      <w:r w:rsidRPr="00547124">
        <w:rPr>
          <w:rFonts w:cs="Times New Roman"/>
          <w:noProof/>
          <w:szCs w:val="24"/>
        </w:rPr>
        <w:t>, 681–696 (2013).</w:t>
      </w:r>
    </w:p>
    <w:p w14:paraId="7C8ACEE7"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15.</w:t>
      </w:r>
      <w:r w:rsidRPr="00547124">
        <w:rPr>
          <w:rFonts w:cs="Times New Roman"/>
          <w:noProof/>
          <w:szCs w:val="24"/>
        </w:rPr>
        <w:tab/>
        <w:t xml:space="preserve">Lindquist, K. A., Satpute, A. B., Wager, T. D., Weber, J. &amp; Barrett, L. F. The Brain Basis of Positive and Negative Affect: Evidence from a Meta-Analysis of the Human Neuroimaging Literature. </w:t>
      </w:r>
      <w:r w:rsidRPr="00547124">
        <w:rPr>
          <w:rFonts w:cs="Times New Roman"/>
          <w:i/>
          <w:iCs/>
          <w:noProof/>
          <w:szCs w:val="24"/>
        </w:rPr>
        <w:t>Cereb. Cortex</w:t>
      </w:r>
      <w:r w:rsidRPr="00547124">
        <w:rPr>
          <w:rFonts w:cs="Times New Roman"/>
          <w:noProof/>
          <w:szCs w:val="24"/>
        </w:rPr>
        <w:t xml:space="preserve"> </w:t>
      </w:r>
      <w:r w:rsidRPr="00547124">
        <w:rPr>
          <w:rFonts w:cs="Times New Roman"/>
          <w:b/>
          <w:bCs/>
          <w:noProof/>
          <w:szCs w:val="24"/>
        </w:rPr>
        <w:t>26</w:t>
      </w:r>
      <w:r w:rsidRPr="00547124">
        <w:rPr>
          <w:rFonts w:cs="Times New Roman"/>
          <w:noProof/>
          <w:szCs w:val="24"/>
        </w:rPr>
        <w:t>, 1910–1922 (2016).</w:t>
      </w:r>
    </w:p>
    <w:p w14:paraId="74306B0D"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16.</w:t>
      </w:r>
      <w:r w:rsidRPr="00547124">
        <w:rPr>
          <w:rFonts w:cs="Times New Roman"/>
          <w:noProof/>
          <w:szCs w:val="24"/>
        </w:rPr>
        <w:tab/>
        <w:t xml:space="preserve">Junghofer, M., Winker, C., Rehbein, M. A. &amp; Sabatinelli, D. Noninvasive Stimulation of the Ventromedial Prefrontal Cortex Enhances Pleasant Scene Processing. </w:t>
      </w:r>
      <w:r w:rsidRPr="00547124">
        <w:rPr>
          <w:rFonts w:cs="Times New Roman"/>
          <w:i/>
          <w:iCs/>
          <w:noProof/>
          <w:szCs w:val="24"/>
        </w:rPr>
        <w:t>Cereb. Cortex</w:t>
      </w:r>
      <w:r w:rsidRPr="00547124">
        <w:rPr>
          <w:rFonts w:cs="Times New Roman"/>
          <w:noProof/>
          <w:szCs w:val="24"/>
        </w:rPr>
        <w:t xml:space="preserve"> </w:t>
      </w:r>
      <w:r w:rsidRPr="00547124">
        <w:rPr>
          <w:rFonts w:cs="Times New Roman"/>
          <w:b/>
          <w:bCs/>
          <w:noProof/>
          <w:szCs w:val="24"/>
        </w:rPr>
        <w:t>27</w:t>
      </w:r>
      <w:r w:rsidRPr="00547124">
        <w:rPr>
          <w:rFonts w:cs="Times New Roman"/>
          <w:noProof/>
          <w:szCs w:val="24"/>
        </w:rPr>
        <w:t>, 3449–3456 (2017).</w:t>
      </w:r>
    </w:p>
    <w:p w14:paraId="0087CABC"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17.</w:t>
      </w:r>
      <w:r w:rsidRPr="00547124">
        <w:rPr>
          <w:rFonts w:cs="Times New Roman"/>
          <w:noProof/>
          <w:szCs w:val="24"/>
        </w:rPr>
        <w:tab/>
        <w:t xml:space="preserve">Winker, C. </w:t>
      </w:r>
      <w:r w:rsidRPr="00547124">
        <w:rPr>
          <w:rFonts w:cs="Times New Roman"/>
          <w:i/>
          <w:iCs/>
          <w:noProof/>
          <w:szCs w:val="24"/>
        </w:rPr>
        <w:t>et al.</w:t>
      </w:r>
      <w:r w:rsidRPr="00547124">
        <w:rPr>
          <w:rFonts w:cs="Times New Roman"/>
          <w:noProof/>
          <w:szCs w:val="24"/>
        </w:rPr>
        <w:t xml:space="preserve"> Noninvasive stimulation of the ventromedial prefrontal cortex indicates valence ambiguity in sad compared to happy and fearful face processing. </w:t>
      </w:r>
      <w:r w:rsidRPr="00547124">
        <w:rPr>
          <w:rFonts w:cs="Times New Roman"/>
          <w:i/>
          <w:iCs/>
          <w:noProof/>
          <w:szCs w:val="24"/>
        </w:rPr>
        <w:t>Front. Behav. Neurosci.</w:t>
      </w:r>
      <w:r w:rsidRPr="00547124">
        <w:rPr>
          <w:rFonts w:cs="Times New Roman"/>
          <w:noProof/>
          <w:szCs w:val="24"/>
        </w:rPr>
        <w:t xml:space="preserve"> </w:t>
      </w:r>
      <w:r w:rsidRPr="00547124">
        <w:rPr>
          <w:rFonts w:cs="Times New Roman"/>
          <w:b/>
          <w:bCs/>
          <w:noProof/>
          <w:szCs w:val="24"/>
        </w:rPr>
        <w:t>13</w:t>
      </w:r>
      <w:r w:rsidRPr="00547124">
        <w:rPr>
          <w:rFonts w:cs="Times New Roman"/>
          <w:noProof/>
          <w:szCs w:val="24"/>
        </w:rPr>
        <w:t>, 1–16 (2019).</w:t>
      </w:r>
    </w:p>
    <w:p w14:paraId="74794F42"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18.</w:t>
      </w:r>
      <w:r w:rsidRPr="00547124">
        <w:rPr>
          <w:rFonts w:cs="Times New Roman"/>
          <w:noProof/>
          <w:szCs w:val="24"/>
        </w:rPr>
        <w:tab/>
        <w:t xml:space="preserve">Winker, C., Rehbein, M. A., Sabatinelli, D. &amp; Junghofer, M. Repeated noninvasive stimulation of the ventromedial prefrontal cortex reveals cumulative amplification of pleasant compared to unpleasant scene processing: A single subject pilot study. </w:t>
      </w:r>
      <w:r w:rsidRPr="00547124">
        <w:rPr>
          <w:rFonts w:cs="Times New Roman"/>
          <w:i/>
          <w:iCs/>
          <w:noProof/>
          <w:szCs w:val="24"/>
        </w:rPr>
        <w:t>PLoS One</w:t>
      </w:r>
      <w:r w:rsidRPr="00547124">
        <w:rPr>
          <w:rFonts w:cs="Times New Roman"/>
          <w:noProof/>
          <w:szCs w:val="24"/>
        </w:rPr>
        <w:t xml:space="preserve"> </w:t>
      </w:r>
      <w:r w:rsidRPr="00547124">
        <w:rPr>
          <w:rFonts w:cs="Times New Roman"/>
          <w:b/>
          <w:bCs/>
          <w:noProof/>
          <w:szCs w:val="24"/>
        </w:rPr>
        <w:t>15</w:t>
      </w:r>
      <w:r w:rsidRPr="00547124">
        <w:rPr>
          <w:rFonts w:cs="Times New Roman"/>
          <w:noProof/>
          <w:szCs w:val="24"/>
        </w:rPr>
        <w:t>, e0222057 (2020).</w:t>
      </w:r>
    </w:p>
    <w:p w14:paraId="6CE28352"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19.</w:t>
      </w:r>
      <w:r w:rsidRPr="00547124">
        <w:rPr>
          <w:rFonts w:cs="Times New Roman"/>
          <w:noProof/>
          <w:szCs w:val="24"/>
        </w:rPr>
        <w:tab/>
        <w:t xml:space="preserve">Wessing, I., Romer, G. &amp; Junghöfer, M. Hypervigilance-avoidance in children with anxiety disorders: magnetoencephalographic evidence. </w:t>
      </w:r>
      <w:r w:rsidRPr="00547124">
        <w:rPr>
          <w:rFonts w:cs="Times New Roman"/>
          <w:i/>
          <w:iCs/>
          <w:noProof/>
          <w:szCs w:val="24"/>
        </w:rPr>
        <w:t>J. Child Psychol. Psychiatry Allied Discip.</w:t>
      </w:r>
      <w:r w:rsidRPr="00547124">
        <w:rPr>
          <w:rFonts w:cs="Times New Roman"/>
          <w:noProof/>
          <w:szCs w:val="24"/>
        </w:rPr>
        <w:t xml:space="preserve"> </w:t>
      </w:r>
      <w:r w:rsidRPr="00547124">
        <w:rPr>
          <w:rFonts w:cs="Times New Roman"/>
          <w:b/>
          <w:bCs/>
          <w:noProof/>
          <w:szCs w:val="24"/>
        </w:rPr>
        <w:t>58</w:t>
      </w:r>
      <w:r w:rsidRPr="00547124">
        <w:rPr>
          <w:rFonts w:cs="Times New Roman"/>
          <w:noProof/>
          <w:szCs w:val="24"/>
        </w:rPr>
        <w:t>, 103–112 (2017).</w:t>
      </w:r>
    </w:p>
    <w:p w14:paraId="48D4DF31"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20.</w:t>
      </w:r>
      <w:r w:rsidRPr="00547124">
        <w:rPr>
          <w:rFonts w:cs="Times New Roman"/>
          <w:noProof/>
          <w:szCs w:val="24"/>
        </w:rPr>
        <w:tab/>
        <w:t xml:space="preserve">Manuel, A. L., Murray, N. W. G. &amp; Piguet, O. Transcranial direct current stimulation (tDCS) over vmPFC modulates interactions between reward and emotion in delay discounting. </w:t>
      </w:r>
      <w:r w:rsidRPr="00547124">
        <w:rPr>
          <w:rFonts w:cs="Times New Roman"/>
          <w:i/>
          <w:iCs/>
          <w:noProof/>
          <w:szCs w:val="24"/>
        </w:rPr>
        <w:t>Sci. Rep.</w:t>
      </w:r>
      <w:r w:rsidRPr="00547124">
        <w:rPr>
          <w:rFonts w:cs="Times New Roman"/>
          <w:noProof/>
          <w:szCs w:val="24"/>
        </w:rPr>
        <w:t xml:space="preserve"> </w:t>
      </w:r>
      <w:r w:rsidRPr="00547124">
        <w:rPr>
          <w:rFonts w:cs="Times New Roman"/>
          <w:b/>
          <w:bCs/>
          <w:noProof/>
          <w:szCs w:val="24"/>
        </w:rPr>
        <w:t>9</w:t>
      </w:r>
      <w:r w:rsidRPr="00547124">
        <w:rPr>
          <w:rFonts w:cs="Times New Roman"/>
          <w:noProof/>
          <w:szCs w:val="24"/>
        </w:rPr>
        <w:t>, 1–9 (2019).</w:t>
      </w:r>
    </w:p>
    <w:p w14:paraId="29834520"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szCs w:val="24"/>
        </w:rPr>
      </w:pPr>
      <w:r w:rsidRPr="00547124">
        <w:rPr>
          <w:rFonts w:cs="Times New Roman"/>
          <w:noProof/>
          <w:szCs w:val="24"/>
        </w:rPr>
        <w:t>21.</w:t>
      </w:r>
      <w:r w:rsidRPr="00547124">
        <w:rPr>
          <w:rFonts w:cs="Times New Roman"/>
          <w:noProof/>
          <w:szCs w:val="24"/>
        </w:rPr>
        <w:tab/>
        <w:t xml:space="preserve">Kahneman, D. &amp; Tversky, A. Prospect Theory: An Analysis of Decision under Risk. </w:t>
      </w:r>
      <w:r w:rsidRPr="00547124">
        <w:rPr>
          <w:rFonts w:cs="Times New Roman"/>
          <w:i/>
          <w:iCs/>
          <w:noProof/>
          <w:szCs w:val="24"/>
        </w:rPr>
        <w:t>Econometrica</w:t>
      </w:r>
      <w:r w:rsidRPr="00547124">
        <w:rPr>
          <w:rFonts w:cs="Times New Roman"/>
          <w:noProof/>
          <w:szCs w:val="24"/>
        </w:rPr>
        <w:t xml:space="preserve"> </w:t>
      </w:r>
      <w:r w:rsidRPr="00547124">
        <w:rPr>
          <w:rFonts w:cs="Times New Roman"/>
          <w:b/>
          <w:bCs/>
          <w:noProof/>
          <w:szCs w:val="24"/>
        </w:rPr>
        <w:t>47</w:t>
      </w:r>
      <w:r w:rsidRPr="00547124">
        <w:rPr>
          <w:rFonts w:cs="Times New Roman"/>
          <w:noProof/>
          <w:szCs w:val="24"/>
        </w:rPr>
        <w:t>, 263–291 (1979).</w:t>
      </w:r>
    </w:p>
    <w:p w14:paraId="2BFFACCD" w14:textId="77777777" w:rsidR="00547124" w:rsidRPr="00547124" w:rsidRDefault="00547124" w:rsidP="00547124">
      <w:pPr>
        <w:widowControl w:val="0"/>
        <w:autoSpaceDE w:val="0"/>
        <w:autoSpaceDN w:val="0"/>
        <w:adjustRightInd w:val="0"/>
        <w:spacing w:before="240" w:after="240" w:line="240" w:lineRule="auto"/>
        <w:ind w:left="640" w:hanging="640"/>
        <w:rPr>
          <w:rFonts w:cs="Times New Roman"/>
          <w:noProof/>
        </w:rPr>
      </w:pPr>
      <w:r w:rsidRPr="00547124">
        <w:rPr>
          <w:rFonts w:cs="Times New Roman"/>
          <w:noProof/>
          <w:szCs w:val="24"/>
        </w:rPr>
        <w:t>22.</w:t>
      </w:r>
      <w:r w:rsidRPr="00547124">
        <w:rPr>
          <w:rFonts w:cs="Times New Roman"/>
          <w:noProof/>
          <w:szCs w:val="24"/>
        </w:rPr>
        <w:tab/>
        <w:t xml:space="preserve">Tversky, A. &amp; Kahneman, D. Advances in prospect theory: Cumulative representation of uncertainty. </w:t>
      </w:r>
      <w:r w:rsidRPr="00547124">
        <w:rPr>
          <w:rFonts w:cs="Times New Roman"/>
          <w:i/>
          <w:iCs/>
          <w:noProof/>
          <w:szCs w:val="24"/>
        </w:rPr>
        <w:t>J. Risk Uncertain.</w:t>
      </w:r>
      <w:r w:rsidRPr="00547124">
        <w:rPr>
          <w:rFonts w:cs="Times New Roman"/>
          <w:noProof/>
          <w:szCs w:val="24"/>
        </w:rPr>
        <w:t xml:space="preserve"> </w:t>
      </w:r>
      <w:r w:rsidRPr="00547124">
        <w:rPr>
          <w:rFonts w:cs="Times New Roman"/>
          <w:b/>
          <w:bCs/>
          <w:noProof/>
          <w:szCs w:val="24"/>
        </w:rPr>
        <w:t>5</w:t>
      </w:r>
      <w:r w:rsidRPr="00547124">
        <w:rPr>
          <w:rFonts w:cs="Times New Roman"/>
          <w:noProof/>
          <w:szCs w:val="24"/>
        </w:rPr>
        <w:t>, 297–323 (1992).</w:t>
      </w:r>
    </w:p>
    <w:p w14:paraId="5284E5C8" w14:textId="46E7C548" w:rsidR="005D3D2C" w:rsidRPr="00521DE7" w:rsidRDefault="005D3D2C" w:rsidP="007767CE">
      <w:pPr>
        <w:pStyle w:val="StandardWeb"/>
        <w:spacing w:before="240" w:beforeAutospacing="0" w:after="240" w:afterAutospacing="0"/>
        <w:jc w:val="both"/>
        <w:rPr>
          <w:color w:val="000000"/>
        </w:rPr>
      </w:pPr>
      <w:r>
        <w:rPr>
          <w:color w:val="000000"/>
        </w:rPr>
        <w:fldChar w:fldCharType="end"/>
      </w:r>
    </w:p>
    <w:sectPr w:rsidR="005D3D2C" w:rsidRPr="00521DE7">
      <w:pgSz w:w="12240" w:h="15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AE855D" w14:textId="77777777" w:rsidR="007238C3" w:rsidRDefault="007238C3" w:rsidP="008B6B04">
      <w:pPr>
        <w:spacing w:after="0" w:line="240" w:lineRule="auto"/>
      </w:pPr>
      <w:r>
        <w:separator/>
      </w:r>
    </w:p>
  </w:endnote>
  <w:endnote w:type="continuationSeparator" w:id="0">
    <w:p w14:paraId="58357195" w14:textId="77777777" w:rsidR="007238C3" w:rsidRDefault="007238C3" w:rsidP="008B6B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E759D" w14:textId="77777777" w:rsidR="007238C3" w:rsidRDefault="007238C3" w:rsidP="008B6B04">
      <w:pPr>
        <w:spacing w:after="0" w:line="240" w:lineRule="auto"/>
      </w:pPr>
      <w:r>
        <w:separator/>
      </w:r>
    </w:p>
  </w:footnote>
  <w:footnote w:type="continuationSeparator" w:id="0">
    <w:p w14:paraId="1A92CA02" w14:textId="77777777" w:rsidR="007238C3" w:rsidRDefault="007238C3" w:rsidP="008B6B04">
      <w:pPr>
        <w:spacing w:after="0" w:line="240" w:lineRule="auto"/>
      </w:pPr>
      <w:r>
        <w:continuationSeparator/>
      </w:r>
    </w:p>
  </w:footnote>
  <w:footnote w:id="1">
    <w:p w14:paraId="2C2D2C9E" w14:textId="77442D8F" w:rsidR="007238C3" w:rsidRPr="00DD7E35" w:rsidRDefault="007238C3" w:rsidP="007238C3">
      <w:pPr>
        <w:pStyle w:val="Funotentext"/>
      </w:pPr>
      <w:r>
        <w:rPr>
          <w:rStyle w:val="Funotenzeichen"/>
        </w:rPr>
        <w:footnoteRef/>
      </w:r>
      <w:r>
        <w:t xml:space="preserve"> </w:t>
      </w:r>
      <w:r w:rsidRPr="008B6B04">
        <w:rPr>
          <w:rFonts w:cs="Times New Roman"/>
          <w:color w:val="000000"/>
        </w:rPr>
        <w:t>It should be noted that to prevent latency shifts, MEG data has been filtered in a forward-backward fashion. As backward filtering smears effects to time points preceding the real effects, statistical effects might occur even preceding the real onset of effect</w:t>
      </w:r>
      <w:r>
        <w:rPr>
          <w:rFonts w:cs="Times New Roman"/>
          <w:color w:val="000000"/>
        </w:rPr>
        <w:t>s</w:t>
      </w:r>
      <w:r w:rsidRPr="008B6B04">
        <w:rPr>
          <w:rFonts w:cs="Times New Roman"/>
          <w:color w:val="000000"/>
        </w:rPr>
        <w:t>.</w:t>
      </w:r>
      <w:r>
        <w:rPr>
          <w:rFonts w:cs="Times New Roman"/>
          <w:color w:val="000000"/>
        </w:rPr>
        <w:t xml:space="preserve"> Thus, the ‘real’ onset of this effect might occur later than 10ms.</w:t>
      </w:r>
    </w:p>
  </w:footnote>
  <w:footnote w:id="2">
    <w:p w14:paraId="3FED0159" w14:textId="2677E74A" w:rsidR="007238C3" w:rsidRPr="00DD7E35" w:rsidRDefault="007238C3">
      <w:pPr>
        <w:pStyle w:val="Funotentext"/>
      </w:pPr>
      <w:r>
        <w:rPr>
          <w:rStyle w:val="Funotenzeichen"/>
        </w:rPr>
        <w:footnoteRef/>
      </w:r>
      <w:r>
        <w:t xml:space="preserve"> </w:t>
      </w:r>
      <w:r w:rsidRPr="008B6B04">
        <w:rPr>
          <w:rFonts w:cs="Times New Roman"/>
          <w:color w:val="000000"/>
        </w:rPr>
        <w:t>It should be noted that to prevent latency shifts, MEG data has been filtered in a forward-backward fashion. As backward filtering smears effects to time points preceding the real effects, statistical effects might occur even preceding the real onset of effect</w:t>
      </w:r>
      <w:r>
        <w:rPr>
          <w:rFonts w:cs="Times New Roman"/>
          <w:color w:val="000000"/>
        </w:rPr>
        <w:t>s</w:t>
      </w:r>
      <w:r w:rsidRPr="008B6B04">
        <w:rPr>
          <w:rFonts w:cs="Times New Roman"/>
          <w:color w:val="000000"/>
        </w:rPr>
        <w:t>.</w:t>
      </w:r>
      <w:r>
        <w:rPr>
          <w:rFonts w:cs="Times New Roman"/>
          <w:color w:val="000000"/>
        </w:rPr>
        <w:t xml:space="preserve"> Thus, the ‘real’ onset of this effect might reasonably occur after stimulus onset.</w:t>
      </w:r>
    </w:p>
  </w:footnote>
  <w:footnote w:id="3">
    <w:p w14:paraId="26321A7E" w14:textId="72DA2DE9" w:rsidR="007238C3" w:rsidRPr="008B6B04" w:rsidRDefault="007238C3" w:rsidP="00AC60DA">
      <w:pPr>
        <w:pStyle w:val="Funotentext"/>
      </w:pPr>
      <w:r w:rsidRPr="00E82D23">
        <w:rPr>
          <w:rStyle w:val="Funotenzeichen"/>
        </w:rPr>
        <w:footnoteRef/>
      </w:r>
      <w:r>
        <w:t xml:space="preserve"> </w:t>
      </w:r>
      <w:r w:rsidRPr="008B6B04">
        <w:rPr>
          <w:rFonts w:cs="Times New Roman"/>
          <w:color w:val="000000"/>
        </w:rPr>
        <w:t xml:space="preserve">It should be noted that to prevent latency shifts, MEG data has been filtered in a forward-backward fashion. As backward filtering smears effects to time points preceding the real effects, statistical effects might occur even preceding the real onset of </w:t>
      </w:r>
      <w:r>
        <w:rPr>
          <w:rFonts w:cs="Times New Roman"/>
          <w:color w:val="000000"/>
        </w:rPr>
        <w:t xml:space="preserve">extremely strong </w:t>
      </w:r>
      <w:r w:rsidRPr="008B6B04">
        <w:rPr>
          <w:rFonts w:cs="Times New Roman"/>
          <w:color w:val="000000"/>
        </w:rPr>
        <w:t>effect</w:t>
      </w:r>
      <w:r>
        <w:rPr>
          <w:rFonts w:cs="Times New Roman"/>
          <w:color w:val="000000"/>
        </w:rPr>
        <w:t>s</w:t>
      </w:r>
      <w:r w:rsidRPr="008B6B04">
        <w:rPr>
          <w:rFonts w:cs="Times New Roman"/>
          <w:color w:val="000000"/>
        </w:rP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34F00"/>
    <w:multiLevelType w:val="hybridMultilevel"/>
    <w:tmpl w:val="6A4C4710"/>
    <w:lvl w:ilvl="0" w:tplc="3C2CDC6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9913B4"/>
    <w:multiLevelType w:val="hybridMultilevel"/>
    <w:tmpl w:val="3B9A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30386C"/>
    <w:multiLevelType w:val="multilevel"/>
    <w:tmpl w:val="A74695F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A631F6E"/>
    <w:multiLevelType w:val="hybridMultilevel"/>
    <w:tmpl w:val="135885F6"/>
    <w:lvl w:ilvl="0" w:tplc="06E03D40">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B277296"/>
    <w:multiLevelType w:val="hybridMultilevel"/>
    <w:tmpl w:val="55586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9BB"/>
    <w:rsid w:val="00001A4F"/>
    <w:rsid w:val="000056D3"/>
    <w:rsid w:val="00013BA7"/>
    <w:rsid w:val="000151E2"/>
    <w:rsid w:val="00015F18"/>
    <w:rsid w:val="00021A0C"/>
    <w:rsid w:val="0002468D"/>
    <w:rsid w:val="00026B6C"/>
    <w:rsid w:val="00027D7C"/>
    <w:rsid w:val="00032AA7"/>
    <w:rsid w:val="00034EC8"/>
    <w:rsid w:val="00037F1F"/>
    <w:rsid w:val="00041617"/>
    <w:rsid w:val="00043164"/>
    <w:rsid w:val="000533F1"/>
    <w:rsid w:val="00061D0D"/>
    <w:rsid w:val="0006523E"/>
    <w:rsid w:val="00083813"/>
    <w:rsid w:val="00083FCE"/>
    <w:rsid w:val="00085ED1"/>
    <w:rsid w:val="000918A3"/>
    <w:rsid w:val="00097C60"/>
    <w:rsid w:val="000A359A"/>
    <w:rsid w:val="000A39B0"/>
    <w:rsid w:val="000A4DCF"/>
    <w:rsid w:val="000B3A20"/>
    <w:rsid w:val="000B60A9"/>
    <w:rsid w:val="000B6CD5"/>
    <w:rsid w:val="000D6FA8"/>
    <w:rsid w:val="000F35AB"/>
    <w:rsid w:val="001016D4"/>
    <w:rsid w:val="001072B7"/>
    <w:rsid w:val="00107CFC"/>
    <w:rsid w:val="00111E99"/>
    <w:rsid w:val="00113A5B"/>
    <w:rsid w:val="00121FD0"/>
    <w:rsid w:val="0012642F"/>
    <w:rsid w:val="00133846"/>
    <w:rsid w:val="001340F4"/>
    <w:rsid w:val="00135FA1"/>
    <w:rsid w:val="00141CCD"/>
    <w:rsid w:val="001468DA"/>
    <w:rsid w:val="001650BF"/>
    <w:rsid w:val="0016544F"/>
    <w:rsid w:val="00167A69"/>
    <w:rsid w:val="0017340F"/>
    <w:rsid w:val="0017484F"/>
    <w:rsid w:val="00175348"/>
    <w:rsid w:val="0017761A"/>
    <w:rsid w:val="00183316"/>
    <w:rsid w:val="001961AA"/>
    <w:rsid w:val="001A40CA"/>
    <w:rsid w:val="001A66DE"/>
    <w:rsid w:val="001B4457"/>
    <w:rsid w:val="001B5A8A"/>
    <w:rsid w:val="001B655D"/>
    <w:rsid w:val="001C3A22"/>
    <w:rsid w:val="001C56D4"/>
    <w:rsid w:val="001E12C8"/>
    <w:rsid w:val="001E2CD0"/>
    <w:rsid w:val="001E5596"/>
    <w:rsid w:val="001F0B9D"/>
    <w:rsid w:val="001F177E"/>
    <w:rsid w:val="001F62BC"/>
    <w:rsid w:val="001F7836"/>
    <w:rsid w:val="00204264"/>
    <w:rsid w:val="0021575E"/>
    <w:rsid w:val="00215F37"/>
    <w:rsid w:val="002214C0"/>
    <w:rsid w:val="00235835"/>
    <w:rsid w:val="002377A7"/>
    <w:rsid w:val="00242492"/>
    <w:rsid w:val="00244C06"/>
    <w:rsid w:val="002468A3"/>
    <w:rsid w:val="002473F6"/>
    <w:rsid w:val="002570A7"/>
    <w:rsid w:val="00261F47"/>
    <w:rsid w:val="00264116"/>
    <w:rsid w:val="00267C49"/>
    <w:rsid w:val="00273DF1"/>
    <w:rsid w:val="002757C3"/>
    <w:rsid w:val="00275917"/>
    <w:rsid w:val="00275AF9"/>
    <w:rsid w:val="00290C57"/>
    <w:rsid w:val="002926BE"/>
    <w:rsid w:val="00296F82"/>
    <w:rsid w:val="002A1C7E"/>
    <w:rsid w:val="002A7EA1"/>
    <w:rsid w:val="002B2EC2"/>
    <w:rsid w:val="002B35B9"/>
    <w:rsid w:val="002B56DF"/>
    <w:rsid w:val="002C1C5D"/>
    <w:rsid w:val="002C1DE7"/>
    <w:rsid w:val="002C23C0"/>
    <w:rsid w:val="002C2450"/>
    <w:rsid w:val="002C44E2"/>
    <w:rsid w:val="002C5920"/>
    <w:rsid w:val="002D511C"/>
    <w:rsid w:val="002E5C30"/>
    <w:rsid w:val="002E77FF"/>
    <w:rsid w:val="002F1A17"/>
    <w:rsid w:val="002F37CE"/>
    <w:rsid w:val="002F47A0"/>
    <w:rsid w:val="002F5C94"/>
    <w:rsid w:val="0030238D"/>
    <w:rsid w:val="00307779"/>
    <w:rsid w:val="003250A4"/>
    <w:rsid w:val="00346A17"/>
    <w:rsid w:val="0035069D"/>
    <w:rsid w:val="00352034"/>
    <w:rsid w:val="00352D71"/>
    <w:rsid w:val="00354579"/>
    <w:rsid w:val="003652AD"/>
    <w:rsid w:val="00367299"/>
    <w:rsid w:val="0037513A"/>
    <w:rsid w:val="003820E8"/>
    <w:rsid w:val="00387833"/>
    <w:rsid w:val="003A22AA"/>
    <w:rsid w:val="003A3313"/>
    <w:rsid w:val="003A3EDA"/>
    <w:rsid w:val="003B2AD4"/>
    <w:rsid w:val="003B4F1C"/>
    <w:rsid w:val="003B5EBE"/>
    <w:rsid w:val="003C7765"/>
    <w:rsid w:val="003D0CD5"/>
    <w:rsid w:val="003D3E78"/>
    <w:rsid w:val="003E2923"/>
    <w:rsid w:val="003F4E07"/>
    <w:rsid w:val="003F5217"/>
    <w:rsid w:val="00403135"/>
    <w:rsid w:val="0042077D"/>
    <w:rsid w:val="00420B10"/>
    <w:rsid w:val="00421FB1"/>
    <w:rsid w:val="00422048"/>
    <w:rsid w:val="00425874"/>
    <w:rsid w:val="0043291F"/>
    <w:rsid w:val="00435068"/>
    <w:rsid w:val="004355A0"/>
    <w:rsid w:val="00443EE7"/>
    <w:rsid w:val="00445DF1"/>
    <w:rsid w:val="004523CA"/>
    <w:rsid w:val="0045683E"/>
    <w:rsid w:val="00461874"/>
    <w:rsid w:val="004623BC"/>
    <w:rsid w:val="00465340"/>
    <w:rsid w:val="00466EBA"/>
    <w:rsid w:val="00481E04"/>
    <w:rsid w:val="00482DCD"/>
    <w:rsid w:val="00495E63"/>
    <w:rsid w:val="004960C1"/>
    <w:rsid w:val="004A4A9D"/>
    <w:rsid w:val="004D2110"/>
    <w:rsid w:val="004D6541"/>
    <w:rsid w:val="004E0688"/>
    <w:rsid w:val="004F0192"/>
    <w:rsid w:val="004F5D3E"/>
    <w:rsid w:val="00504125"/>
    <w:rsid w:val="00504F09"/>
    <w:rsid w:val="005148C4"/>
    <w:rsid w:val="00514DFA"/>
    <w:rsid w:val="00521DE7"/>
    <w:rsid w:val="00523BBE"/>
    <w:rsid w:val="00523D6E"/>
    <w:rsid w:val="00525B81"/>
    <w:rsid w:val="00534CDB"/>
    <w:rsid w:val="00534F51"/>
    <w:rsid w:val="00537D03"/>
    <w:rsid w:val="00541695"/>
    <w:rsid w:val="00547124"/>
    <w:rsid w:val="00562E10"/>
    <w:rsid w:val="005670E9"/>
    <w:rsid w:val="0057314A"/>
    <w:rsid w:val="00575F7D"/>
    <w:rsid w:val="00581A85"/>
    <w:rsid w:val="00581EBE"/>
    <w:rsid w:val="005857AF"/>
    <w:rsid w:val="0059397C"/>
    <w:rsid w:val="0059407D"/>
    <w:rsid w:val="005950A7"/>
    <w:rsid w:val="005B349C"/>
    <w:rsid w:val="005C2670"/>
    <w:rsid w:val="005C2F6A"/>
    <w:rsid w:val="005C46F7"/>
    <w:rsid w:val="005C5960"/>
    <w:rsid w:val="005C69DB"/>
    <w:rsid w:val="005D0A1E"/>
    <w:rsid w:val="005D2ADD"/>
    <w:rsid w:val="005D3D2C"/>
    <w:rsid w:val="005E5B9C"/>
    <w:rsid w:val="005E7559"/>
    <w:rsid w:val="005F0D40"/>
    <w:rsid w:val="00604460"/>
    <w:rsid w:val="0061155D"/>
    <w:rsid w:val="0061333A"/>
    <w:rsid w:val="00616001"/>
    <w:rsid w:val="006170EC"/>
    <w:rsid w:val="006179C8"/>
    <w:rsid w:val="00621E63"/>
    <w:rsid w:val="00631A7B"/>
    <w:rsid w:val="00643D0D"/>
    <w:rsid w:val="00643FEB"/>
    <w:rsid w:val="00645C31"/>
    <w:rsid w:val="006527F7"/>
    <w:rsid w:val="00655515"/>
    <w:rsid w:val="00657601"/>
    <w:rsid w:val="00667CAB"/>
    <w:rsid w:val="00670A53"/>
    <w:rsid w:val="00692385"/>
    <w:rsid w:val="00696DCA"/>
    <w:rsid w:val="006A410D"/>
    <w:rsid w:val="006B15D4"/>
    <w:rsid w:val="006D30CF"/>
    <w:rsid w:val="006D4FA7"/>
    <w:rsid w:val="006D77B6"/>
    <w:rsid w:val="006E2FAA"/>
    <w:rsid w:val="006E59BB"/>
    <w:rsid w:val="006F346B"/>
    <w:rsid w:val="00705BE9"/>
    <w:rsid w:val="00711426"/>
    <w:rsid w:val="007157F6"/>
    <w:rsid w:val="007162DB"/>
    <w:rsid w:val="007224FF"/>
    <w:rsid w:val="007238C3"/>
    <w:rsid w:val="00725BB9"/>
    <w:rsid w:val="00742F50"/>
    <w:rsid w:val="00747CA5"/>
    <w:rsid w:val="00750684"/>
    <w:rsid w:val="0075254D"/>
    <w:rsid w:val="00753379"/>
    <w:rsid w:val="00753F9A"/>
    <w:rsid w:val="0075794E"/>
    <w:rsid w:val="00760971"/>
    <w:rsid w:val="007654D1"/>
    <w:rsid w:val="0076618D"/>
    <w:rsid w:val="007734F4"/>
    <w:rsid w:val="007767CE"/>
    <w:rsid w:val="00776CA9"/>
    <w:rsid w:val="00777612"/>
    <w:rsid w:val="00780334"/>
    <w:rsid w:val="00780BBA"/>
    <w:rsid w:val="00794211"/>
    <w:rsid w:val="007945C2"/>
    <w:rsid w:val="00795EE8"/>
    <w:rsid w:val="007A1291"/>
    <w:rsid w:val="007A24F1"/>
    <w:rsid w:val="007B2556"/>
    <w:rsid w:val="007B2CAD"/>
    <w:rsid w:val="007C4915"/>
    <w:rsid w:val="007C5308"/>
    <w:rsid w:val="007D04BE"/>
    <w:rsid w:val="007D4A52"/>
    <w:rsid w:val="007F15F6"/>
    <w:rsid w:val="007F1978"/>
    <w:rsid w:val="007F31AB"/>
    <w:rsid w:val="007F36BD"/>
    <w:rsid w:val="007F70D0"/>
    <w:rsid w:val="007F7563"/>
    <w:rsid w:val="0080484D"/>
    <w:rsid w:val="0080641B"/>
    <w:rsid w:val="00811464"/>
    <w:rsid w:val="00814AB1"/>
    <w:rsid w:val="00820A38"/>
    <w:rsid w:val="00821295"/>
    <w:rsid w:val="008260D1"/>
    <w:rsid w:val="00832382"/>
    <w:rsid w:val="00834203"/>
    <w:rsid w:val="00842C5F"/>
    <w:rsid w:val="00843426"/>
    <w:rsid w:val="00845200"/>
    <w:rsid w:val="00857498"/>
    <w:rsid w:val="0086504E"/>
    <w:rsid w:val="00866200"/>
    <w:rsid w:val="0087378A"/>
    <w:rsid w:val="008745B4"/>
    <w:rsid w:val="00874ABE"/>
    <w:rsid w:val="0087719F"/>
    <w:rsid w:val="00895851"/>
    <w:rsid w:val="00897D02"/>
    <w:rsid w:val="008A0136"/>
    <w:rsid w:val="008A04C5"/>
    <w:rsid w:val="008A3C35"/>
    <w:rsid w:val="008B24C4"/>
    <w:rsid w:val="008B6331"/>
    <w:rsid w:val="008B6B04"/>
    <w:rsid w:val="008C3FAF"/>
    <w:rsid w:val="008D0231"/>
    <w:rsid w:val="008D1E8A"/>
    <w:rsid w:val="008E5150"/>
    <w:rsid w:val="008F05E1"/>
    <w:rsid w:val="008F288A"/>
    <w:rsid w:val="008F2A8E"/>
    <w:rsid w:val="008F4F9F"/>
    <w:rsid w:val="008F6AD6"/>
    <w:rsid w:val="00900856"/>
    <w:rsid w:val="0090500D"/>
    <w:rsid w:val="0091007E"/>
    <w:rsid w:val="00913F82"/>
    <w:rsid w:val="00922184"/>
    <w:rsid w:val="00924338"/>
    <w:rsid w:val="0093016B"/>
    <w:rsid w:val="00933BC1"/>
    <w:rsid w:val="009409C7"/>
    <w:rsid w:val="009465E4"/>
    <w:rsid w:val="00947060"/>
    <w:rsid w:val="00955DC5"/>
    <w:rsid w:val="00956D3C"/>
    <w:rsid w:val="00962A53"/>
    <w:rsid w:val="0097249D"/>
    <w:rsid w:val="00975FBF"/>
    <w:rsid w:val="00976B55"/>
    <w:rsid w:val="00980E60"/>
    <w:rsid w:val="00984366"/>
    <w:rsid w:val="009976BD"/>
    <w:rsid w:val="009A6017"/>
    <w:rsid w:val="009B0CEF"/>
    <w:rsid w:val="009C4678"/>
    <w:rsid w:val="009E06C3"/>
    <w:rsid w:val="009E4367"/>
    <w:rsid w:val="009E6CF9"/>
    <w:rsid w:val="009E70D1"/>
    <w:rsid w:val="009F70F5"/>
    <w:rsid w:val="00A028AB"/>
    <w:rsid w:val="00A17589"/>
    <w:rsid w:val="00A17F3D"/>
    <w:rsid w:val="00A26360"/>
    <w:rsid w:val="00A26AA1"/>
    <w:rsid w:val="00A30906"/>
    <w:rsid w:val="00A35420"/>
    <w:rsid w:val="00A37D95"/>
    <w:rsid w:val="00A40909"/>
    <w:rsid w:val="00A52587"/>
    <w:rsid w:val="00A526F9"/>
    <w:rsid w:val="00A55CE5"/>
    <w:rsid w:val="00A57822"/>
    <w:rsid w:val="00A57D2B"/>
    <w:rsid w:val="00A60F6B"/>
    <w:rsid w:val="00A678C1"/>
    <w:rsid w:val="00A72C22"/>
    <w:rsid w:val="00A81E62"/>
    <w:rsid w:val="00A86842"/>
    <w:rsid w:val="00A97F52"/>
    <w:rsid w:val="00AA227A"/>
    <w:rsid w:val="00AA2790"/>
    <w:rsid w:val="00AA41FA"/>
    <w:rsid w:val="00AA7691"/>
    <w:rsid w:val="00AB16D0"/>
    <w:rsid w:val="00AB2A9D"/>
    <w:rsid w:val="00AC2A1C"/>
    <w:rsid w:val="00AC60DA"/>
    <w:rsid w:val="00AC676A"/>
    <w:rsid w:val="00AC7185"/>
    <w:rsid w:val="00AD2E00"/>
    <w:rsid w:val="00AD57C8"/>
    <w:rsid w:val="00AE3548"/>
    <w:rsid w:val="00AE63F7"/>
    <w:rsid w:val="00AF6AF7"/>
    <w:rsid w:val="00B032BF"/>
    <w:rsid w:val="00B06EE4"/>
    <w:rsid w:val="00B11AC9"/>
    <w:rsid w:val="00B17E79"/>
    <w:rsid w:val="00B20D3D"/>
    <w:rsid w:val="00B236EA"/>
    <w:rsid w:val="00B32E53"/>
    <w:rsid w:val="00B43014"/>
    <w:rsid w:val="00B46F99"/>
    <w:rsid w:val="00B5172C"/>
    <w:rsid w:val="00B53407"/>
    <w:rsid w:val="00B545C5"/>
    <w:rsid w:val="00B676A3"/>
    <w:rsid w:val="00B753AA"/>
    <w:rsid w:val="00B8355D"/>
    <w:rsid w:val="00B84241"/>
    <w:rsid w:val="00B9087D"/>
    <w:rsid w:val="00B97165"/>
    <w:rsid w:val="00BA4665"/>
    <w:rsid w:val="00BC1D74"/>
    <w:rsid w:val="00BC31FC"/>
    <w:rsid w:val="00BD48B3"/>
    <w:rsid w:val="00BD4F21"/>
    <w:rsid w:val="00BE53A7"/>
    <w:rsid w:val="00BE7480"/>
    <w:rsid w:val="00BF2CAB"/>
    <w:rsid w:val="00C0267C"/>
    <w:rsid w:val="00C06E29"/>
    <w:rsid w:val="00C15FFC"/>
    <w:rsid w:val="00C30973"/>
    <w:rsid w:val="00C33685"/>
    <w:rsid w:val="00C35179"/>
    <w:rsid w:val="00C378BC"/>
    <w:rsid w:val="00C42219"/>
    <w:rsid w:val="00C4315C"/>
    <w:rsid w:val="00C4666E"/>
    <w:rsid w:val="00C50202"/>
    <w:rsid w:val="00C56235"/>
    <w:rsid w:val="00C77A03"/>
    <w:rsid w:val="00C8153A"/>
    <w:rsid w:val="00C83770"/>
    <w:rsid w:val="00C866D7"/>
    <w:rsid w:val="00C90A3E"/>
    <w:rsid w:val="00C93125"/>
    <w:rsid w:val="00C93878"/>
    <w:rsid w:val="00CA161E"/>
    <w:rsid w:val="00CB1157"/>
    <w:rsid w:val="00CB2EC4"/>
    <w:rsid w:val="00CB2EDD"/>
    <w:rsid w:val="00CB311E"/>
    <w:rsid w:val="00CB3F35"/>
    <w:rsid w:val="00CB675D"/>
    <w:rsid w:val="00CB6B84"/>
    <w:rsid w:val="00CB701E"/>
    <w:rsid w:val="00CC04B5"/>
    <w:rsid w:val="00CC20D5"/>
    <w:rsid w:val="00CC52CF"/>
    <w:rsid w:val="00CD0AD6"/>
    <w:rsid w:val="00CD1D24"/>
    <w:rsid w:val="00CE0FA8"/>
    <w:rsid w:val="00D00459"/>
    <w:rsid w:val="00D00A18"/>
    <w:rsid w:val="00D024B8"/>
    <w:rsid w:val="00D12704"/>
    <w:rsid w:val="00D219E5"/>
    <w:rsid w:val="00D25C96"/>
    <w:rsid w:val="00D26AE0"/>
    <w:rsid w:val="00D308F0"/>
    <w:rsid w:val="00D525C3"/>
    <w:rsid w:val="00D5658F"/>
    <w:rsid w:val="00D62449"/>
    <w:rsid w:val="00D63AA5"/>
    <w:rsid w:val="00D66A55"/>
    <w:rsid w:val="00D7536F"/>
    <w:rsid w:val="00D759C8"/>
    <w:rsid w:val="00D84B37"/>
    <w:rsid w:val="00D90689"/>
    <w:rsid w:val="00D91CE7"/>
    <w:rsid w:val="00D92CD6"/>
    <w:rsid w:val="00D92D23"/>
    <w:rsid w:val="00DA0891"/>
    <w:rsid w:val="00DA47F5"/>
    <w:rsid w:val="00DB1BEE"/>
    <w:rsid w:val="00DB23C4"/>
    <w:rsid w:val="00DB2A35"/>
    <w:rsid w:val="00DB36D2"/>
    <w:rsid w:val="00DC5325"/>
    <w:rsid w:val="00DC562B"/>
    <w:rsid w:val="00DD639C"/>
    <w:rsid w:val="00DD7E35"/>
    <w:rsid w:val="00DE117B"/>
    <w:rsid w:val="00DE609C"/>
    <w:rsid w:val="00DE7963"/>
    <w:rsid w:val="00E01541"/>
    <w:rsid w:val="00E01DB7"/>
    <w:rsid w:val="00E11305"/>
    <w:rsid w:val="00E132AF"/>
    <w:rsid w:val="00E14C3B"/>
    <w:rsid w:val="00E21141"/>
    <w:rsid w:val="00E2439F"/>
    <w:rsid w:val="00E33888"/>
    <w:rsid w:val="00E455D2"/>
    <w:rsid w:val="00E46B15"/>
    <w:rsid w:val="00E55079"/>
    <w:rsid w:val="00E55DBA"/>
    <w:rsid w:val="00E561D4"/>
    <w:rsid w:val="00E63775"/>
    <w:rsid w:val="00E63E04"/>
    <w:rsid w:val="00E70433"/>
    <w:rsid w:val="00E74380"/>
    <w:rsid w:val="00E810B8"/>
    <w:rsid w:val="00E82D23"/>
    <w:rsid w:val="00E91427"/>
    <w:rsid w:val="00E9430D"/>
    <w:rsid w:val="00E960AB"/>
    <w:rsid w:val="00EB36EC"/>
    <w:rsid w:val="00EB640D"/>
    <w:rsid w:val="00EB7C14"/>
    <w:rsid w:val="00EC0641"/>
    <w:rsid w:val="00EC198A"/>
    <w:rsid w:val="00EC4973"/>
    <w:rsid w:val="00ED1318"/>
    <w:rsid w:val="00ED3E3A"/>
    <w:rsid w:val="00EE0B97"/>
    <w:rsid w:val="00EE124F"/>
    <w:rsid w:val="00EE7333"/>
    <w:rsid w:val="00EF19FE"/>
    <w:rsid w:val="00EF6D3D"/>
    <w:rsid w:val="00F0296F"/>
    <w:rsid w:val="00F060C5"/>
    <w:rsid w:val="00F0658A"/>
    <w:rsid w:val="00F1226E"/>
    <w:rsid w:val="00F1469B"/>
    <w:rsid w:val="00F21DEE"/>
    <w:rsid w:val="00F2270C"/>
    <w:rsid w:val="00F26A39"/>
    <w:rsid w:val="00F35284"/>
    <w:rsid w:val="00F36AAB"/>
    <w:rsid w:val="00F434C6"/>
    <w:rsid w:val="00F43CA8"/>
    <w:rsid w:val="00F43FD8"/>
    <w:rsid w:val="00F526B9"/>
    <w:rsid w:val="00F57A64"/>
    <w:rsid w:val="00F60590"/>
    <w:rsid w:val="00F60D02"/>
    <w:rsid w:val="00F629C1"/>
    <w:rsid w:val="00F64A11"/>
    <w:rsid w:val="00F75654"/>
    <w:rsid w:val="00F82C68"/>
    <w:rsid w:val="00F879C2"/>
    <w:rsid w:val="00F9381B"/>
    <w:rsid w:val="00F93E56"/>
    <w:rsid w:val="00F95CA2"/>
    <w:rsid w:val="00FA2EEE"/>
    <w:rsid w:val="00FA32A5"/>
    <w:rsid w:val="00FA53D5"/>
    <w:rsid w:val="00FB0CF8"/>
    <w:rsid w:val="00FB1495"/>
    <w:rsid w:val="00FB1A29"/>
    <w:rsid w:val="00FB7BE5"/>
    <w:rsid w:val="00FC22B0"/>
    <w:rsid w:val="00FD2C39"/>
    <w:rsid w:val="00FE1465"/>
    <w:rsid w:val="00FE4F4C"/>
    <w:rsid w:val="00FE639E"/>
    <w:rsid w:val="00FF1F34"/>
    <w:rsid w:val="00FF2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55BE2"/>
  <w15:chartTrackingRefBased/>
  <w15:docId w15:val="{1BC63D21-F53B-4498-A298-65AEAAADF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1333A"/>
    <w:pPr>
      <w:spacing w:line="480" w:lineRule="auto"/>
    </w:pPr>
    <w:rPr>
      <w:rFonts w:ascii="Times New Roman" w:hAnsi="Times New Roman"/>
      <w:sz w:val="24"/>
    </w:rPr>
  </w:style>
  <w:style w:type="paragraph" w:styleId="berschrift1">
    <w:name w:val="heading 1"/>
    <w:basedOn w:val="Standard"/>
    <w:next w:val="Standard"/>
    <w:link w:val="berschrift1Zchn"/>
    <w:uiPriority w:val="9"/>
    <w:qFormat/>
    <w:rsid w:val="006E59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Web"/>
    <w:next w:val="Standard"/>
    <w:link w:val="berschrift2Zchn"/>
    <w:uiPriority w:val="9"/>
    <w:unhideWhenUsed/>
    <w:qFormat/>
    <w:rsid w:val="003250A4"/>
    <w:pPr>
      <w:spacing w:before="240" w:beforeAutospacing="0" w:after="240" w:afterAutospacing="0" w:line="480" w:lineRule="auto"/>
      <w:jc w:val="both"/>
      <w:outlineLvl w:val="1"/>
    </w:pPr>
    <w:rPr>
      <w:b/>
      <w:bCs/>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E59BB"/>
    <w:pPr>
      <w:spacing w:before="100" w:beforeAutospacing="1" w:after="100" w:afterAutospacing="1" w:line="240" w:lineRule="auto"/>
    </w:pPr>
    <w:rPr>
      <w:rFonts w:eastAsia="Times New Roman" w:cs="Times New Roman"/>
      <w:szCs w:val="24"/>
    </w:rPr>
  </w:style>
  <w:style w:type="character" w:customStyle="1" w:styleId="berschrift1Zchn">
    <w:name w:val="Überschrift 1 Zchn"/>
    <w:basedOn w:val="Absatz-Standardschriftart"/>
    <w:link w:val="berschrift1"/>
    <w:uiPriority w:val="9"/>
    <w:rsid w:val="006E59BB"/>
    <w:rPr>
      <w:rFonts w:asciiTheme="majorHAnsi" w:eastAsiaTheme="majorEastAsia" w:hAnsiTheme="majorHAnsi" w:cstheme="majorBidi"/>
      <w:color w:val="2F5496" w:themeColor="accent1" w:themeShade="BF"/>
      <w:sz w:val="32"/>
      <w:szCs w:val="32"/>
    </w:rPr>
  </w:style>
  <w:style w:type="character" w:styleId="Kommentarzeichen">
    <w:name w:val="annotation reference"/>
    <w:basedOn w:val="Absatz-Standardschriftart"/>
    <w:uiPriority w:val="99"/>
    <w:semiHidden/>
    <w:unhideWhenUsed/>
    <w:rsid w:val="00387833"/>
    <w:rPr>
      <w:sz w:val="16"/>
      <w:szCs w:val="16"/>
    </w:rPr>
  </w:style>
  <w:style w:type="paragraph" w:styleId="Kommentartext">
    <w:name w:val="annotation text"/>
    <w:basedOn w:val="Standard"/>
    <w:link w:val="KommentartextZchn"/>
    <w:uiPriority w:val="99"/>
    <w:semiHidden/>
    <w:unhideWhenUsed/>
    <w:rsid w:val="0038783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87833"/>
    <w:rPr>
      <w:sz w:val="20"/>
      <w:szCs w:val="20"/>
    </w:rPr>
  </w:style>
  <w:style w:type="paragraph" w:styleId="Kommentarthema">
    <w:name w:val="annotation subject"/>
    <w:basedOn w:val="Kommentartext"/>
    <w:next w:val="Kommentartext"/>
    <w:link w:val="KommentarthemaZchn"/>
    <w:uiPriority w:val="99"/>
    <w:semiHidden/>
    <w:unhideWhenUsed/>
    <w:rsid w:val="00387833"/>
    <w:rPr>
      <w:b/>
      <w:bCs/>
    </w:rPr>
  </w:style>
  <w:style w:type="character" w:customStyle="1" w:styleId="KommentarthemaZchn">
    <w:name w:val="Kommentarthema Zchn"/>
    <w:basedOn w:val="KommentartextZchn"/>
    <w:link w:val="Kommentarthema"/>
    <w:uiPriority w:val="99"/>
    <w:semiHidden/>
    <w:rsid w:val="00387833"/>
    <w:rPr>
      <w:b/>
      <w:bCs/>
      <w:sz w:val="20"/>
      <w:szCs w:val="20"/>
    </w:rPr>
  </w:style>
  <w:style w:type="paragraph" w:styleId="Sprechblasentext">
    <w:name w:val="Balloon Text"/>
    <w:basedOn w:val="Standard"/>
    <w:link w:val="SprechblasentextZchn"/>
    <w:uiPriority w:val="99"/>
    <w:semiHidden/>
    <w:unhideWhenUsed/>
    <w:rsid w:val="0038783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87833"/>
    <w:rPr>
      <w:rFonts w:ascii="Segoe UI" w:hAnsi="Segoe UI" w:cs="Segoe UI"/>
      <w:sz w:val="18"/>
      <w:szCs w:val="18"/>
    </w:rPr>
  </w:style>
  <w:style w:type="paragraph" w:styleId="Funotentext">
    <w:name w:val="footnote text"/>
    <w:basedOn w:val="Standard"/>
    <w:link w:val="FunotentextZchn"/>
    <w:uiPriority w:val="99"/>
    <w:semiHidden/>
    <w:unhideWhenUsed/>
    <w:rsid w:val="008B6B04"/>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B6B04"/>
    <w:rPr>
      <w:sz w:val="20"/>
      <w:szCs w:val="20"/>
    </w:rPr>
  </w:style>
  <w:style w:type="character" w:styleId="Funotenzeichen">
    <w:name w:val="footnote reference"/>
    <w:basedOn w:val="Absatz-Standardschriftart"/>
    <w:uiPriority w:val="99"/>
    <w:semiHidden/>
    <w:unhideWhenUsed/>
    <w:rsid w:val="008B6B04"/>
    <w:rPr>
      <w:vertAlign w:val="superscript"/>
    </w:rPr>
  </w:style>
  <w:style w:type="character" w:customStyle="1" w:styleId="berschrift2Zchn">
    <w:name w:val="Überschrift 2 Zchn"/>
    <w:basedOn w:val="Absatz-Standardschriftart"/>
    <w:link w:val="berschrift2"/>
    <w:uiPriority w:val="9"/>
    <w:rsid w:val="003250A4"/>
    <w:rPr>
      <w:rFonts w:ascii="Times New Roman" w:eastAsia="Times New Roman" w:hAnsi="Times New Roman" w:cs="Times New Roman"/>
      <w:b/>
      <w:bCs/>
      <w:color w:val="000000"/>
      <w:sz w:val="24"/>
      <w:szCs w:val="24"/>
    </w:rPr>
  </w:style>
  <w:style w:type="paragraph" w:styleId="Listenabsatz">
    <w:name w:val="List Paragraph"/>
    <w:basedOn w:val="Standard"/>
    <w:uiPriority w:val="34"/>
    <w:qFormat/>
    <w:rsid w:val="00DD639C"/>
    <w:pPr>
      <w:ind w:left="720"/>
      <w:contextualSpacing/>
    </w:pPr>
  </w:style>
  <w:style w:type="paragraph" w:styleId="berarbeitung">
    <w:name w:val="Revision"/>
    <w:hidden/>
    <w:uiPriority w:val="99"/>
    <w:semiHidden/>
    <w:rsid w:val="00107CFC"/>
    <w:pPr>
      <w:spacing w:after="0" w:line="240" w:lineRule="auto"/>
    </w:pPr>
    <w:rPr>
      <w:rFonts w:ascii="Times New Roman" w:hAnsi="Times New Roman"/>
      <w:sz w:val="24"/>
    </w:rPr>
  </w:style>
  <w:style w:type="character" w:styleId="Endnotenzeichen">
    <w:name w:val="endnote reference"/>
    <w:basedOn w:val="Absatz-Standardschriftart"/>
    <w:uiPriority w:val="99"/>
    <w:semiHidden/>
    <w:unhideWhenUsed/>
    <w:rsid w:val="003B4F1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21281">
      <w:bodyDiv w:val="1"/>
      <w:marLeft w:val="0"/>
      <w:marRight w:val="0"/>
      <w:marTop w:val="0"/>
      <w:marBottom w:val="0"/>
      <w:divBdr>
        <w:top w:val="none" w:sz="0" w:space="0" w:color="auto"/>
        <w:left w:val="none" w:sz="0" w:space="0" w:color="auto"/>
        <w:bottom w:val="none" w:sz="0" w:space="0" w:color="auto"/>
        <w:right w:val="none" w:sz="0" w:space="0" w:color="auto"/>
      </w:divBdr>
    </w:div>
    <w:div w:id="1054082403">
      <w:bodyDiv w:val="1"/>
      <w:marLeft w:val="0"/>
      <w:marRight w:val="0"/>
      <w:marTop w:val="0"/>
      <w:marBottom w:val="0"/>
      <w:divBdr>
        <w:top w:val="none" w:sz="0" w:space="0" w:color="auto"/>
        <w:left w:val="none" w:sz="0" w:space="0" w:color="auto"/>
        <w:bottom w:val="none" w:sz="0" w:space="0" w:color="auto"/>
        <w:right w:val="none" w:sz="0" w:space="0" w:color="auto"/>
      </w:divBdr>
    </w:div>
    <w:div w:id="1093165834">
      <w:bodyDiv w:val="1"/>
      <w:marLeft w:val="0"/>
      <w:marRight w:val="0"/>
      <w:marTop w:val="0"/>
      <w:marBottom w:val="0"/>
      <w:divBdr>
        <w:top w:val="none" w:sz="0" w:space="0" w:color="auto"/>
        <w:left w:val="none" w:sz="0" w:space="0" w:color="auto"/>
        <w:bottom w:val="none" w:sz="0" w:space="0" w:color="auto"/>
        <w:right w:val="none" w:sz="0" w:space="0" w:color="auto"/>
      </w:divBdr>
    </w:div>
    <w:div w:id="1351757684">
      <w:bodyDiv w:val="1"/>
      <w:marLeft w:val="0"/>
      <w:marRight w:val="0"/>
      <w:marTop w:val="0"/>
      <w:marBottom w:val="0"/>
      <w:divBdr>
        <w:top w:val="none" w:sz="0" w:space="0" w:color="auto"/>
        <w:left w:val="none" w:sz="0" w:space="0" w:color="auto"/>
        <w:bottom w:val="none" w:sz="0" w:space="0" w:color="auto"/>
        <w:right w:val="none" w:sz="0" w:space="0" w:color="auto"/>
      </w:divBdr>
    </w:div>
    <w:div w:id="1613053953">
      <w:bodyDiv w:val="1"/>
      <w:marLeft w:val="0"/>
      <w:marRight w:val="0"/>
      <w:marTop w:val="0"/>
      <w:marBottom w:val="0"/>
      <w:divBdr>
        <w:top w:val="none" w:sz="0" w:space="0" w:color="auto"/>
        <w:left w:val="none" w:sz="0" w:space="0" w:color="auto"/>
        <w:bottom w:val="none" w:sz="0" w:space="0" w:color="auto"/>
        <w:right w:val="none" w:sz="0" w:space="0" w:color="auto"/>
      </w:divBdr>
    </w:div>
    <w:div w:id="1840463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F1F7E2-0944-4314-84A0-E7B2E2C69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14663</Words>
  <Characters>83584</Characters>
  <Application>Microsoft Office Word</Application>
  <DocSecurity>0</DocSecurity>
  <Lines>696</Lines>
  <Paragraphs>196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Kroker</dc:creator>
  <cp:keywords/>
  <dc:description/>
  <cp:lastModifiedBy>Markus Junghoefer</cp:lastModifiedBy>
  <cp:revision>43</cp:revision>
  <dcterms:created xsi:type="dcterms:W3CDTF">2022-02-04T15:32:00Z</dcterms:created>
  <dcterms:modified xsi:type="dcterms:W3CDTF">2022-03-03T08:55:00Z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http://www.zotero.org/styles/brain-stimulation</vt:lpwstr>
  </property>
  <property fmtid="{D5CDD505-2E9C-101B-9397-08002B2CF9AE}" pid="11" name="Mendeley Recent Style Name 4_1">
    <vt:lpwstr>Brain Stimulation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3ce851d7-4bf6-3bb6-95f4-b86683d53792</vt:lpwstr>
  </property>
  <property fmtid="{D5CDD505-2E9C-101B-9397-08002B2CF9AE}" pid="24" name="Mendeley Citation Style_1">
    <vt:lpwstr>http://www.zotero.org/styles/nature</vt:lpwstr>
  </property>
</Properties>
</file>