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5609" w:rsidRDefault="00A15609" w:rsidP="00A15609">
      <w:pPr>
        <w:spacing w:line="48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Table 1. Comparison of Common Emergency Use Authorized Diagnostic Methods for Evaluating COVID-19 Tests</w:t>
      </w: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A. Molecular Assays</w:t>
      </w: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Manufacturer / Platform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  <w:u w:val="single"/>
        </w:rPr>
        <w:t>Method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  <w:u w:val="single"/>
        </w:rPr>
        <w:t>RNA Targets</w:t>
      </w:r>
      <w:r>
        <w:rPr>
          <w:rFonts w:ascii="Arial" w:hAnsi="Arial" w:cs="Arial"/>
          <w:b/>
          <w:sz w:val="20"/>
          <w:szCs w:val="20"/>
        </w:rPr>
        <w:tab/>
      </w:r>
      <w:proofErr w:type="spellStart"/>
      <w:r>
        <w:rPr>
          <w:rFonts w:ascii="Arial" w:hAnsi="Arial" w:cs="Arial"/>
          <w:b/>
          <w:sz w:val="20"/>
          <w:szCs w:val="20"/>
          <w:u w:val="single"/>
        </w:rPr>
        <w:t>LoD</w:t>
      </w:r>
      <w:proofErr w:type="spellEnd"/>
      <w:r>
        <w:rPr>
          <w:rFonts w:ascii="Arial" w:hAnsi="Arial" w:cs="Arial"/>
          <w:b/>
          <w:sz w:val="20"/>
          <w:szCs w:val="20"/>
          <w:u w:val="single"/>
        </w:rPr>
        <w:t xml:space="preserve"> (NDU/mL)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proofErr w:type="gramStart"/>
      <w:r>
        <w:rPr>
          <w:rFonts w:ascii="Arial" w:hAnsi="Arial" w:cs="Arial"/>
          <w:b/>
          <w:sz w:val="20"/>
          <w:szCs w:val="20"/>
          <w:u w:val="single"/>
        </w:rPr>
        <w:t>PPA(</w:t>
      </w:r>
      <w:proofErr w:type="gramEnd"/>
      <w:r>
        <w:rPr>
          <w:rFonts w:ascii="Arial" w:hAnsi="Arial" w:cs="Arial"/>
          <w:b/>
          <w:sz w:val="20"/>
          <w:szCs w:val="20"/>
          <w:u w:val="single"/>
        </w:rPr>
        <w:t>%)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  <w:u w:val="single"/>
        </w:rPr>
        <w:t>NPA(%)</w:t>
      </w: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Abbott Molecular / </w:t>
      </w:r>
      <w:proofErr w:type="spellStart"/>
      <w:r>
        <w:rPr>
          <w:rFonts w:ascii="Arial" w:hAnsi="Arial" w:cs="Arial"/>
          <w:bCs/>
          <w:sz w:val="20"/>
          <w:szCs w:val="20"/>
        </w:rPr>
        <w:t>Alinity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m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RT-PCR</w:t>
      </w:r>
      <w:r>
        <w:rPr>
          <w:rFonts w:ascii="Arial" w:hAnsi="Arial" w:cs="Arial"/>
          <w:bCs/>
          <w:sz w:val="20"/>
          <w:szCs w:val="20"/>
        </w:rPr>
        <w:tab/>
        <w:t>N1/N2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2700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&gt;99.0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&gt;99.0</w:t>
      </w: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Becton Dickenson / </w:t>
      </w:r>
      <w:proofErr w:type="spellStart"/>
      <w:r>
        <w:rPr>
          <w:rFonts w:ascii="Arial" w:hAnsi="Arial" w:cs="Arial"/>
          <w:bCs/>
          <w:sz w:val="20"/>
          <w:szCs w:val="20"/>
        </w:rPr>
        <w:t>BDMax</w:t>
      </w:r>
      <w:proofErr w:type="spellEnd"/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RT-PCR</w:t>
      </w:r>
      <w:r>
        <w:rPr>
          <w:rFonts w:ascii="Arial" w:hAnsi="Arial" w:cs="Arial"/>
          <w:bCs/>
          <w:sz w:val="20"/>
          <w:szCs w:val="20"/>
        </w:rPr>
        <w:tab/>
        <w:t>N1/N2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1800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&gt;99.0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&gt;99.0</w:t>
      </w: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Cs/>
          <w:sz w:val="20"/>
          <w:szCs w:val="20"/>
        </w:rPr>
      </w:pPr>
      <w:proofErr w:type="spellStart"/>
      <w:r>
        <w:rPr>
          <w:rFonts w:ascii="Arial" w:hAnsi="Arial" w:cs="Arial"/>
          <w:bCs/>
          <w:sz w:val="20"/>
          <w:szCs w:val="20"/>
        </w:rPr>
        <w:t>BioFire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Defense / </w:t>
      </w:r>
      <w:proofErr w:type="spellStart"/>
      <w:r>
        <w:rPr>
          <w:rFonts w:ascii="Arial" w:hAnsi="Arial" w:cs="Arial"/>
          <w:bCs/>
          <w:sz w:val="20"/>
          <w:szCs w:val="20"/>
        </w:rPr>
        <w:t>FilmArray</w:t>
      </w:r>
      <w:proofErr w:type="spellEnd"/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RT-PCR</w:t>
      </w:r>
      <w:r>
        <w:rPr>
          <w:rFonts w:ascii="Arial" w:hAnsi="Arial" w:cs="Arial"/>
          <w:bCs/>
          <w:sz w:val="20"/>
          <w:szCs w:val="20"/>
        </w:rPr>
        <w:tab/>
        <w:t>ORF1ab/ORF8</w:t>
      </w:r>
      <w:r>
        <w:rPr>
          <w:rFonts w:ascii="Arial" w:hAnsi="Arial" w:cs="Arial"/>
          <w:bCs/>
          <w:sz w:val="20"/>
          <w:szCs w:val="20"/>
        </w:rPr>
        <w:tab/>
        <w:t>5400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&gt;99.0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&gt;99.0</w:t>
      </w: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Bio-Rad / QX200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proofErr w:type="spellStart"/>
      <w:r>
        <w:rPr>
          <w:rFonts w:ascii="Arial" w:hAnsi="Arial" w:cs="Arial"/>
          <w:bCs/>
          <w:sz w:val="20"/>
          <w:szCs w:val="20"/>
        </w:rPr>
        <w:t>ddPCR</w:t>
      </w:r>
      <w:proofErr w:type="spellEnd"/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N1/N2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600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&gt;99.0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&gt;99.0</w:t>
      </w: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CDC / ABI 7500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RT-PCR</w:t>
      </w:r>
      <w:r>
        <w:rPr>
          <w:rFonts w:ascii="Arial" w:hAnsi="Arial" w:cs="Arial"/>
          <w:bCs/>
          <w:sz w:val="20"/>
          <w:szCs w:val="20"/>
        </w:rPr>
        <w:tab/>
        <w:t>N1/N2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18000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&gt;99.0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&gt;99.0</w:t>
      </w: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Cepheid / </w:t>
      </w:r>
      <w:proofErr w:type="spellStart"/>
      <w:r>
        <w:rPr>
          <w:rFonts w:ascii="Arial" w:hAnsi="Arial" w:cs="Arial"/>
          <w:bCs/>
          <w:sz w:val="20"/>
          <w:szCs w:val="20"/>
        </w:rPr>
        <w:t>GenXpert</w:t>
      </w:r>
      <w:proofErr w:type="spellEnd"/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RT-PCR</w:t>
      </w:r>
      <w:r>
        <w:rPr>
          <w:rFonts w:ascii="Arial" w:hAnsi="Arial" w:cs="Arial"/>
          <w:bCs/>
          <w:sz w:val="20"/>
          <w:szCs w:val="20"/>
        </w:rPr>
        <w:tab/>
        <w:t>N2/E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5400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&gt;99.0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&gt;99.0</w:t>
      </w: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Cs/>
          <w:sz w:val="20"/>
          <w:szCs w:val="20"/>
        </w:rPr>
      </w:pPr>
      <w:proofErr w:type="spellStart"/>
      <w:r>
        <w:rPr>
          <w:rFonts w:ascii="Arial" w:hAnsi="Arial" w:cs="Arial"/>
          <w:bCs/>
          <w:sz w:val="20"/>
          <w:szCs w:val="20"/>
        </w:rPr>
        <w:t>Hologic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/ Panther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RT-TMA</w:t>
      </w:r>
      <w:r>
        <w:rPr>
          <w:rFonts w:ascii="Arial" w:hAnsi="Arial" w:cs="Arial"/>
          <w:bCs/>
          <w:sz w:val="20"/>
          <w:szCs w:val="20"/>
        </w:rPr>
        <w:tab/>
        <w:t>ORF1ab</w:t>
      </w:r>
      <w:r>
        <w:rPr>
          <w:rFonts w:ascii="Arial" w:hAnsi="Arial" w:cs="Arial"/>
          <w:bCs/>
          <w:sz w:val="20"/>
          <w:szCs w:val="20"/>
        </w:rPr>
        <w:tab/>
        <w:t>600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&gt;99.0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&gt;99.0</w:t>
      </w: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Perkin Elmer / ABI </w:t>
      </w:r>
      <w:proofErr w:type="spellStart"/>
      <w:r>
        <w:rPr>
          <w:rFonts w:ascii="Arial" w:hAnsi="Arial" w:cs="Arial"/>
          <w:bCs/>
          <w:sz w:val="20"/>
          <w:szCs w:val="20"/>
        </w:rPr>
        <w:t>QuantStudio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5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RT-PCR</w:t>
      </w:r>
      <w:r>
        <w:rPr>
          <w:rFonts w:ascii="Arial" w:hAnsi="Arial" w:cs="Arial"/>
          <w:bCs/>
          <w:sz w:val="20"/>
          <w:szCs w:val="20"/>
        </w:rPr>
        <w:tab/>
        <w:t>ORF1ab/N</w:t>
      </w:r>
      <w:r>
        <w:rPr>
          <w:rFonts w:ascii="Arial" w:hAnsi="Arial" w:cs="Arial"/>
          <w:bCs/>
          <w:sz w:val="20"/>
          <w:szCs w:val="20"/>
        </w:rPr>
        <w:tab/>
        <w:t>180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&gt;99.0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&gt;99.0</w:t>
      </w: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Roche Molecular Systems / </w:t>
      </w:r>
      <w:proofErr w:type="spellStart"/>
      <w:r>
        <w:rPr>
          <w:rFonts w:ascii="Arial" w:hAnsi="Arial" w:cs="Arial"/>
          <w:bCs/>
          <w:sz w:val="20"/>
          <w:szCs w:val="20"/>
        </w:rPr>
        <w:t>cobas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6800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RT-PCR</w:t>
      </w:r>
      <w:r>
        <w:rPr>
          <w:rFonts w:ascii="Arial" w:hAnsi="Arial" w:cs="Arial"/>
          <w:bCs/>
          <w:sz w:val="20"/>
          <w:szCs w:val="20"/>
        </w:rPr>
        <w:tab/>
        <w:t xml:space="preserve">ORF1ab/E </w:t>
      </w:r>
      <w:r>
        <w:rPr>
          <w:rFonts w:ascii="Arial" w:hAnsi="Arial" w:cs="Arial"/>
          <w:bCs/>
          <w:sz w:val="20"/>
          <w:szCs w:val="20"/>
        </w:rPr>
        <w:tab/>
        <w:t>1800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&gt;99.0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&gt;99.0</w:t>
      </w: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Roche Molecular systems / </w:t>
      </w:r>
      <w:proofErr w:type="spellStart"/>
      <w:r>
        <w:rPr>
          <w:rFonts w:ascii="Arial" w:hAnsi="Arial" w:cs="Arial"/>
          <w:bCs/>
          <w:sz w:val="20"/>
          <w:szCs w:val="20"/>
        </w:rPr>
        <w:t>cobas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Cs/>
          <w:sz w:val="20"/>
          <w:szCs w:val="20"/>
        </w:rPr>
        <w:t>Liat</w:t>
      </w:r>
      <w:proofErr w:type="spellEnd"/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RT-PCR</w:t>
      </w:r>
      <w:r>
        <w:rPr>
          <w:rFonts w:ascii="Arial" w:hAnsi="Arial" w:cs="Arial"/>
          <w:bCs/>
          <w:sz w:val="20"/>
          <w:szCs w:val="20"/>
        </w:rPr>
        <w:tab/>
        <w:t>ORF1ab/N</w:t>
      </w:r>
      <w:r>
        <w:rPr>
          <w:rFonts w:ascii="Arial" w:hAnsi="Arial" w:cs="Arial"/>
          <w:bCs/>
          <w:sz w:val="20"/>
          <w:szCs w:val="20"/>
        </w:rPr>
        <w:tab/>
        <w:t>5400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&gt;99.0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&gt;99.0</w:t>
      </w: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Cs/>
          <w:sz w:val="20"/>
          <w:szCs w:val="20"/>
        </w:rPr>
      </w:pP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/>
          <w:sz w:val="20"/>
          <w:szCs w:val="20"/>
        </w:rPr>
      </w:pP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/>
          <w:sz w:val="20"/>
          <w:szCs w:val="20"/>
        </w:rPr>
      </w:pP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/>
          <w:sz w:val="20"/>
          <w:szCs w:val="20"/>
        </w:rPr>
      </w:pP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/>
          <w:sz w:val="20"/>
          <w:szCs w:val="20"/>
        </w:rPr>
      </w:pP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/>
          <w:sz w:val="20"/>
          <w:szCs w:val="20"/>
        </w:rPr>
      </w:pP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/>
          <w:sz w:val="20"/>
          <w:szCs w:val="20"/>
        </w:rPr>
      </w:pP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Table 1. Comparison of Common Emergency Use Authorized Diagnostic Methods for Evaluating COVID-19 Tests (Continued)</w:t>
      </w: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B. Antigen Assays</w:t>
      </w: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Manufacturer / Platform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  <w:u w:val="single"/>
        </w:rPr>
        <w:t>Method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  <w:u w:val="single"/>
        </w:rPr>
        <w:t>Ag Targets</w:t>
      </w:r>
      <w:r>
        <w:rPr>
          <w:rFonts w:ascii="Arial" w:hAnsi="Arial" w:cs="Arial"/>
          <w:b/>
          <w:sz w:val="20"/>
          <w:szCs w:val="20"/>
        </w:rPr>
        <w:tab/>
      </w:r>
      <w:proofErr w:type="spellStart"/>
      <w:r>
        <w:rPr>
          <w:rFonts w:ascii="Arial" w:hAnsi="Arial" w:cs="Arial"/>
          <w:b/>
          <w:sz w:val="20"/>
          <w:szCs w:val="20"/>
          <w:u w:val="single"/>
        </w:rPr>
        <w:t>LoD</w:t>
      </w:r>
      <w:proofErr w:type="spellEnd"/>
      <w:r>
        <w:rPr>
          <w:rFonts w:ascii="Arial" w:hAnsi="Arial" w:cs="Arial"/>
          <w:b/>
          <w:sz w:val="20"/>
          <w:szCs w:val="20"/>
          <w:u w:val="single"/>
        </w:rPr>
        <w:t xml:space="preserve"> (TCID50/mL)</w:t>
      </w:r>
      <w:r>
        <w:rPr>
          <w:rFonts w:ascii="Arial" w:hAnsi="Arial" w:cs="Arial"/>
          <w:b/>
          <w:sz w:val="20"/>
          <w:szCs w:val="20"/>
        </w:rPr>
        <w:tab/>
      </w:r>
      <w:proofErr w:type="gramStart"/>
      <w:r>
        <w:rPr>
          <w:rFonts w:ascii="Arial" w:hAnsi="Arial" w:cs="Arial"/>
          <w:b/>
          <w:sz w:val="20"/>
          <w:szCs w:val="20"/>
          <w:u w:val="single"/>
        </w:rPr>
        <w:t>PPA(</w:t>
      </w:r>
      <w:proofErr w:type="gramEnd"/>
      <w:r>
        <w:rPr>
          <w:rFonts w:ascii="Arial" w:hAnsi="Arial" w:cs="Arial"/>
          <w:b/>
          <w:sz w:val="20"/>
          <w:szCs w:val="20"/>
          <w:u w:val="single"/>
        </w:rPr>
        <w:t>%)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  <w:u w:val="single"/>
        </w:rPr>
        <w:t>NPA(%)</w:t>
      </w: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Abbott Diagnostics / </w:t>
      </w:r>
      <w:proofErr w:type="spellStart"/>
      <w:r>
        <w:rPr>
          <w:rFonts w:ascii="Arial" w:hAnsi="Arial" w:cs="Arial"/>
          <w:bCs/>
          <w:sz w:val="20"/>
          <w:szCs w:val="20"/>
        </w:rPr>
        <w:t>BinaxNow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COVID-19 Ag</w:t>
      </w:r>
      <w:r>
        <w:rPr>
          <w:rFonts w:ascii="Arial" w:hAnsi="Arial" w:cs="Arial"/>
          <w:bCs/>
          <w:sz w:val="20"/>
          <w:szCs w:val="20"/>
        </w:rPr>
        <w:tab/>
        <w:t>ICMA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N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140.6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84.6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98.5</w:t>
      </w: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Cs/>
          <w:sz w:val="20"/>
          <w:szCs w:val="20"/>
        </w:rPr>
      </w:pPr>
      <w:proofErr w:type="spellStart"/>
      <w:r>
        <w:rPr>
          <w:rFonts w:ascii="Arial" w:hAnsi="Arial" w:cs="Arial"/>
          <w:bCs/>
          <w:sz w:val="20"/>
          <w:szCs w:val="20"/>
        </w:rPr>
        <w:t>AccessBio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/ </w:t>
      </w:r>
      <w:proofErr w:type="spellStart"/>
      <w:r>
        <w:rPr>
          <w:rFonts w:ascii="Arial" w:hAnsi="Arial" w:cs="Arial"/>
          <w:bCs/>
          <w:sz w:val="20"/>
          <w:szCs w:val="20"/>
        </w:rPr>
        <w:t>CareStart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COVID-19 Ag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ICMA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N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6.4 x 10</w:t>
      </w:r>
      <w:r>
        <w:rPr>
          <w:rFonts w:ascii="Arial" w:hAnsi="Arial" w:cs="Arial"/>
          <w:bCs/>
          <w:sz w:val="20"/>
          <w:szCs w:val="20"/>
          <w:vertAlign w:val="superscript"/>
        </w:rPr>
        <w:t>3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83.3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100.0</w:t>
      </w: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Becton Dickenson / </w:t>
      </w:r>
      <w:proofErr w:type="spellStart"/>
      <w:r>
        <w:rPr>
          <w:rFonts w:ascii="Arial" w:hAnsi="Arial" w:cs="Arial"/>
          <w:bCs/>
          <w:sz w:val="20"/>
          <w:szCs w:val="20"/>
        </w:rPr>
        <w:t>Veritor</w:t>
      </w:r>
      <w:proofErr w:type="spellEnd"/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IMCA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N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1.4 x 10</w:t>
      </w:r>
      <w:r>
        <w:rPr>
          <w:rFonts w:ascii="Arial" w:hAnsi="Arial" w:cs="Arial"/>
          <w:bCs/>
          <w:sz w:val="20"/>
          <w:szCs w:val="20"/>
          <w:vertAlign w:val="superscript"/>
        </w:rPr>
        <w:t>2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84.0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100.0</w:t>
      </w: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Cs/>
          <w:sz w:val="20"/>
          <w:szCs w:val="20"/>
        </w:rPr>
      </w:pPr>
      <w:proofErr w:type="spellStart"/>
      <w:r>
        <w:rPr>
          <w:rFonts w:ascii="Arial" w:hAnsi="Arial" w:cs="Arial"/>
          <w:bCs/>
          <w:sz w:val="20"/>
          <w:szCs w:val="20"/>
        </w:rPr>
        <w:t>Ellume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Limited / </w:t>
      </w:r>
      <w:proofErr w:type="spellStart"/>
      <w:r>
        <w:rPr>
          <w:rFonts w:ascii="Arial" w:hAnsi="Arial" w:cs="Arial"/>
          <w:bCs/>
          <w:sz w:val="20"/>
          <w:szCs w:val="20"/>
        </w:rPr>
        <w:t>Elumme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COVID-19 Home</w:t>
      </w:r>
      <w:r>
        <w:rPr>
          <w:rFonts w:ascii="Arial" w:hAnsi="Arial" w:cs="Arial"/>
          <w:bCs/>
          <w:sz w:val="20"/>
          <w:szCs w:val="20"/>
        </w:rPr>
        <w:tab/>
        <w:t>LFIA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N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1.0 x 10</w:t>
      </w:r>
      <w:r>
        <w:rPr>
          <w:rFonts w:ascii="Arial" w:hAnsi="Arial" w:cs="Arial"/>
          <w:bCs/>
          <w:sz w:val="20"/>
          <w:szCs w:val="20"/>
          <w:vertAlign w:val="superscript"/>
        </w:rPr>
        <w:t>3.8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91.0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96.0</w:t>
      </w: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Cs/>
          <w:sz w:val="20"/>
          <w:szCs w:val="20"/>
        </w:rPr>
      </w:pPr>
      <w:proofErr w:type="spellStart"/>
      <w:r>
        <w:rPr>
          <w:rFonts w:ascii="Arial" w:hAnsi="Arial" w:cs="Arial"/>
          <w:bCs/>
          <w:sz w:val="20"/>
          <w:szCs w:val="20"/>
        </w:rPr>
        <w:t>Lumira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Cs/>
          <w:sz w:val="20"/>
          <w:szCs w:val="20"/>
        </w:rPr>
        <w:t>Dx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/ </w:t>
      </w:r>
      <w:proofErr w:type="spellStart"/>
      <w:r>
        <w:rPr>
          <w:rFonts w:ascii="Arial" w:hAnsi="Arial" w:cs="Arial"/>
          <w:bCs/>
          <w:sz w:val="20"/>
          <w:szCs w:val="20"/>
        </w:rPr>
        <w:t>LumeriaDx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SARS-CoV-2 Ag test</w:t>
      </w:r>
      <w:r>
        <w:rPr>
          <w:rFonts w:ascii="Arial" w:hAnsi="Arial" w:cs="Arial"/>
          <w:bCs/>
          <w:sz w:val="20"/>
          <w:szCs w:val="20"/>
        </w:rPr>
        <w:tab/>
        <w:t>LFIA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 xml:space="preserve">N 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2.8 x 10</w:t>
      </w:r>
      <w:r>
        <w:rPr>
          <w:rFonts w:ascii="Arial" w:hAnsi="Arial" w:cs="Arial"/>
          <w:bCs/>
          <w:sz w:val="20"/>
          <w:szCs w:val="20"/>
          <w:vertAlign w:val="superscript"/>
        </w:rPr>
        <w:t>5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97.6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96.6</w:t>
      </w: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Cs/>
          <w:sz w:val="20"/>
          <w:szCs w:val="20"/>
        </w:rPr>
      </w:pPr>
      <w:proofErr w:type="spellStart"/>
      <w:r>
        <w:rPr>
          <w:rFonts w:ascii="Arial" w:hAnsi="Arial" w:cs="Arial"/>
          <w:bCs/>
          <w:sz w:val="20"/>
          <w:szCs w:val="20"/>
        </w:rPr>
        <w:t>Quidel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/ Sofia-2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LFIA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N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3.4 x 10</w:t>
      </w:r>
      <w:r>
        <w:rPr>
          <w:rFonts w:ascii="Arial" w:hAnsi="Arial" w:cs="Arial"/>
          <w:bCs/>
          <w:sz w:val="20"/>
          <w:szCs w:val="20"/>
          <w:vertAlign w:val="superscript"/>
        </w:rPr>
        <w:t>5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96.7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100.0</w:t>
      </w: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Cs/>
          <w:sz w:val="20"/>
          <w:szCs w:val="20"/>
        </w:rPr>
      </w:pP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Abbreviations:</w:t>
      </w:r>
      <w:r>
        <w:rPr>
          <w:rFonts w:ascii="Arial" w:hAnsi="Arial" w:cs="Arial"/>
          <w:bCs/>
          <w:sz w:val="20"/>
          <w:szCs w:val="20"/>
        </w:rPr>
        <w:t xml:space="preserve"> ABI, Applied Biosciences; Ag, antigen; CDC, Centers for Disease Control and Prevention; </w:t>
      </w:r>
      <w:proofErr w:type="spellStart"/>
      <w:r>
        <w:rPr>
          <w:rFonts w:ascii="Arial" w:hAnsi="Arial" w:cs="Arial"/>
          <w:bCs/>
          <w:sz w:val="20"/>
          <w:szCs w:val="20"/>
        </w:rPr>
        <w:t>ddPCR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, digital droplet PCR; E, envelope protein gene; IMCA, </w:t>
      </w:r>
      <w:proofErr w:type="spellStart"/>
      <w:r>
        <w:rPr>
          <w:rFonts w:ascii="Arial" w:hAnsi="Arial" w:cs="Arial"/>
          <w:bCs/>
          <w:sz w:val="20"/>
          <w:szCs w:val="20"/>
        </w:rPr>
        <w:t>immunochromographic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membrane assay; LFIA, lateral flow </w:t>
      </w:r>
      <w:proofErr w:type="spellStart"/>
      <w:r>
        <w:rPr>
          <w:rFonts w:ascii="Arial" w:hAnsi="Arial" w:cs="Arial"/>
          <w:bCs/>
          <w:sz w:val="20"/>
          <w:szCs w:val="20"/>
        </w:rPr>
        <w:t>immunofluorescent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assay; </w:t>
      </w:r>
      <w:proofErr w:type="spellStart"/>
      <w:r>
        <w:rPr>
          <w:rFonts w:ascii="Arial" w:hAnsi="Arial" w:cs="Arial"/>
          <w:bCs/>
          <w:sz w:val="20"/>
          <w:szCs w:val="20"/>
        </w:rPr>
        <w:t>LoD</w:t>
      </w:r>
      <w:proofErr w:type="spellEnd"/>
      <w:r>
        <w:rPr>
          <w:rFonts w:ascii="Arial" w:hAnsi="Arial" w:cs="Arial"/>
          <w:bCs/>
          <w:sz w:val="20"/>
          <w:szCs w:val="20"/>
        </w:rPr>
        <w:t>, limit of detection; N, nucleoprotein gene; NDU, nucleic acid test detectable units; NPA, negative percent agreement; ORF, open reading frame; PCR, polymerase chain reaction; PPA, positive percent agreement; RNA, ribonucleic acid; RT, reverse transcription; TCID50, median tissue culture infective dose; TMA, transcription mediated amplification.</w:t>
      </w:r>
    </w:p>
    <w:p w:rsidR="00A15609" w:rsidRDefault="00A15609" w:rsidP="00A15609">
      <w:pPr>
        <w:spacing w:line="480" w:lineRule="auto"/>
        <w:jc w:val="both"/>
        <w:rPr>
          <w:rFonts w:ascii="Arial" w:hAnsi="Arial" w:cs="Arial"/>
          <w:bCs/>
          <w:sz w:val="20"/>
          <w:szCs w:val="20"/>
        </w:rPr>
      </w:pPr>
    </w:p>
    <w:p w:rsidR="00AD1398" w:rsidRDefault="00AD1398">
      <w:bookmarkStart w:id="0" w:name="_GoBack"/>
      <w:bookmarkEnd w:id="0"/>
    </w:p>
    <w:sectPr w:rsidR="00AD1398" w:rsidSect="00A1560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609"/>
    <w:rsid w:val="00A15609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50B0FD-3F56-4D1A-B44D-079AC5510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740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303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2021-01-21T11:45:00Z</dcterms:created>
  <dcterms:modified xsi:type="dcterms:W3CDTF">2021-01-21T11:45:00Z</dcterms:modified>
</cp:coreProperties>
</file>