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Evaluation of the </w:t>
      </w:r>
      <w:r>
        <w:rPr>
          <w:rFonts w:hint="default" w:ascii="Times New Roman" w:hAnsi="Times New Roman" w:cs="Times New Roman"/>
          <w:lang w:val="en-US" w:eastAsia="zh-CN"/>
        </w:rPr>
        <w:t>a</w:t>
      </w:r>
      <w:r>
        <w:rPr>
          <w:rFonts w:hint="default" w:ascii="Times New Roman" w:hAnsi="Times New Roman" w:cs="Times New Roman"/>
        </w:rPr>
        <w:t xml:space="preserve">ssociation between Kawasaki </w:t>
      </w:r>
      <w:r>
        <w:rPr>
          <w:rFonts w:hint="eastAsia" w:ascii="Times New Roman" w:hAnsi="Times New Roman" w:cs="Times New Roman"/>
          <w:lang w:val="en-US" w:eastAsia="zh-CN"/>
        </w:rPr>
        <w:t>d</w:t>
      </w:r>
      <w:r>
        <w:rPr>
          <w:rFonts w:hint="default" w:ascii="Times New Roman" w:hAnsi="Times New Roman" w:cs="Times New Roman"/>
        </w:rPr>
        <w:t>isease and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Infections</w:t>
      </w:r>
    </w:p>
    <w:p>
      <w:pPr>
        <w:rPr>
          <w:rFonts w:hint="eastAsia" w:eastAsia="宋体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During the study period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464</w:t>
      </w:r>
      <w:r>
        <w:rPr>
          <w:rFonts w:hint="default" w:ascii="Times New Roman" w:hAnsi="Times New Roman" w:cs="Times New Roman"/>
          <w:sz w:val="20"/>
          <w:szCs w:val="20"/>
        </w:rPr>
        <w:t xml:space="preserve"> children were admitted to the Pediatrics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Department </w:t>
      </w:r>
      <w:r>
        <w:rPr>
          <w:rFonts w:hint="default" w:ascii="Times New Roman" w:hAnsi="Times New Roman" w:cs="Times New Roman"/>
          <w:sz w:val="20"/>
          <w:szCs w:val="20"/>
        </w:rPr>
        <w:t>of First Affiliated Hospital of Guangxi Medical University with a diagnosis of K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awasaki disease (KD)</w:t>
      </w:r>
      <w:r>
        <w:rPr>
          <w:rFonts w:hint="default" w:ascii="Times New Roman" w:hAnsi="Times New Roman" w:cs="Times New Roman"/>
          <w:sz w:val="20"/>
          <w:szCs w:val="20"/>
        </w:rPr>
        <w:t xml:space="preserve">. In total,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111</w:t>
      </w:r>
      <w:r>
        <w:rPr>
          <w:rFonts w:hint="default" w:ascii="Times New Roman" w:hAnsi="Times New Roman" w:cs="Times New Roman"/>
          <w:sz w:val="20"/>
          <w:szCs w:val="20"/>
        </w:rPr>
        <w:t xml:space="preserve"> children were excluded from this study, including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35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w</w:t>
      </w:r>
      <w:r>
        <w:rPr>
          <w:rFonts w:hint="default" w:ascii="Times New Roman" w:hAnsi="Times New Roman" w:cs="Times New Roman"/>
          <w:sz w:val="20"/>
          <w:szCs w:val="20"/>
        </w:rPr>
        <w:t>ho were treatment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ed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without IVIG</w:t>
      </w:r>
      <w:r>
        <w:rPr>
          <w:rFonts w:hint="default" w:ascii="Times New Roman" w:hAnsi="Times New Roman" w:cs="Times New Roman"/>
          <w:sz w:val="20"/>
          <w:szCs w:val="20"/>
        </w:rPr>
        <w:t xml:space="preserve">,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47</w:t>
      </w:r>
      <w:r>
        <w:rPr>
          <w:rFonts w:hint="default" w:ascii="Times New Roman" w:hAnsi="Times New Roman" w:cs="Times New Roman"/>
          <w:sz w:val="20"/>
          <w:szCs w:val="20"/>
        </w:rPr>
        <w:t xml:space="preserve"> who did not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undergo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pathogen examinations after admission</w:t>
      </w:r>
      <w:r>
        <w:rPr>
          <w:rFonts w:hint="default" w:ascii="Times New Roman" w:hAnsi="Times New Roman" w:cs="Times New Roman"/>
          <w:sz w:val="20"/>
          <w:szCs w:val="20"/>
        </w:rPr>
        <w:t xml:space="preserve">, and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29</w:t>
      </w:r>
      <w:r>
        <w:rPr>
          <w:rFonts w:hint="default" w:ascii="Times New Roman" w:hAnsi="Times New Roman" w:cs="Times New Roman"/>
          <w:sz w:val="20"/>
          <w:szCs w:val="20"/>
        </w:rPr>
        <w:t xml:space="preserve"> with incomplete clinical or laboratory data. Ultimately, 3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53 (76.1%)</w:t>
      </w:r>
      <w:r>
        <w:rPr>
          <w:rFonts w:hint="default" w:ascii="Times New Roman" w:hAnsi="Times New Roman" w:cs="Times New Roman"/>
          <w:sz w:val="20"/>
          <w:szCs w:val="20"/>
        </w:rPr>
        <w:t xml:space="preserve"> children were included in this study.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O</w:t>
      </w:r>
      <w:r>
        <w:rPr>
          <w:rFonts w:hint="default" w:ascii="Times New Roman" w:hAnsi="Times New Roman" w:cs="Times New Roman"/>
          <w:sz w:val="20"/>
          <w:szCs w:val="20"/>
        </w:rPr>
        <w:t xml:space="preserve">f them,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83</w:t>
      </w:r>
      <w:r>
        <w:rPr>
          <w:rFonts w:hint="default" w:ascii="Times New Roman" w:hAnsi="Times New Roman" w:cs="Times New Roman"/>
          <w:sz w:val="20"/>
          <w:szCs w:val="20"/>
        </w:rPr>
        <w:t xml:space="preserve"> (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23.5</w:t>
      </w:r>
      <w:r>
        <w:rPr>
          <w:rFonts w:hint="default" w:ascii="Times New Roman" w:hAnsi="Times New Roman" w:cs="Times New Roman"/>
          <w:sz w:val="20"/>
          <w:szCs w:val="20"/>
        </w:rPr>
        <w:t xml:space="preserve">%) children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had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confirmed co-infection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s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71 (20.1%) s</w:t>
      </w:r>
      <w:r>
        <w:rPr>
          <w:rFonts w:hint="default" w:ascii="Times New Roman" w:hAnsi="Times New Roman" w:cs="Times New Roman"/>
          <w:sz w:val="20"/>
          <w:szCs w:val="20"/>
        </w:rPr>
        <w:t xml:space="preserve">ingle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and 12 (3.4%) mixed infections (Figure 1A). Among the single infections, M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ycoplasma hyopneumoniae (n=46),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denovirus (n=4), EBV (n=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), RSV (n=2),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PIV 1-3 (n=4),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treptococcus pneumoniae (n=5),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elicobacter pylori (n=1),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tenotrophomonas maltophilia (n=1),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seudomonas aeruginosa (n=1),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taphylococcus aureus (n=1),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taphylococcus epidermidis (n=1),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G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arcinia parvifolia micrococcus (n=1),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scherichia (n=1)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(Figure 1B); as well as the mixed infections included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2 mixed infections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ycoplasma hyopneumoniae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treptococcus pneumoniae, 2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ycoplasma hyopneumoniae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denovirus,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ycoplasma hyopneumoniae and EBV,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ycoplasma hyopneumoniae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arainfluenza,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arainfluenza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taphylococcus hemolyticus,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arainfluenza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K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lebsiella pneumoniae,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arainfluenza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elicobacter pylori,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arainfluenza and EBV,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arainfluenza and RSV and 1 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denovirus and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R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otavirus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(Figure 1C)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P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atients were classified as cases and controls according to the results of their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pathogen examinations and the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baseline</w:t>
      </w:r>
      <w:r>
        <w:rPr>
          <w:rFonts w:hint="default" w:ascii="Times New Roman" w:hAnsi="Times New Roman" w:cs="Times New Roman"/>
          <w:sz w:val="20"/>
          <w:szCs w:val="20"/>
        </w:rPr>
        <w:t xml:space="preserve"> characteristics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analysis results of the two groups of patients are shown in Table 1.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There were no significant differences in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c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oronary artery changes from baseline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at 2 weeks, 4 weeks, 3 months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in K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patients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with and without infections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(Figure 2).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Other than age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, weight and height, c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omparison of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linical characteristics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, l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aboratory values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and c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linical outcomes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between the two groups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did not achieve statistical significance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. For this a very important reason is that KD patients can have concurrent infections, especially pulmonary symptoms and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mycoplasma hyopneumoniae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is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a major cause of respiratory infections in school-aged children and young adults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with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46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instances, accounted for more than half of the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co-infected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cases (5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%).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Figure 1</w:t>
      </w:r>
      <w:r>
        <w:rPr>
          <w:rFonts w:hint="eastAsia" w:eastAsia="宋体"/>
          <w:sz w:val="20"/>
          <w:szCs w:val="20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Distribution of pathogens co-infected with Kawasaki disease</w:t>
      </w:r>
    </w:p>
    <w:p>
      <w:pPr>
        <w:jc w:val="center"/>
      </w:pPr>
      <w:r>
        <w:drawing>
          <wp:inline distT="0" distB="0" distL="114300" distR="114300">
            <wp:extent cx="4549140" cy="3418205"/>
            <wp:effectExtent l="0" t="0" r="1016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l="21341" t="13288" r="14709" b="3858"/>
                    <a:stretch>
                      <a:fillRect/>
                    </a:stretch>
                  </pic:blipFill>
                  <pic:spPr>
                    <a:xfrm>
                      <a:off x="0" y="0"/>
                      <a:ext cx="4549140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Figure 2   </w:t>
      </w: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Coronary artery changes from baseline over time in Kawasaki disease patients, by subgroups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267325" cy="331787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1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bidi="ar"/>
        </w:rPr>
        <w:t>KD</w:t>
      </w:r>
      <w:r>
        <w:rPr>
          <w:rFonts w:hint="eastAsia" w:ascii="Times New Roman" w:hAnsi="Times New Roman" w:eastAsia="宋体" w:cs="Times New Roman"/>
          <w:color w:val="231F20"/>
          <w:sz w:val="20"/>
          <w:szCs w:val="20"/>
          <w:lang w:val="en-US" w:eastAsia="zh-CN" w:bidi="ar"/>
        </w:rPr>
        <w:t xml:space="preserve">  </w:t>
      </w:r>
      <w:r>
        <w:rPr>
          <w:rFonts w:hint="default" w:ascii="Times New Roman" w:hAnsi="Times New Roman" w:cs="Times New Roman"/>
          <w:sz w:val="20"/>
          <w:szCs w:val="20"/>
        </w:rPr>
        <w:t>Kawasaki disease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.</w:t>
      </w:r>
    </w:p>
    <w:p>
      <w:pPr>
        <w:spacing w:line="360" w:lineRule="auto"/>
        <w:jc w:val="left"/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lang w:val="en-US"/>
        </w:rPr>
        <w:t xml:space="preserve">Table 1 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 xml:space="preserve">Comparison </w:t>
      </w:r>
      <w:r>
        <w:rPr>
          <w:rFonts w:hint="default" w:ascii="Times New Roman" w:hAnsi="Times New Roman" w:cs="Times New Roman"/>
          <w:sz w:val="20"/>
          <w:szCs w:val="20"/>
        </w:rPr>
        <w:t xml:space="preserve">of the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baseline</w:t>
      </w:r>
      <w:r>
        <w:rPr>
          <w:rFonts w:hint="default" w:ascii="Times New Roman" w:hAnsi="Times New Roman" w:cs="Times New Roman"/>
          <w:sz w:val="20"/>
          <w:szCs w:val="20"/>
        </w:rPr>
        <w:t xml:space="preserve"> characteristics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 xml:space="preserve">between </w:t>
      </w:r>
      <w:r>
        <w:rPr>
          <w:rFonts w:hint="default" w:ascii="Times New Roman" w:hAnsi="Times New Roman" w:cs="Times New Roman"/>
          <w:sz w:val="20"/>
          <w:szCs w:val="20"/>
        </w:rPr>
        <w:t>K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awasaki disease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with and without infections</w:t>
      </w:r>
    </w:p>
    <w:tbl>
      <w:tblPr>
        <w:tblStyle w:val="4"/>
        <w:tblW w:w="8325" w:type="dxa"/>
        <w:tblInd w:w="-1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5"/>
        <w:gridCol w:w="1570"/>
        <w:gridCol w:w="1560"/>
        <w:gridCol w:w="1640"/>
        <w:gridCol w:w="8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</w:p>
        </w:tc>
        <w:tc>
          <w:tcPr>
            <w:tcW w:w="15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Total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(n=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353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co-infected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n=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non-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infected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n=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270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 w:eastAsia="zh-CN"/>
              </w:rPr>
              <w:t xml:space="preserve"> value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325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Demographic characteristics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ge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[month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77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43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±22.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37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032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right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131413"/>
                <w:sz w:val="16"/>
                <w:szCs w:val="16"/>
                <w:lang w:bidi="ar"/>
              </w:rPr>
              <w:t>&lt;1 year</w:t>
            </w:r>
            <w:r>
              <w:rPr>
                <w:rFonts w:hint="default" w:ascii="Times New Roman" w:hAnsi="Times New Roman" w:eastAsia="宋体" w:cs="Times New Roman"/>
                <w:color w:val="131413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16"/>
                <w:szCs w:val="16"/>
              </w:rPr>
              <w:t>n(%)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5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23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462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z w:val="16"/>
                <w:szCs w:val="16"/>
              </w:rPr>
              <w:t>Male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16"/>
                <w:szCs w:val="16"/>
              </w:rPr>
              <w:t>n(%)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249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60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189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689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eight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[m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66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17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±0.16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eight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kg,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97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13.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6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4±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92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BMI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[kg/m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75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52</w:t>
            </w:r>
            <w:r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50</w:t>
            </w:r>
            <w:r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55</w:t>
            </w:r>
            <w:r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931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8325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Clinical characteristics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  <w:t>Conjunctival injection 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197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46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151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  <w:t>Changes in lips and oral cavity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188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140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  <w:t>Polymorphous exanthem 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209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47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162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584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  <w:t>Cervical lymphadenopathy 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149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33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116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  <w:t>Changes in extremities 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109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25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84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864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Incomplete KD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149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109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0.20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F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ever duration before admission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[day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65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84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60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ays of illness at primary treatment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[day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69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≤4 day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s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34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9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25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.3)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325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Laboratory values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 xml:space="preserve">White 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 xml:space="preserve">blood 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cell count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×10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perscript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 xml:space="preserve"> ref. 5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×10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vertAlign w:val="superscript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],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67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Neutrophils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bidi="ar"/>
              </w:rPr>
              <w:t xml:space="preserve"> count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×10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perscript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ref.1.8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6.3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×10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vertAlign w:val="superscript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 xml:space="preserve">],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87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99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ind w:firstLine="160" w:firstLineChars="100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±5.8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631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≥80% [n(%)]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58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NLR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75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53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00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26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Hematocrit 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04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04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04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052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Platelet count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×10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perscript"/>
              </w:rPr>
              <w:t>12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ref. 12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350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×10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vertAlign w:val="superscript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 xml:space="preserve">],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65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63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7.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7±1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978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PLR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75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00</w:t>
            </w:r>
            <w:r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111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200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00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00</w:t>
            </w:r>
            <w:r>
              <w:rPr>
                <w:rFonts w:hint="eastAsia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142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CRP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mg/L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color w:val="FF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ref. 0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10 mg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]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03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71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Sodium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mmol/L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ref. 137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147 mmol/L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],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±3.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84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±3.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284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ALT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U/L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ref. 7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U/L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 xml:space="preserve">], 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80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57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68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AST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[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U/L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ref. 13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</w:rPr>
              <w:t>U/L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],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03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1±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Total bilirubin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umol/L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ref. 3.4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 xml:space="preserve">20.5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bidi="ar"/>
              </w:rPr>
              <w:t>umol/L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], 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50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vertAlign w:val="subscript"/>
              </w:rPr>
              <w:t>75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70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50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 xml:space="preserve"> [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  <w:t>g/L</w:t>
            </w: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>ref. 40</w:t>
            </w:r>
            <w:r>
              <w:rPr>
                <w:rFonts w:hint="default" w:ascii="Times New Roman" w:hAnsi="Times New Roman" w:eastAsia="FrutigerLTStd-Bold" w:cs="Times New Roman"/>
                <w:color w:val="auto"/>
                <w:sz w:val="16"/>
                <w:szCs w:val="16"/>
                <w:lang w:bidi="ar"/>
              </w:rPr>
              <w:t>–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val="en-US" w:eastAsia="zh-CN" w:bidi="ar"/>
              </w:rPr>
              <w:t xml:space="preserve">55 </w:t>
            </w:r>
            <w:r>
              <w:rPr>
                <w:rFonts w:hint="default" w:ascii="Times New Roman" w:hAnsi="Times New Roman" w:eastAsia="宋体" w:cs="Times New Roman"/>
                <w:color w:val="auto"/>
                <w:sz w:val="16"/>
                <w:szCs w:val="16"/>
                <w:lang w:bidi="ar"/>
              </w:rPr>
              <w:t>g/L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 xml:space="preserve">],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21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3±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02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854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CRP/ALB ratio [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"/>
              </w:rPr>
              <w:t>mean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sz w:val="16"/>
                <w:szCs w:val="16"/>
                <w:lang w:val="en-US" w:eastAsia="zh-CN" w:bidi="ar"/>
              </w:rPr>
              <w:t>SD]</w:t>
            </w:r>
          </w:p>
        </w:tc>
        <w:tc>
          <w:tcPr>
            <w:tcW w:w="15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2.14±1.90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2.03±1.79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2.17±1.93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0.540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8325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sz w:val="16"/>
                <w:szCs w:val="16"/>
                <w:lang w:val="en-US" w:eastAsia="zh-CN" w:bidi="ar"/>
              </w:rPr>
              <w:t>Clinical outcomes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PICU admission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22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543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IVIG resistance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64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46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7.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orticosteroid therapy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22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8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14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0.142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CAL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220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62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47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173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64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70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CAA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[n(%)]</w:t>
            </w:r>
          </w:p>
        </w:tc>
        <w:tc>
          <w:tcPr>
            <w:tcW w:w="157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90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20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 xml:space="preserve">70 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6"/>
                <w:szCs w:val="16"/>
              </w:rPr>
              <w:t>0.</w:t>
            </w:r>
            <w:r>
              <w:rPr>
                <w:rFonts w:hint="default" w:ascii="Times New Roman" w:hAnsi="Times New Roman" w:eastAsia="宋体" w:cs="Times New Roman"/>
                <w:sz w:val="16"/>
                <w:szCs w:val="16"/>
                <w:lang w:val="en-US" w:eastAsia="zh-CN"/>
              </w:rPr>
              <w:t>738</w:t>
            </w: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BMI body mass index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bidi="ar"/>
        </w:rPr>
        <w:t xml:space="preserve">KD </w:t>
      </w:r>
      <w:r>
        <w:rPr>
          <w:rFonts w:hint="default" w:ascii="Times New Roman" w:hAnsi="Times New Roman" w:cs="Times New Roman"/>
          <w:sz w:val="20"/>
          <w:szCs w:val="20"/>
        </w:rPr>
        <w:t>Kawasaki disease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NLR neutrophil-to-lymphocyte count ratio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PLR platelet-to-lymphocyte count ratio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CRP C-reactive protein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ALT alanine aminotransferase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AST aspartate aminotransferase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CRP/AL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C-reactive protein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-to-</w:t>
      </w:r>
      <w:r>
        <w:rPr>
          <w:rFonts w:hint="default" w:ascii="Times New Roman" w:hAnsi="Times New Roman" w:cs="Times New Roman"/>
          <w:sz w:val="20"/>
          <w:szCs w:val="20"/>
        </w:rPr>
        <w:t>albumin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 xml:space="preserve"> PICU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bidi="ar"/>
        </w:rPr>
        <w:t>pediatric intensive care unit</w:t>
      </w:r>
      <w:r>
        <w:rPr>
          <w:rFonts w:hint="eastAsia" w:ascii="Times New Roman" w:hAnsi="Times New Roman" w:eastAsia="宋体" w:cs="Times New Roman"/>
          <w:color w:val="231F20"/>
          <w:sz w:val="20"/>
          <w:szCs w:val="20"/>
          <w:lang w:val="en-US" w:eastAsia="zh-CN" w:bidi="ar"/>
        </w:rPr>
        <w:t>,</w:t>
      </w: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val="en-US" w:eastAsia="zh-CN" w:bidi="ar"/>
        </w:rPr>
        <w:t xml:space="preserve"> </w:t>
      </w: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bidi="ar"/>
        </w:rPr>
        <w:t>IVIG intravenous immunoglobulin</w:t>
      </w:r>
      <w:r>
        <w:rPr>
          <w:rFonts w:hint="eastAsia" w:ascii="Times New Roman" w:hAnsi="Times New Roman" w:eastAsia="宋体" w:cs="Times New Roman"/>
          <w:color w:val="231F20"/>
          <w:sz w:val="20"/>
          <w:szCs w:val="20"/>
          <w:lang w:val="en-US" w:eastAsia="zh-CN" w:bidi="ar"/>
        </w:rPr>
        <w:t>,</w:t>
      </w: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CA</w:t>
      </w:r>
      <w:r>
        <w:rPr>
          <w:rFonts w:hint="default" w:ascii="Times New Roman" w:hAnsi="Times New Roman" w:eastAsia="宋体" w:cs="Times New Roman"/>
          <w:sz w:val="20"/>
          <w:szCs w:val="20"/>
          <w:lang w:val="en-US" w:eastAsia="zh-CN"/>
        </w:rPr>
        <w:t>L</w:t>
      </w:r>
      <w:r>
        <w:rPr>
          <w:rFonts w:hint="default" w:ascii="Times New Roman" w:hAnsi="Times New Roman" w:cs="Times New Roman"/>
          <w:sz w:val="20"/>
          <w:szCs w:val="20"/>
        </w:rPr>
        <w:t xml:space="preserve"> coronary artery lesions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eastAsia="FrutigerLTStd-Bold" w:cs="Times New Roman"/>
          <w:color w:val="231F20"/>
          <w:sz w:val="20"/>
          <w:szCs w:val="20"/>
          <w:lang w:bidi="ar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>CAA coronary artery aneurysm.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rutigerLTStd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B32AE5"/>
    <w:rsid w:val="0B6B5307"/>
    <w:rsid w:val="192F02E5"/>
    <w:rsid w:val="19827214"/>
    <w:rsid w:val="2440775E"/>
    <w:rsid w:val="2B410D42"/>
    <w:rsid w:val="2EDF7CE2"/>
    <w:rsid w:val="3B982D61"/>
    <w:rsid w:val="3C26623B"/>
    <w:rsid w:val="3CE67855"/>
    <w:rsid w:val="3E9E5456"/>
    <w:rsid w:val="45531425"/>
    <w:rsid w:val="56371A44"/>
    <w:rsid w:val="5FC52994"/>
    <w:rsid w:val="5FF12A36"/>
    <w:rsid w:val="665068FB"/>
    <w:rsid w:val="668F2352"/>
    <w:rsid w:val="73C87FFC"/>
    <w:rsid w:val="743C56F4"/>
    <w:rsid w:val="780B7492"/>
    <w:rsid w:val="784E091D"/>
    <w:rsid w:val="7E5C0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2022-01-16T02:37:00Z</dcterms:created>
  <dc:creator>LENOVO</dc:creator>
  <cp:lastModifiedBy>LJ</cp:lastModifiedBy>
  <dcterms:modified xsi:type="dcterms:W3CDTF">2022-03-03T08:54:31Z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4579E5F3CF924760B38241536AB27A5B</vt:lpwstr>
  </property>
</Properties>
</file>