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0C95" w:rsidRPr="005C5FE7" w:rsidRDefault="00AA0C95" w:rsidP="00AA0C95">
      <w:pPr>
        <w:pStyle w:val="NormalWeb"/>
        <w:spacing w:line="360" w:lineRule="auto"/>
        <w:outlineLvl w:val="0"/>
      </w:pPr>
      <w:r w:rsidRPr="005C5FE7">
        <w:rPr>
          <w:b/>
          <w:bCs/>
          <w:color w:val="000000" w:themeColor="text1"/>
        </w:rPr>
        <w:t xml:space="preserve">Appendix 1. </w:t>
      </w:r>
      <w:r w:rsidRPr="005C5FE7">
        <w:rPr>
          <w:b/>
          <w:bCs/>
        </w:rPr>
        <w:t>Table 3.</w:t>
      </w:r>
      <w:r w:rsidRPr="005C5FE7">
        <w:t xml:space="preserve"> </w:t>
      </w:r>
      <w:r>
        <w:t>S</w:t>
      </w:r>
      <w:r w:rsidRPr="005C5FE7">
        <w:t>tudy characteristics and critical appraisal</w:t>
      </w:r>
      <w:r w:rsidRPr="005C5FE7">
        <w:rPr>
          <w:bCs/>
          <w:color w:val="000000" w:themeColor="text1"/>
          <w:vertAlign w:val="superscript"/>
        </w:rPr>
        <w:t>[45]</w:t>
      </w:r>
      <w:r w:rsidRPr="005C5FE7">
        <w:t xml:space="preserve"> (</w:t>
      </w:r>
      <w:r w:rsidRPr="005C5FE7">
        <w:rPr>
          <w:i/>
          <w:iCs/>
        </w:rPr>
        <w:t>N=8)</w:t>
      </w:r>
    </w:p>
    <w:tbl>
      <w:tblPr>
        <w:tblStyle w:val="TableGridLight"/>
        <w:tblW w:w="10080" w:type="dxa"/>
        <w:tblInd w:w="-455" w:type="dxa"/>
        <w:tblLayout w:type="fixed"/>
        <w:tblLook w:val="04A0" w:firstRow="1" w:lastRow="0" w:firstColumn="1" w:lastColumn="0" w:noHBand="0" w:noVBand="1"/>
      </w:tblPr>
      <w:tblGrid>
        <w:gridCol w:w="1260"/>
        <w:gridCol w:w="1350"/>
        <w:gridCol w:w="1350"/>
        <w:gridCol w:w="990"/>
        <w:gridCol w:w="1530"/>
        <w:gridCol w:w="2520"/>
        <w:gridCol w:w="1080"/>
      </w:tblGrid>
      <w:tr w:rsidR="00AA0C95" w:rsidRPr="005C5FE7" w:rsidTr="00163D7A">
        <w:trPr>
          <w:trHeight w:val="305"/>
        </w:trPr>
        <w:tc>
          <w:tcPr>
            <w:tcW w:w="1260" w:type="dxa"/>
          </w:tcPr>
          <w:p w:rsidR="00AA0C95" w:rsidRPr="005C5FE7" w:rsidRDefault="00AA0C95" w:rsidP="00163D7A">
            <w:pPr>
              <w:rPr>
                <w:b/>
                <w:bCs/>
                <w:sz w:val="20"/>
                <w:szCs w:val="20"/>
              </w:rPr>
            </w:pPr>
            <w:r w:rsidRPr="005C5FE7">
              <w:rPr>
                <w:b/>
                <w:bCs/>
                <w:sz w:val="20"/>
                <w:szCs w:val="20"/>
              </w:rPr>
              <w:t>Author (Year) Country</w:t>
            </w:r>
          </w:p>
        </w:tc>
        <w:tc>
          <w:tcPr>
            <w:tcW w:w="1350" w:type="dxa"/>
          </w:tcPr>
          <w:p w:rsidR="00AA0C95" w:rsidRPr="005C5FE7" w:rsidRDefault="00AA0C95" w:rsidP="00163D7A">
            <w:pPr>
              <w:rPr>
                <w:b/>
                <w:bCs/>
                <w:sz w:val="20"/>
                <w:szCs w:val="20"/>
              </w:rPr>
            </w:pPr>
            <w:r w:rsidRPr="005C5FE7">
              <w:rPr>
                <w:b/>
                <w:bCs/>
                <w:sz w:val="20"/>
                <w:szCs w:val="20"/>
              </w:rPr>
              <w:t>Design/</w:t>
            </w:r>
          </w:p>
          <w:p w:rsidR="00AA0C95" w:rsidRPr="005C5FE7" w:rsidRDefault="00AA0C95" w:rsidP="00163D7A">
            <w:pPr>
              <w:rPr>
                <w:b/>
                <w:bCs/>
                <w:sz w:val="20"/>
                <w:szCs w:val="20"/>
              </w:rPr>
            </w:pPr>
            <w:r w:rsidRPr="005C5FE7">
              <w:rPr>
                <w:b/>
                <w:bCs/>
                <w:sz w:val="20"/>
                <w:szCs w:val="20"/>
              </w:rPr>
              <w:t>methods</w:t>
            </w:r>
          </w:p>
        </w:tc>
        <w:tc>
          <w:tcPr>
            <w:tcW w:w="1350" w:type="dxa"/>
          </w:tcPr>
          <w:p w:rsidR="00AA0C95" w:rsidRPr="005C5FE7" w:rsidRDefault="00AA0C95" w:rsidP="00163D7A">
            <w:pPr>
              <w:spacing w:line="360" w:lineRule="auto"/>
              <w:rPr>
                <w:b/>
                <w:bCs/>
                <w:sz w:val="20"/>
                <w:szCs w:val="20"/>
              </w:rPr>
            </w:pPr>
            <w:r w:rsidRPr="005C5FE7">
              <w:rPr>
                <w:b/>
                <w:bCs/>
                <w:sz w:val="20"/>
                <w:szCs w:val="20"/>
              </w:rPr>
              <w:t>Participants</w:t>
            </w:r>
          </w:p>
        </w:tc>
        <w:tc>
          <w:tcPr>
            <w:tcW w:w="990" w:type="dxa"/>
          </w:tcPr>
          <w:p w:rsidR="00AA0C95" w:rsidRPr="005C5FE7" w:rsidRDefault="00AA0C95" w:rsidP="00163D7A">
            <w:pPr>
              <w:rPr>
                <w:b/>
                <w:bCs/>
                <w:sz w:val="20"/>
                <w:szCs w:val="20"/>
              </w:rPr>
            </w:pPr>
            <w:r w:rsidRPr="005C5FE7">
              <w:rPr>
                <w:b/>
                <w:bCs/>
                <w:sz w:val="20"/>
                <w:szCs w:val="20"/>
              </w:rPr>
              <w:t>Setting</w:t>
            </w:r>
          </w:p>
        </w:tc>
        <w:tc>
          <w:tcPr>
            <w:tcW w:w="1530" w:type="dxa"/>
          </w:tcPr>
          <w:p w:rsidR="00AA0C95" w:rsidRPr="005C5FE7" w:rsidRDefault="00AA0C95" w:rsidP="00163D7A">
            <w:pPr>
              <w:spacing w:line="360" w:lineRule="auto"/>
              <w:rPr>
                <w:b/>
                <w:bCs/>
                <w:sz w:val="20"/>
                <w:szCs w:val="20"/>
              </w:rPr>
            </w:pPr>
            <w:r w:rsidRPr="005C5FE7">
              <w:rPr>
                <w:b/>
                <w:bCs/>
                <w:sz w:val="20"/>
                <w:szCs w:val="20"/>
              </w:rPr>
              <w:t xml:space="preserve">Intervention </w:t>
            </w:r>
          </w:p>
        </w:tc>
        <w:tc>
          <w:tcPr>
            <w:tcW w:w="2520" w:type="dxa"/>
          </w:tcPr>
          <w:p w:rsidR="00AA0C95" w:rsidRPr="005C5FE7" w:rsidRDefault="00AA0C95" w:rsidP="00163D7A">
            <w:pPr>
              <w:rPr>
                <w:b/>
                <w:bCs/>
                <w:sz w:val="20"/>
                <w:szCs w:val="20"/>
              </w:rPr>
            </w:pPr>
            <w:r w:rsidRPr="005C5FE7">
              <w:rPr>
                <w:b/>
                <w:bCs/>
                <w:sz w:val="20"/>
                <w:szCs w:val="20"/>
              </w:rPr>
              <w:t xml:space="preserve">Results </w:t>
            </w:r>
          </w:p>
        </w:tc>
        <w:tc>
          <w:tcPr>
            <w:tcW w:w="1080" w:type="dxa"/>
          </w:tcPr>
          <w:p w:rsidR="00AA0C95" w:rsidRPr="005C5FE7" w:rsidRDefault="00AA0C95" w:rsidP="00163D7A">
            <w:pPr>
              <w:spacing w:line="360" w:lineRule="auto"/>
              <w:rPr>
                <w:b/>
                <w:bCs/>
                <w:sz w:val="20"/>
                <w:szCs w:val="20"/>
                <w:vertAlign w:val="superscript"/>
              </w:rPr>
            </w:pPr>
            <w:r w:rsidRPr="005C5FE7">
              <w:rPr>
                <w:b/>
                <w:bCs/>
                <w:sz w:val="20"/>
                <w:szCs w:val="20"/>
              </w:rPr>
              <w:t>Quality</w:t>
            </w:r>
            <w:r w:rsidRPr="005C5FE7">
              <w:rPr>
                <w:sz w:val="20"/>
                <w:szCs w:val="20"/>
                <w:vertAlign w:val="superscript"/>
              </w:rPr>
              <w:t>[45]</w:t>
            </w:r>
          </w:p>
        </w:tc>
      </w:tr>
      <w:tr w:rsidR="00AA0C95" w:rsidRPr="005C5FE7" w:rsidTr="00163D7A">
        <w:tc>
          <w:tcPr>
            <w:tcW w:w="1260" w:type="dxa"/>
          </w:tcPr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 xml:space="preserve">Pommeret </w:t>
            </w:r>
          </w:p>
          <w:p w:rsidR="00AA0C95" w:rsidRPr="005C5FE7" w:rsidRDefault="00AA0C95" w:rsidP="00163D7A">
            <w:pPr>
              <w:rPr>
                <w:sz w:val="20"/>
                <w:szCs w:val="20"/>
                <w:vertAlign w:val="superscript"/>
              </w:rPr>
            </w:pPr>
            <w:r w:rsidRPr="005C5FE7">
              <w:rPr>
                <w:sz w:val="20"/>
                <w:szCs w:val="20"/>
              </w:rPr>
              <w:t xml:space="preserve">et al. (2019) France </w:t>
            </w:r>
            <w:r w:rsidRPr="005C5FE7">
              <w:rPr>
                <w:sz w:val="20"/>
                <w:szCs w:val="20"/>
                <w:vertAlign w:val="superscript"/>
              </w:rPr>
              <w:t>[48]</w:t>
            </w:r>
          </w:p>
        </w:tc>
        <w:tc>
          <w:tcPr>
            <w:tcW w:w="1350" w:type="dxa"/>
          </w:tcPr>
          <w:p w:rsidR="00AA0C95" w:rsidRPr="005C5FE7" w:rsidRDefault="00AA0C95" w:rsidP="00163D7A">
            <w:pPr>
              <w:ind w:right="175"/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Qualitative/semi-structured interviews</w:t>
            </w:r>
          </w:p>
        </w:tc>
        <w:tc>
          <w:tcPr>
            <w:tcW w:w="1350" w:type="dxa"/>
          </w:tcPr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Hospitalized patients receiving palliative treatment for cancer; 5 of whom were receiving EOL care</w:t>
            </w: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(</w:t>
            </w:r>
            <w:r w:rsidRPr="005C5FE7">
              <w:rPr>
                <w:i/>
                <w:iCs/>
                <w:sz w:val="20"/>
                <w:szCs w:val="20"/>
              </w:rPr>
              <w:t>n</w:t>
            </w:r>
            <w:r w:rsidRPr="005C5FE7">
              <w:rPr>
                <w:sz w:val="20"/>
                <w:szCs w:val="20"/>
              </w:rPr>
              <w:t>=10)</w:t>
            </w:r>
          </w:p>
        </w:tc>
        <w:tc>
          <w:tcPr>
            <w:tcW w:w="990" w:type="dxa"/>
          </w:tcPr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Inpatient hospital palliative care dept.</w:t>
            </w:r>
          </w:p>
        </w:tc>
        <w:tc>
          <w:tcPr>
            <w:tcW w:w="1530" w:type="dxa"/>
          </w:tcPr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Live music including singing and playing a musical instrument (such as guitar, piano or percussion) both 1:1 and in small groups such as with family members or staff or in the hallway</w:t>
            </w:r>
          </w:p>
        </w:tc>
        <w:tc>
          <w:tcPr>
            <w:tcW w:w="2520" w:type="dxa"/>
          </w:tcPr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Positive emotions including joy and well-being</w:t>
            </w: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Music as envelopment and immersion; a “cocoon”; humor</w:t>
            </w: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 xml:space="preserve">Attention and comfort; social connection; memories </w:t>
            </w: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Reflections on altered state of health and loss of autonomy, dying</w:t>
            </w: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A sense of effort required and fatigue</w:t>
            </w:r>
          </w:p>
          <w:p w:rsidR="00AA0C95" w:rsidRPr="005C5FE7" w:rsidRDefault="00AA0C95" w:rsidP="00163D7A">
            <w:pPr>
              <w:pStyle w:val="NormalWeb"/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“patient as person”’ “travel back and forth between the past, the present and the future.”</w:t>
            </w:r>
          </w:p>
        </w:tc>
        <w:tc>
          <w:tcPr>
            <w:tcW w:w="1080" w:type="dxa"/>
          </w:tcPr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35</w:t>
            </w:r>
          </w:p>
        </w:tc>
      </w:tr>
      <w:tr w:rsidR="00AA0C95" w:rsidRPr="005C5FE7" w:rsidTr="00163D7A">
        <w:tc>
          <w:tcPr>
            <w:tcW w:w="1260" w:type="dxa"/>
          </w:tcPr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Peng et al. (2018)</w:t>
            </w:r>
          </w:p>
          <w:p w:rsidR="00AA0C95" w:rsidRPr="005C5FE7" w:rsidRDefault="00AA0C95" w:rsidP="00163D7A">
            <w:pPr>
              <w:rPr>
                <w:sz w:val="20"/>
                <w:szCs w:val="20"/>
                <w:vertAlign w:val="superscript"/>
              </w:rPr>
            </w:pPr>
            <w:r w:rsidRPr="005C5FE7">
              <w:rPr>
                <w:sz w:val="20"/>
                <w:szCs w:val="20"/>
              </w:rPr>
              <w:t xml:space="preserve">US </w:t>
            </w:r>
            <w:r w:rsidRPr="005C5FE7">
              <w:rPr>
                <w:sz w:val="20"/>
                <w:szCs w:val="20"/>
                <w:vertAlign w:val="superscript"/>
              </w:rPr>
              <w:t>[19]</w:t>
            </w:r>
          </w:p>
        </w:tc>
        <w:tc>
          <w:tcPr>
            <w:tcW w:w="1350" w:type="dxa"/>
          </w:tcPr>
          <w:p w:rsidR="00AA0C95" w:rsidRPr="005C5FE7" w:rsidRDefault="00AA0C95" w:rsidP="00163D7A">
            <w:pPr>
              <w:ind w:right="175"/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Mixed methods</w:t>
            </w:r>
          </w:p>
        </w:tc>
        <w:tc>
          <w:tcPr>
            <w:tcW w:w="1350" w:type="dxa"/>
          </w:tcPr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Palliative care patients and their family members at time of consult (</w:t>
            </w:r>
            <w:r w:rsidRPr="005C5FE7">
              <w:rPr>
                <w:i/>
                <w:iCs/>
                <w:sz w:val="20"/>
                <w:szCs w:val="20"/>
              </w:rPr>
              <w:t>n</w:t>
            </w:r>
            <w:r w:rsidRPr="005C5FE7">
              <w:rPr>
                <w:sz w:val="20"/>
                <w:szCs w:val="20"/>
              </w:rPr>
              <w:t>=46)</w:t>
            </w:r>
          </w:p>
        </w:tc>
        <w:tc>
          <w:tcPr>
            <w:tcW w:w="990" w:type="dxa"/>
          </w:tcPr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Inpatient hospital</w:t>
            </w:r>
          </w:p>
        </w:tc>
        <w:tc>
          <w:tcPr>
            <w:tcW w:w="1530" w:type="dxa"/>
          </w:tcPr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Live music to address pain, anxiety, and stress associated with EOL</w:t>
            </w:r>
          </w:p>
        </w:tc>
        <w:tc>
          <w:tcPr>
            <w:tcW w:w="2520" w:type="dxa"/>
          </w:tcPr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Significant decreases in pain, anxiety, nausea, shortness of</w:t>
            </w: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 xml:space="preserve">breath, and feelings of depression </w:t>
            </w: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Significant increase in feelings of well-being; Opioid use decreased in periods after the music intervention</w:t>
            </w: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</w:p>
          <w:p w:rsidR="00AA0C95" w:rsidRPr="005C5FE7" w:rsidRDefault="00AA0C95" w:rsidP="00163D7A">
            <w:pPr>
              <w:rPr>
                <w:b/>
                <w:sz w:val="20"/>
                <w:szCs w:val="20"/>
              </w:rPr>
            </w:pPr>
            <w:r w:rsidRPr="005C5FE7">
              <w:rPr>
                <w:b/>
                <w:sz w:val="20"/>
                <w:szCs w:val="20"/>
              </w:rPr>
              <w:t>Themes:</w:t>
            </w:r>
            <w:r w:rsidRPr="005C5FE7">
              <w:rPr>
                <w:bCs/>
                <w:sz w:val="20"/>
                <w:szCs w:val="20"/>
              </w:rPr>
              <w:t xml:space="preserve"> spirituality, comfort, relaxation, escape, and reflection</w:t>
            </w:r>
          </w:p>
        </w:tc>
        <w:tc>
          <w:tcPr>
            <w:tcW w:w="1080" w:type="dxa"/>
          </w:tcPr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35</w:t>
            </w:r>
          </w:p>
        </w:tc>
      </w:tr>
      <w:tr w:rsidR="00AA0C95" w:rsidRPr="005C5FE7" w:rsidTr="00163D7A">
        <w:tc>
          <w:tcPr>
            <w:tcW w:w="1260" w:type="dxa"/>
            <w:vAlign w:val="center"/>
          </w:tcPr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Anderson et al. (2017)</w:t>
            </w:r>
          </w:p>
          <w:p w:rsidR="00AA0C95" w:rsidRPr="005C5FE7" w:rsidRDefault="00AA0C95" w:rsidP="00163D7A">
            <w:pPr>
              <w:rPr>
                <w:sz w:val="20"/>
                <w:szCs w:val="20"/>
                <w:vertAlign w:val="superscript"/>
              </w:rPr>
            </w:pPr>
            <w:r w:rsidRPr="005C5FE7">
              <w:rPr>
                <w:sz w:val="20"/>
                <w:szCs w:val="20"/>
              </w:rPr>
              <w:t xml:space="preserve">US </w:t>
            </w:r>
            <w:r w:rsidRPr="005C5FE7">
              <w:rPr>
                <w:sz w:val="20"/>
                <w:szCs w:val="20"/>
                <w:vertAlign w:val="superscript"/>
              </w:rPr>
              <w:t>[20]</w:t>
            </w:r>
          </w:p>
        </w:tc>
        <w:tc>
          <w:tcPr>
            <w:tcW w:w="1350" w:type="dxa"/>
          </w:tcPr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Qualitative/</w:t>
            </w: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 xml:space="preserve">Thematic analysis of artist reports and patient observations </w:t>
            </w:r>
          </w:p>
        </w:tc>
        <w:tc>
          <w:tcPr>
            <w:tcW w:w="1350" w:type="dxa"/>
          </w:tcPr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Patients in palliative care inpatient service</w:t>
            </w: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(</w:t>
            </w:r>
            <w:r w:rsidRPr="005C5FE7">
              <w:rPr>
                <w:i/>
                <w:iCs/>
                <w:sz w:val="20"/>
                <w:szCs w:val="20"/>
              </w:rPr>
              <w:t>n</w:t>
            </w:r>
            <w:r w:rsidRPr="005C5FE7">
              <w:rPr>
                <w:sz w:val="20"/>
                <w:szCs w:val="20"/>
              </w:rPr>
              <w:t xml:space="preserve">=95) </w:t>
            </w:r>
          </w:p>
        </w:tc>
        <w:tc>
          <w:tcPr>
            <w:tcW w:w="990" w:type="dxa"/>
          </w:tcPr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 xml:space="preserve">Inpatient hospital </w:t>
            </w:r>
          </w:p>
        </w:tc>
        <w:tc>
          <w:tcPr>
            <w:tcW w:w="1530" w:type="dxa"/>
          </w:tcPr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 xml:space="preserve">Music (e.g. cello, flute, violin, harp, singing), fabric art, knitting, and guided imagery </w:t>
            </w:r>
          </w:p>
        </w:tc>
        <w:tc>
          <w:tcPr>
            <w:tcW w:w="2520" w:type="dxa"/>
          </w:tcPr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 xml:space="preserve">1) </w:t>
            </w:r>
            <w:r w:rsidRPr="005C5FE7">
              <w:rPr>
                <w:b/>
                <w:bCs/>
                <w:sz w:val="20"/>
                <w:szCs w:val="20"/>
              </w:rPr>
              <w:t>Patient-centered themes</w:t>
            </w:r>
            <w:r w:rsidRPr="005C5FE7">
              <w:rPr>
                <w:sz w:val="20"/>
                <w:szCs w:val="20"/>
              </w:rPr>
              <w:t xml:space="preserve"> relaxation, animation, spirituality, and gratitude</w:t>
            </w: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 xml:space="preserve">2) </w:t>
            </w:r>
            <w:r w:rsidRPr="005C5FE7">
              <w:rPr>
                <w:b/>
                <w:bCs/>
                <w:sz w:val="20"/>
                <w:szCs w:val="20"/>
              </w:rPr>
              <w:t>Artist-centered themes:</w:t>
            </w:r>
            <w:r w:rsidRPr="005C5FE7">
              <w:rPr>
                <w:sz w:val="20"/>
                <w:szCs w:val="20"/>
              </w:rPr>
              <w:t xml:space="preserve"> professional fulfillment, kinship, and empathy with patient suffering. </w:t>
            </w: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 xml:space="preserve">3) </w:t>
            </w:r>
            <w:r w:rsidRPr="005C5FE7">
              <w:rPr>
                <w:b/>
                <w:bCs/>
                <w:sz w:val="20"/>
                <w:szCs w:val="20"/>
              </w:rPr>
              <w:t>Patient–artist:</w:t>
            </w:r>
            <w:r w:rsidRPr="005C5FE7">
              <w:rPr>
                <w:sz w:val="20"/>
                <w:szCs w:val="20"/>
              </w:rPr>
              <w:t xml:space="preserve"> bonds and establishing trust. </w:t>
            </w: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 xml:space="preserve"> “slow time” and “slow listening”;</w:t>
            </w: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Allows for highly personalized care</w:t>
            </w:r>
          </w:p>
        </w:tc>
        <w:tc>
          <w:tcPr>
            <w:tcW w:w="1080" w:type="dxa"/>
          </w:tcPr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34</w:t>
            </w:r>
          </w:p>
        </w:tc>
      </w:tr>
      <w:tr w:rsidR="00AA0C95" w:rsidRPr="005C5FE7" w:rsidTr="00163D7A">
        <w:tc>
          <w:tcPr>
            <w:tcW w:w="1260" w:type="dxa"/>
            <w:vAlign w:val="center"/>
          </w:tcPr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lastRenderedPageBreak/>
              <w:t>Sanchez-Camus</w:t>
            </w: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(2011)</w:t>
            </w:r>
          </w:p>
          <w:p w:rsidR="00AA0C95" w:rsidRPr="005C5FE7" w:rsidRDefault="00AA0C95" w:rsidP="00163D7A">
            <w:pPr>
              <w:rPr>
                <w:sz w:val="20"/>
                <w:szCs w:val="20"/>
                <w:vertAlign w:val="superscript"/>
              </w:rPr>
            </w:pPr>
            <w:r w:rsidRPr="005C5FE7">
              <w:rPr>
                <w:sz w:val="20"/>
                <w:szCs w:val="20"/>
              </w:rPr>
              <w:t xml:space="preserve">England </w:t>
            </w:r>
            <w:r w:rsidRPr="005C5FE7">
              <w:rPr>
                <w:sz w:val="20"/>
                <w:szCs w:val="20"/>
                <w:vertAlign w:val="superscript"/>
              </w:rPr>
              <w:t>[50]</w:t>
            </w:r>
          </w:p>
        </w:tc>
        <w:tc>
          <w:tcPr>
            <w:tcW w:w="1350" w:type="dxa"/>
          </w:tcPr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Qualitative/Case study</w:t>
            </w:r>
          </w:p>
        </w:tc>
        <w:tc>
          <w:tcPr>
            <w:tcW w:w="1350" w:type="dxa"/>
          </w:tcPr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Hospice patients (</w:t>
            </w:r>
            <w:r w:rsidRPr="005C5FE7">
              <w:rPr>
                <w:i/>
                <w:iCs/>
                <w:sz w:val="20"/>
                <w:szCs w:val="20"/>
              </w:rPr>
              <w:t>n</w:t>
            </w:r>
            <w:r w:rsidRPr="005C5FE7">
              <w:rPr>
                <w:sz w:val="20"/>
                <w:szCs w:val="20"/>
              </w:rPr>
              <w:t>=2)</w:t>
            </w:r>
          </w:p>
        </w:tc>
        <w:tc>
          <w:tcPr>
            <w:tcW w:w="990" w:type="dxa"/>
          </w:tcPr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 xml:space="preserve">Hospice </w:t>
            </w:r>
          </w:p>
        </w:tc>
        <w:tc>
          <w:tcPr>
            <w:tcW w:w="1530" w:type="dxa"/>
          </w:tcPr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 xml:space="preserve">Painting in visual arts workshops </w:t>
            </w:r>
          </w:p>
        </w:tc>
        <w:tc>
          <w:tcPr>
            <w:tcW w:w="2520" w:type="dxa"/>
          </w:tcPr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b/>
                <w:bCs/>
                <w:sz w:val="20"/>
                <w:szCs w:val="20"/>
              </w:rPr>
              <w:t>Themes:</w:t>
            </w:r>
            <w:r w:rsidRPr="005C5FE7">
              <w:rPr>
                <w:sz w:val="20"/>
                <w:szCs w:val="20"/>
              </w:rPr>
              <w:t xml:space="preserve"> Discovery, Agency, Reassessment of their lives </w:t>
            </w: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</w:p>
          <w:p w:rsidR="00AA0C95" w:rsidRPr="005C5FE7" w:rsidRDefault="00AA0C95" w:rsidP="00163D7A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 xml:space="preserve">“enables the patient to become an active member in the management of their death process. </w:t>
            </w:r>
          </w:p>
          <w:p w:rsidR="00AA0C95" w:rsidRPr="005C5FE7" w:rsidRDefault="00AA0C95" w:rsidP="00163D7A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</w:p>
          <w:p w:rsidR="00AA0C95" w:rsidRPr="005C5FE7" w:rsidRDefault="00AA0C95" w:rsidP="00163D7A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 xml:space="preserve">“a collaborative endeavour” </w:t>
            </w: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 xml:space="preserve">“engages patients” </w:t>
            </w: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 xml:space="preserve">“a sense of control, accomplishment and appreciation” </w:t>
            </w: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“endless possibilities to learn and explore even while dying”</w:t>
            </w: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 xml:space="preserve">Rich and varied stories and memories; </w:t>
            </w: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“Art as archive”</w:t>
            </w:r>
          </w:p>
        </w:tc>
        <w:tc>
          <w:tcPr>
            <w:tcW w:w="1080" w:type="dxa"/>
          </w:tcPr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24</w:t>
            </w:r>
          </w:p>
        </w:tc>
      </w:tr>
      <w:tr w:rsidR="00AA0C95" w:rsidRPr="005C5FE7" w:rsidTr="00163D7A">
        <w:tc>
          <w:tcPr>
            <w:tcW w:w="1260" w:type="dxa"/>
            <w:vAlign w:val="center"/>
          </w:tcPr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Bolton</w:t>
            </w: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(2007)</w:t>
            </w:r>
          </w:p>
          <w:p w:rsidR="00AA0C95" w:rsidRPr="005C5FE7" w:rsidRDefault="00AA0C95" w:rsidP="00163D7A">
            <w:pPr>
              <w:rPr>
                <w:sz w:val="20"/>
                <w:szCs w:val="20"/>
                <w:vertAlign w:val="superscript"/>
              </w:rPr>
            </w:pPr>
            <w:r w:rsidRPr="005C5FE7">
              <w:rPr>
                <w:sz w:val="20"/>
                <w:szCs w:val="20"/>
              </w:rPr>
              <w:t xml:space="preserve">England </w:t>
            </w:r>
            <w:r w:rsidRPr="005C5FE7">
              <w:rPr>
                <w:sz w:val="20"/>
                <w:szCs w:val="20"/>
                <w:vertAlign w:val="superscript"/>
              </w:rPr>
              <w:t>[53]</w:t>
            </w:r>
          </w:p>
        </w:tc>
        <w:tc>
          <w:tcPr>
            <w:tcW w:w="1350" w:type="dxa"/>
          </w:tcPr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Qualitative</w:t>
            </w:r>
          </w:p>
        </w:tc>
        <w:tc>
          <w:tcPr>
            <w:tcW w:w="1350" w:type="dxa"/>
          </w:tcPr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Cancer patients receiving palliative care (</w:t>
            </w:r>
            <w:r w:rsidRPr="005C5FE7">
              <w:rPr>
                <w:i/>
                <w:iCs/>
                <w:sz w:val="20"/>
                <w:szCs w:val="20"/>
              </w:rPr>
              <w:t>n</w:t>
            </w:r>
            <w:r w:rsidRPr="005C5FE7">
              <w:rPr>
                <w:sz w:val="20"/>
                <w:szCs w:val="20"/>
              </w:rPr>
              <w:t>=24)</w:t>
            </w:r>
          </w:p>
        </w:tc>
        <w:tc>
          <w:tcPr>
            <w:tcW w:w="990" w:type="dxa"/>
          </w:tcPr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Hospital</w:t>
            </w:r>
          </w:p>
        </w:tc>
        <w:tc>
          <w:tcPr>
            <w:tcW w:w="1530" w:type="dxa"/>
          </w:tcPr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Therapeutic creative writing including fiction, poetry, autobiographical writing in a range of settings from one-to-one to groups and inpatient, hospice, home, and community</w:t>
            </w:r>
          </w:p>
        </w:tc>
        <w:tc>
          <w:tcPr>
            <w:tcW w:w="2520" w:type="dxa"/>
          </w:tcPr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 xml:space="preserve">Process of writing, talking about and reflecting on writing </w:t>
            </w: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“Discovered talent”; “Discovered what they thought, felt, and remembered”</w:t>
            </w: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“Essential reflection at a significant stage of their lives.”</w:t>
            </w: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</w:p>
          <w:p w:rsidR="00AA0C95" w:rsidRPr="005C5FE7" w:rsidRDefault="00AA0C95" w:rsidP="00163D7A">
            <w:pPr>
              <w:rPr>
                <w:bCs/>
                <w:sz w:val="20"/>
                <w:szCs w:val="20"/>
              </w:rPr>
            </w:pPr>
            <w:r w:rsidRPr="005C5FE7">
              <w:rPr>
                <w:bCs/>
                <w:sz w:val="20"/>
                <w:szCs w:val="20"/>
              </w:rPr>
              <w:t>“Coping”</w:t>
            </w:r>
          </w:p>
          <w:p w:rsidR="00AA0C95" w:rsidRPr="005C5FE7" w:rsidRDefault="00AA0C95" w:rsidP="00163D7A">
            <w:pPr>
              <w:rPr>
                <w:bCs/>
                <w:sz w:val="20"/>
                <w:szCs w:val="20"/>
              </w:rPr>
            </w:pP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“Expressed issues needing attention”</w:t>
            </w: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Self-confidence, self- esteem; “tackled difficult issues”</w:t>
            </w: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 xml:space="preserve">“Private nature of personal narrative” </w:t>
            </w:r>
          </w:p>
        </w:tc>
        <w:tc>
          <w:tcPr>
            <w:tcW w:w="1080" w:type="dxa"/>
          </w:tcPr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30</w:t>
            </w:r>
          </w:p>
        </w:tc>
      </w:tr>
      <w:tr w:rsidR="00AA0C95" w:rsidRPr="005C5FE7" w:rsidTr="00163D7A">
        <w:tc>
          <w:tcPr>
            <w:tcW w:w="1260" w:type="dxa"/>
            <w:vAlign w:val="center"/>
          </w:tcPr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Sinding et al. (2002)</w:t>
            </w:r>
          </w:p>
          <w:p w:rsidR="00AA0C95" w:rsidRPr="005C5FE7" w:rsidRDefault="00AA0C95" w:rsidP="00163D7A">
            <w:pPr>
              <w:rPr>
                <w:sz w:val="20"/>
                <w:szCs w:val="20"/>
                <w:vertAlign w:val="superscript"/>
              </w:rPr>
            </w:pPr>
            <w:r w:rsidRPr="005C5FE7">
              <w:rPr>
                <w:sz w:val="20"/>
                <w:szCs w:val="20"/>
              </w:rPr>
              <w:t xml:space="preserve">CA </w:t>
            </w:r>
            <w:r w:rsidRPr="005C5FE7">
              <w:rPr>
                <w:sz w:val="20"/>
                <w:szCs w:val="20"/>
                <w:vertAlign w:val="superscript"/>
              </w:rPr>
              <w:t>[49]</w:t>
            </w:r>
          </w:p>
        </w:tc>
        <w:tc>
          <w:tcPr>
            <w:tcW w:w="1350" w:type="dxa"/>
          </w:tcPr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Qualitative/</w:t>
            </w: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research-based theatre</w:t>
            </w:r>
          </w:p>
        </w:tc>
        <w:tc>
          <w:tcPr>
            <w:tcW w:w="1350" w:type="dxa"/>
          </w:tcPr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Women with MBC (</w:t>
            </w:r>
            <w:r w:rsidRPr="005C5FE7">
              <w:rPr>
                <w:i/>
                <w:iCs/>
                <w:sz w:val="20"/>
                <w:szCs w:val="20"/>
              </w:rPr>
              <w:t>n</w:t>
            </w:r>
            <w:r w:rsidRPr="005C5FE7">
              <w:rPr>
                <w:sz w:val="20"/>
                <w:szCs w:val="20"/>
              </w:rPr>
              <w:t xml:space="preserve">=2) </w:t>
            </w: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Women with BC (</w:t>
            </w:r>
            <w:r w:rsidRPr="005C5FE7">
              <w:rPr>
                <w:i/>
                <w:iCs/>
                <w:sz w:val="20"/>
                <w:szCs w:val="20"/>
              </w:rPr>
              <w:t>n</w:t>
            </w:r>
            <w:r w:rsidRPr="005C5FE7">
              <w:rPr>
                <w:sz w:val="20"/>
                <w:szCs w:val="20"/>
              </w:rPr>
              <w:t>=2)</w:t>
            </w:r>
          </w:p>
        </w:tc>
        <w:tc>
          <w:tcPr>
            <w:tcW w:w="990" w:type="dxa"/>
          </w:tcPr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 xml:space="preserve">Theatre rehearsal and performance space </w:t>
            </w:r>
          </w:p>
        </w:tc>
        <w:tc>
          <w:tcPr>
            <w:tcW w:w="1530" w:type="dxa"/>
          </w:tcPr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 xml:space="preserve">Theatre performance </w:t>
            </w:r>
          </w:p>
        </w:tc>
        <w:tc>
          <w:tcPr>
            <w:tcW w:w="2520" w:type="dxa"/>
          </w:tcPr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Rehearsing</w:t>
            </w: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“uncovering - making public”; making tangible</w:t>
            </w: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 xml:space="preserve">Congruence – “what I say with what I viscerally know”; </w:t>
            </w: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“Inner/outer”</w:t>
            </w: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“Meaning of illness temporarily changed”</w:t>
            </w: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“Moments of comfort and solace”</w:t>
            </w: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“caring and supportive feelings [ensemble]”</w:t>
            </w: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Asymmetry of disclosure (those with BC and those with MBC)</w:t>
            </w: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“story hard to tell”</w:t>
            </w: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Vulnerability: “unsupported” “unpleasant” “intensely difficult at times”</w:t>
            </w: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 xml:space="preserve">Fulfilling: </w:t>
            </w: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“I’m glad I hung in there” “virtue of hanging in, of getting and staying involved, of “acting” in relation to illness.”</w:t>
            </w: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Participatory models challenge traditional ethical frameworks; Rethink assumptions about harm</w:t>
            </w: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Stigma of cancer: alienating, dangerous, disruptive, unmanageable</w:t>
            </w: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Insight into patients’ lived experience can educate providers</w:t>
            </w:r>
          </w:p>
        </w:tc>
        <w:tc>
          <w:tcPr>
            <w:tcW w:w="1080" w:type="dxa"/>
          </w:tcPr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lastRenderedPageBreak/>
              <w:t>25</w:t>
            </w:r>
          </w:p>
        </w:tc>
      </w:tr>
      <w:tr w:rsidR="00AA0C95" w:rsidRPr="005C5FE7" w:rsidTr="00163D7A">
        <w:tc>
          <w:tcPr>
            <w:tcW w:w="1260" w:type="dxa"/>
            <w:vAlign w:val="center"/>
          </w:tcPr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Kennett</w:t>
            </w: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(2000)</w:t>
            </w:r>
          </w:p>
          <w:p w:rsidR="00AA0C95" w:rsidRPr="005C5FE7" w:rsidRDefault="00AA0C95" w:rsidP="00163D7A">
            <w:pPr>
              <w:rPr>
                <w:sz w:val="20"/>
                <w:szCs w:val="20"/>
                <w:vertAlign w:val="superscript"/>
              </w:rPr>
            </w:pPr>
            <w:r w:rsidRPr="005C5FE7">
              <w:rPr>
                <w:sz w:val="20"/>
                <w:szCs w:val="20"/>
              </w:rPr>
              <w:t xml:space="preserve">England </w:t>
            </w:r>
            <w:r w:rsidRPr="005C5FE7">
              <w:rPr>
                <w:sz w:val="20"/>
                <w:szCs w:val="20"/>
                <w:vertAlign w:val="superscript"/>
              </w:rPr>
              <w:t>[51]</w:t>
            </w:r>
          </w:p>
        </w:tc>
        <w:tc>
          <w:tcPr>
            <w:tcW w:w="1350" w:type="dxa"/>
          </w:tcPr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Qualitative/</w:t>
            </w: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Phenomenological/</w:t>
            </w: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In-depth semi-structured interviews</w:t>
            </w:r>
          </w:p>
        </w:tc>
        <w:tc>
          <w:tcPr>
            <w:tcW w:w="1350" w:type="dxa"/>
          </w:tcPr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Terminally ill patients in day hospice</w:t>
            </w: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(</w:t>
            </w:r>
            <w:r w:rsidRPr="005C5FE7">
              <w:rPr>
                <w:i/>
                <w:iCs/>
                <w:sz w:val="20"/>
                <w:szCs w:val="20"/>
              </w:rPr>
              <w:t>n</w:t>
            </w:r>
            <w:r w:rsidRPr="005C5FE7">
              <w:rPr>
                <w:sz w:val="20"/>
                <w:szCs w:val="20"/>
              </w:rPr>
              <w:t xml:space="preserve">=10); </w:t>
            </w: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Staff/tutors</w:t>
            </w: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(</w:t>
            </w:r>
            <w:r w:rsidRPr="005C5FE7">
              <w:rPr>
                <w:i/>
                <w:iCs/>
                <w:sz w:val="20"/>
                <w:szCs w:val="20"/>
              </w:rPr>
              <w:t>n</w:t>
            </w:r>
            <w:r w:rsidRPr="005C5FE7">
              <w:rPr>
                <w:sz w:val="20"/>
                <w:szCs w:val="20"/>
              </w:rPr>
              <w:t>=11)</w:t>
            </w: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(</w:t>
            </w:r>
            <w:r w:rsidRPr="005C5FE7">
              <w:rPr>
                <w:i/>
                <w:iCs/>
                <w:sz w:val="20"/>
                <w:szCs w:val="20"/>
              </w:rPr>
              <w:t>N</w:t>
            </w:r>
            <w:r w:rsidRPr="005C5FE7">
              <w:rPr>
                <w:sz w:val="20"/>
                <w:szCs w:val="20"/>
              </w:rPr>
              <w:t>=21)</w:t>
            </w:r>
          </w:p>
        </w:tc>
        <w:tc>
          <w:tcPr>
            <w:tcW w:w="990" w:type="dxa"/>
          </w:tcPr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 xml:space="preserve">Day hospice </w:t>
            </w:r>
          </w:p>
        </w:tc>
        <w:tc>
          <w:tcPr>
            <w:tcW w:w="1530" w:type="dxa"/>
          </w:tcPr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 xml:space="preserve">Visual and literary arts </w:t>
            </w:r>
          </w:p>
        </w:tc>
        <w:tc>
          <w:tcPr>
            <w:tcW w:w="2520" w:type="dxa"/>
          </w:tcPr>
          <w:p w:rsidR="00AA0C95" w:rsidRPr="005C5FE7" w:rsidRDefault="00AA0C95" w:rsidP="00163D7A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C5FE7">
              <w:rPr>
                <w:b/>
                <w:bCs/>
                <w:sz w:val="20"/>
                <w:szCs w:val="20"/>
              </w:rPr>
              <w:t>Patient themes:</w:t>
            </w:r>
            <w:r w:rsidRPr="005C5FE7">
              <w:rPr>
                <w:sz w:val="20"/>
                <w:szCs w:val="20"/>
              </w:rPr>
              <w:t xml:space="preserve"> </w:t>
            </w:r>
            <w:r w:rsidRPr="005C5FE7">
              <w:rPr>
                <w:sz w:val="20"/>
                <w:szCs w:val="20"/>
              </w:rPr>
              <w:br/>
              <w:t>• enjoyment, enthusiasm, excitement</w:t>
            </w:r>
          </w:p>
          <w:p w:rsidR="00AA0C95" w:rsidRPr="005C5FE7" w:rsidRDefault="00AA0C95" w:rsidP="00163D7A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• pride accompanied by a desire to produce the best work possible;</w:t>
            </w:r>
          </w:p>
          <w:p w:rsidR="00AA0C95" w:rsidRPr="005C5FE7" w:rsidRDefault="00AA0C95" w:rsidP="00163D7A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• surprise at the quality of work;</w:t>
            </w:r>
          </w:p>
          <w:p w:rsidR="00AA0C95" w:rsidRPr="005C5FE7" w:rsidRDefault="00AA0C95" w:rsidP="00163D7A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• achievement and acquisition of new skills;</w:t>
            </w:r>
          </w:p>
          <w:p w:rsidR="00AA0C95" w:rsidRPr="005C5FE7" w:rsidRDefault="00AA0C95" w:rsidP="00163D7A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• sense of purpose, incentive to achieve a goal;</w:t>
            </w:r>
          </w:p>
          <w:p w:rsidR="00AA0C95" w:rsidRPr="005C5FE7" w:rsidRDefault="00AA0C95" w:rsidP="00163D7A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• competition;</w:t>
            </w:r>
          </w:p>
          <w:p w:rsidR="00AA0C95" w:rsidRPr="005C5FE7" w:rsidRDefault="00AA0C95" w:rsidP="00163D7A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lastRenderedPageBreak/>
              <w:t>• valuing mutual support and sharing skills with others;</w:t>
            </w:r>
          </w:p>
          <w:p w:rsidR="00AA0C95" w:rsidRPr="005C5FE7" w:rsidRDefault="00AA0C95" w:rsidP="00163D7A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• some anxiety that the work may not be good enough;</w:t>
            </w:r>
          </w:p>
          <w:p w:rsidR="00AA0C95" w:rsidRPr="005C5FE7" w:rsidRDefault="00AA0C95" w:rsidP="00163D7A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• satisfaction in the permanence of the work;</w:t>
            </w: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• hope.</w:t>
            </w: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</w:p>
          <w:p w:rsidR="00AA0C95" w:rsidRPr="005C5FE7" w:rsidRDefault="00AA0C95" w:rsidP="00163D7A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A subgroup of above-identified themes: expressions of self-esteem, autonomy, social integration, and hope</w:t>
            </w: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Anticlimax when the exhibit was over</w:t>
            </w:r>
          </w:p>
        </w:tc>
        <w:tc>
          <w:tcPr>
            <w:tcW w:w="1080" w:type="dxa"/>
          </w:tcPr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lastRenderedPageBreak/>
              <w:t>32</w:t>
            </w:r>
          </w:p>
        </w:tc>
      </w:tr>
      <w:tr w:rsidR="00AA0C95" w:rsidRPr="005C5FE7" w:rsidTr="00163D7A">
        <w:tc>
          <w:tcPr>
            <w:tcW w:w="1260" w:type="dxa"/>
            <w:vAlign w:val="center"/>
          </w:tcPr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McLoughlin(2000)</w:t>
            </w:r>
          </w:p>
          <w:p w:rsidR="00AA0C95" w:rsidRPr="005C5FE7" w:rsidRDefault="00AA0C95" w:rsidP="00163D7A">
            <w:pPr>
              <w:rPr>
                <w:sz w:val="20"/>
                <w:szCs w:val="20"/>
                <w:vertAlign w:val="superscript"/>
              </w:rPr>
            </w:pPr>
            <w:r w:rsidRPr="005C5FE7">
              <w:rPr>
                <w:sz w:val="20"/>
                <w:szCs w:val="20"/>
              </w:rPr>
              <w:t xml:space="preserve">England </w:t>
            </w:r>
            <w:r w:rsidRPr="005C5FE7">
              <w:rPr>
                <w:sz w:val="20"/>
                <w:szCs w:val="20"/>
                <w:vertAlign w:val="superscript"/>
              </w:rPr>
              <w:t>[52]</w:t>
            </w:r>
          </w:p>
        </w:tc>
        <w:tc>
          <w:tcPr>
            <w:tcW w:w="1350" w:type="dxa"/>
          </w:tcPr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Qualitative</w:t>
            </w:r>
          </w:p>
        </w:tc>
        <w:tc>
          <w:tcPr>
            <w:tcW w:w="1350" w:type="dxa"/>
          </w:tcPr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Patients in day hospice (</w:t>
            </w:r>
            <w:r w:rsidRPr="005C5FE7">
              <w:rPr>
                <w:i/>
                <w:iCs/>
                <w:sz w:val="20"/>
                <w:szCs w:val="20"/>
              </w:rPr>
              <w:t>n</w:t>
            </w:r>
            <w:r w:rsidRPr="005C5FE7">
              <w:rPr>
                <w:sz w:val="20"/>
                <w:szCs w:val="20"/>
              </w:rPr>
              <w:t>=NA)</w:t>
            </w:r>
          </w:p>
        </w:tc>
        <w:tc>
          <w:tcPr>
            <w:tcW w:w="990" w:type="dxa"/>
          </w:tcPr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 xml:space="preserve">Day hospice </w:t>
            </w:r>
          </w:p>
        </w:tc>
        <w:tc>
          <w:tcPr>
            <w:tcW w:w="1530" w:type="dxa"/>
          </w:tcPr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Creative writing in small group</w:t>
            </w:r>
          </w:p>
        </w:tc>
        <w:tc>
          <w:tcPr>
            <w:tcW w:w="2520" w:type="dxa"/>
          </w:tcPr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 xml:space="preserve">Writing group provides time out from illness; enjoyment in literature; patients as individuals; </w:t>
            </w: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 xml:space="preserve">Group provides a place to reduce isolation and spontaneity, surprise, play, control, reverie and </w:t>
            </w: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concentration</w:t>
            </w: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Consistency is key</w:t>
            </w: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</w:p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Expressed emotion over time</w:t>
            </w:r>
          </w:p>
        </w:tc>
        <w:tc>
          <w:tcPr>
            <w:tcW w:w="1080" w:type="dxa"/>
          </w:tcPr>
          <w:p w:rsidR="00AA0C95" w:rsidRPr="005C5FE7" w:rsidRDefault="00AA0C95" w:rsidP="00163D7A">
            <w:pPr>
              <w:rPr>
                <w:sz w:val="20"/>
                <w:szCs w:val="20"/>
              </w:rPr>
            </w:pPr>
            <w:r w:rsidRPr="005C5FE7">
              <w:rPr>
                <w:sz w:val="20"/>
                <w:szCs w:val="20"/>
              </w:rPr>
              <w:t>20</w:t>
            </w:r>
          </w:p>
        </w:tc>
      </w:tr>
    </w:tbl>
    <w:p w:rsidR="00AA0C95" w:rsidRPr="005C5FE7" w:rsidRDefault="00AA0C95" w:rsidP="00AA0C95">
      <w:pPr>
        <w:spacing w:line="360" w:lineRule="auto"/>
      </w:pPr>
      <w:r w:rsidRPr="005C5FE7">
        <w:rPr>
          <w:i/>
          <w:iCs/>
        </w:rPr>
        <w:t>Note.</w:t>
      </w:r>
      <w:r w:rsidRPr="005C5FE7">
        <w:t xml:space="preserve"> BC = breast cancer; EOL = EOL; MBC = metastatic breast cancer;  NR = not reported</w:t>
      </w:r>
    </w:p>
    <w:p w:rsidR="00AA0C95" w:rsidRPr="005C5FE7" w:rsidRDefault="00AA0C95" w:rsidP="00AA0C95">
      <w:pPr>
        <w:rPr>
          <w:color w:val="000000" w:themeColor="text1"/>
        </w:rPr>
      </w:pPr>
    </w:p>
    <w:p w:rsidR="00AA0C95" w:rsidRPr="005C5FE7" w:rsidRDefault="00AA0C95" w:rsidP="00AA0C95">
      <w:r w:rsidRPr="005C5FE7">
        <w:rPr>
          <w:b/>
          <w:bCs/>
          <w:color w:val="000000" w:themeColor="text1"/>
        </w:rPr>
        <w:t>Appendix 2: Table 4.</w:t>
      </w:r>
      <w:r w:rsidRPr="005C5FE7">
        <w:rPr>
          <w:color w:val="000000" w:themeColor="text1"/>
        </w:rPr>
        <w:t xml:space="preserve"> </w:t>
      </w:r>
      <w:r w:rsidRPr="005C5FE7">
        <w:t>Key findings and study limitations (</w:t>
      </w:r>
      <w:r w:rsidRPr="005C5FE7">
        <w:rPr>
          <w:i/>
          <w:iCs/>
        </w:rPr>
        <w:t>N</w:t>
      </w:r>
      <w:r w:rsidRPr="005C5FE7">
        <w:t>=8)</w:t>
      </w:r>
    </w:p>
    <w:p w:rsidR="00AA0C95" w:rsidRPr="005C5FE7" w:rsidRDefault="00AA0C95" w:rsidP="00AA0C95"/>
    <w:tbl>
      <w:tblPr>
        <w:tblStyle w:val="TableGridLight"/>
        <w:tblW w:w="8771" w:type="dxa"/>
        <w:tblInd w:w="-275" w:type="dxa"/>
        <w:tblLook w:val="04A0" w:firstRow="1" w:lastRow="0" w:firstColumn="1" w:lastColumn="0" w:noHBand="0" w:noVBand="1"/>
      </w:tblPr>
      <w:tblGrid>
        <w:gridCol w:w="1751"/>
        <w:gridCol w:w="4140"/>
        <w:gridCol w:w="2880"/>
      </w:tblGrid>
      <w:tr w:rsidR="00AA0C95" w:rsidRPr="005C5FE7" w:rsidTr="00163D7A">
        <w:tc>
          <w:tcPr>
            <w:tcW w:w="1751" w:type="dxa"/>
          </w:tcPr>
          <w:p w:rsidR="00AA0C95" w:rsidRPr="005C5FE7" w:rsidRDefault="00AA0C95" w:rsidP="00163D7A">
            <w:pPr>
              <w:rPr>
                <w:b/>
                <w:bCs/>
              </w:rPr>
            </w:pPr>
            <w:r w:rsidRPr="005C5FE7">
              <w:rPr>
                <w:b/>
                <w:bCs/>
              </w:rPr>
              <w:t xml:space="preserve">Author (Year) Country </w:t>
            </w:r>
          </w:p>
        </w:tc>
        <w:tc>
          <w:tcPr>
            <w:tcW w:w="4140" w:type="dxa"/>
          </w:tcPr>
          <w:p w:rsidR="00AA0C95" w:rsidRPr="005C5FE7" w:rsidRDefault="00AA0C95" w:rsidP="00163D7A">
            <w:pPr>
              <w:rPr>
                <w:b/>
                <w:bCs/>
              </w:rPr>
            </w:pPr>
            <w:r w:rsidRPr="005C5FE7">
              <w:rPr>
                <w:b/>
                <w:bCs/>
              </w:rPr>
              <w:t>Key findings</w:t>
            </w:r>
          </w:p>
        </w:tc>
        <w:tc>
          <w:tcPr>
            <w:tcW w:w="2880" w:type="dxa"/>
          </w:tcPr>
          <w:p w:rsidR="00AA0C95" w:rsidRPr="005C5FE7" w:rsidRDefault="00AA0C95" w:rsidP="00163D7A">
            <w:pPr>
              <w:rPr>
                <w:b/>
                <w:bCs/>
              </w:rPr>
            </w:pPr>
            <w:r w:rsidRPr="005C5FE7">
              <w:rPr>
                <w:b/>
                <w:bCs/>
              </w:rPr>
              <w:t>Limitations</w:t>
            </w:r>
          </w:p>
        </w:tc>
      </w:tr>
      <w:tr w:rsidR="00AA0C95" w:rsidRPr="005C5FE7" w:rsidTr="00163D7A">
        <w:trPr>
          <w:trHeight w:val="338"/>
        </w:trPr>
        <w:tc>
          <w:tcPr>
            <w:tcW w:w="1751" w:type="dxa"/>
          </w:tcPr>
          <w:p w:rsidR="00AA0C95" w:rsidRPr="005C5FE7" w:rsidRDefault="00AA0C95" w:rsidP="00163D7A">
            <w:r w:rsidRPr="005C5FE7">
              <w:t xml:space="preserve">Pommeret et al., 2019, France </w:t>
            </w:r>
          </w:p>
        </w:tc>
        <w:tc>
          <w:tcPr>
            <w:tcW w:w="4140" w:type="dxa"/>
          </w:tcPr>
          <w:p w:rsidR="00AA0C95" w:rsidRPr="005C5FE7" w:rsidRDefault="00AA0C95" w:rsidP="00163D7A">
            <w:r w:rsidRPr="005C5FE7">
              <w:t xml:space="preserve">Brought joy and well-being to the palliative care unit. </w:t>
            </w:r>
          </w:p>
          <w:p w:rsidR="00AA0C95" w:rsidRPr="005C5FE7" w:rsidRDefault="00AA0C95" w:rsidP="00163D7A">
            <w:r w:rsidRPr="005C5FE7">
              <w:t>Patients also encountered difficulties during the intervention: reference to an altered general state, to loss of autonomy</w:t>
            </w:r>
            <w:r w:rsidRPr="005C5FE7">
              <w:rPr>
                <w:b/>
                <w:bCs/>
              </w:rPr>
              <w:t>;</w:t>
            </w:r>
            <w:r w:rsidRPr="005C5FE7">
              <w:t xml:space="preserve"> a sense of the effort required, of fatigue; an adaptation period; reference to the end of life, to death; a difficulty in choosing songs.</w:t>
            </w:r>
          </w:p>
        </w:tc>
        <w:tc>
          <w:tcPr>
            <w:tcW w:w="2880" w:type="dxa"/>
          </w:tcPr>
          <w:p w:rsidR="00AA0C95" w:rsidRPr="005C5FE7" w:rsidRDefault="00AA0C95" w:rsidP="00163D7A">
            <w:r w:rsidRPr="005C5FE7">
              <w:t>Small number of participants</w:t>
            </w:r>
          </w:p>
          <w:p w:rsidR="00AA0C95" w:rsidRPr="005C5FE7" w:rsidRDefault="00AA0C95" w:rsidP="00163D7A"/>
          <w:p w:rsidR="00AA0C95" w:rsidRPr="005C5FE7" w:rsidRDefault="00AA0C95" w:rsidP="00163D7A">
            <w:r w:rsidRPr="005C5FE7">
              <w:t xml:space="preserve">Investigator was the unit psychologist, potentially increasing “desirability bias” </w:t>
            </w:r>
          </w:p>
          <w:p w:rsidR="00AA0C95" w:rsidRPr="005C5FE7" w:rsidRDefault="00AA0C95" w:rsidP="00163D7A"/>
          <w:p w:rsidR="00AA0C95" w:rsidRPr="005C5FE7" w:rsidRDefault="00AA0C95" w:rsidP="00163D7A"/>
        </w:tc>
      </w:tr>
      <w:tr w:rsidR="00AA0C95" w:rsidRPr="005C5FE7" w:rsidTr="00163D7A">
        <w:trPr>
          <w:trHeight w:val="338"/>
        </w:trPr>
        <w:tc>
          <w:tcPr>
            <w:tcW w:w="1751" w:type="dxa"/>
            <w:vMerge w:val="restart"/>
          </w:tcPr>
          <w:p w:rsidR="00AA0C95" w:rsidRPr="005C5FE7" w:rsidRDefault="00AA0C95" w:rsidP="00163D7A">
            <w:r w:rsidRPr="005C5FE7">
              <w:t>Peng et al., 2019</w:t>
            </w:r>
          </w:p>
          <w:p w:rsidR="00AA0C95" w:rsidRPr="005C5FE7" w:rsidRDefault="00AA0C95" w:rsidP="00163D7A">
            <w:r w:rsidRPr="005C5FE7">
              <w:t>United States</w:t>
            </w:r>
          </w:p>
        </w:tc>
        <w:tc>
          <w:tcPr>
            <w:tcW w:w="4140" w:type="dxa"/>
          </w:tcPr>
          <w:p w:rsidR="00AA0C95" w:rsidRPr="005C5FE7" w:rsidRDefault="00AA0C95" w:rsidP="00163D7A">
            <w:r w:rsidRPr="005C5FE7">
              <w:t xml:space="preserve">Music as non-pharmacological symptom management in palliative care </w:t>
            </w:r>
          </w:p>
          <w:p w:rsidR="00AA0C95" w:rsidRPr="005C5FE7" w:rsidRDefault="00AA0C95" w:rsidP="00163D7A">
            <w:r w:rsidRPr="005C5FE7">
              <w:t>Decrease in opioid use</w:t>
            </w:r>
          </w:p>
          <w:p w:rsidR="00AA0C95" w:rsidRPr="005C5FE7" w:rsidRDefault="00AA0C95" w:rsidP="00163D7A">
            <w:r w:rsidRPr="005C5FE7">
              <w:lastRenderedPageBreak/>
              <w:t>Decrease in reported pain, anxiety, nausea, shortness of breath, feelings of depression</w:t>
            </w:r>
          </w:p>
          <w:p w:rsidR="00AA0C95" w:rsidRPr="005C5FE7" w:rsidRDefault="00AA0C95" w:rsidP="00163D7A">
            <w:r w:rsidRPr="005C5FE7">
              <w:t xml:space="preserve">Significant increase in wellbeing </w:t>
            </w:r>
          </w:p>
        </w:tc>
        <w:tc>
          <w:tcPr>
            <w:tcW w:w="2880" w:type="dxa"/>
            <w:vMerge w:val="restart"/>
          </w:tcPr>
          <w:p w:rsidR="00AA0C95" w:rsidRPr="005C5FE7" w:rsidRDefault="00AA0C95" w:rsidP="00163D7A">
            <w:r w:rsidRPr="005C5FE7">
              <w:lastRenderedPageBreak/>
              <w:t>Small cohort due to low patient census</w:t>
            </w:r>
          </w:p>
          <w:p w:rsidR="00AA0C95" w:rsidRPr="005C5FE7" w:rsidRDefault="00AA0C95" w:rsidP="00163D7A">
            <w:r w:rsidRPr="005C5FE7">
              <w:t>No control group</w:t>
            </w:r>
          </w:p>
          <w:p w:rsidR="00AA0C95" w:rsidRPr="005C5FE7" w:rsidRDefault="00AA0C95" w:rsidP="00163D7A"/>
          <w:p w:rsidR="00AA0C95" w:rsidRPr="005C5FE7" w:rsidRDefault="00AA0C95" w:rsidP="00163D7A">
            <w:r w:rsidRPr="005C5FE7">
              <w:t>Challenges isolating variables, for example, benefits of live music versus the presence of a musician</w:t>
            </w:r>
          </w:p>
        </w:tc>
      </w:tr>
      <w:tr w:rsidR="00AA0C95" w:rsidRPr="005C5FE7" w:rsidTr="00163D7A">
        <w:trPr>
          <w:trHeight w:val="338"/>
        </w:trPr>
        <w:tc>
          <w:tcPr>
            <w:tcW w:w="1751" w:type="dxa"/>
            <w:vMerge/>
          </w:tcPr>
          <w:p w:rsidR="00AA0C95" w:rsidRPr="005C5FE7" w:rsidRDefault="00AA0C95" w:rsidP="00163D7A"/>
        </w:tc>
        <w:tc>
          <w:tcPr>
            <w:tcW w:w="4140" w:type="dxa"/>
          </w:tcPr>
          <w:p w:rsidR="00AA0C95" w:rsidRPr="005C5FE7" w:rsidRDefault="00AA0C95" w:rsidP="00163D7A">
            <w:r w:rsidRPr="005C5FE7">
              <w:t>Themes: spirituality, comfort, relaxation, escape, and reflection</w:t>
            </w:r>
          </w:p>
        </w:tc>
        <w:tc>
          <w:tcPr>
            <w:tcW w:w="2880" w:type="dxa"/>
            <w:vMerge/>
          </w:tcPr>
          <w:p w:rsidR="00AA0C95" w:rsidRPr="005C5FE7" w:rsidRDefault="00AA0C95" w:rsidP="00163D7A"/>
        </w:tc>
      </w:tr>
      <w:tr w:rsidR="00AA0C95" w:rsidRPr="005C5FE7" w:rsidTr="00163D7A">
        <w:tc>
          <w:tcPr>
            <w:tcW w:w="1751" w:type="dxa"/>
            <w:vAlign w:val="center"/>
          </w:tcPr>
          <w:p w:rsidR="00AA0C95" w:rsidRPr="005C5FE7" w:rsidRDefault="00AA0C95" w:rsidP="00163D7A">
            <w:r w:rsidRPr="005C5FE7">
              <w:t>Anderson et al. (2017)</w:t>
            </w:r>
          </w:p>
          <w:p w:rsidR="00AA0C95" w:rsidRPr="005C5FE7" w:rsidRDefault="00AA0C95" w:rsidP="00163D7A">
            <w:r w:rsidRPr="005C5FE7">
              <w:t xml:space="preserve">United States </w:t>
            </w:r>
            <w:r w:rsidRPr="005C5FE7">
              <w:rPr>
                <w:vertAlign w:val="superscript"/>
              </w:rPr>
              <w:t>[20]</w:t>
            </w:r>
          </w:p>
        </w:tc>
        <w:tc>
          <w:tcPr>
            <w:tcW w:w="4140" w:type="dxa"/>
          </w:tcPr>
          <w:p w:rsidR="00AA0C95" w:rsidRPr="005C5FE7" w:rsidRDefault="00AA0C95" w:rsidP="00163D7A">
            <w:r w:rsidRPr="005C5FE7">
              <w:t xml:space="preserve">Patient themes: Artists observed physical, emotional, and spiritual responses in patients including relaxation, invigoration, and accessing spirituality, unique to artist-patient interaction. </w:t>
            </w:r>
          </w:p>
          <w:p w:rsidR="00AA0C95" w:rsidRPr="005C5FE7" w:rsidRDefault="00AA0C95" w:rsidP="00163D7A"/>
          <w:p w:rsidR="00AA0C95" w:rsidRPr="005C5FE7" w:rsidRDefault="00AA0C95" w:rsidP="00163D7A">
            <w:r w:rsidRPr="005C5FE7">
              <w:t xml:space="preserve">Artist themes: professional fulfillment, kinship, and empathy with patient suffering. </w:t>
            </w:r>
          </w:p>
          <w:p w:rsidR="00AA0C95" w:rsidRPr="005C5FE7" w:rsidRDefault="00AA0C95" w:rsidP="00163D7A"/>
          <w:p w:rsidR="00AA0C95" w:rsidRPr="005C5FE7" w:rsidRDefault="00AA0C95" w:rsidP="00163D7A">
            <w:r w:rsidRPr="005C5FE7">
              <w:t>Artist-patient bond and trust with patients</w:t>
            </w:r>
          </w:p>
        </w:tc>
        <w:tc>
          <w:tcPr>
            <w:tcW w:w="2880" w:type="dxa"/>
          </w:tcPr>
          <w:p w:rsidR="00AA0C95" w:rsidRPr="005C5FE7" w:rsidRDefault="00AA0C95" w:rsidP="00163D7A">
            <w:r w:rsidRPr="005C5FE7">
              <w:t>Patient observations by artists who facilitate the interaction observed may present bias</w:t>
            </w:r>
          </w:p>
          <w:p w:rsidR="00AA0C95" w:rsidRPr="005C5FE7" w:rsidRDefault="00AA0C95" w:rsidP="00163D7A"/>
          <w:p w:rsidR="00AA0C95" w:rsidRPr="005C5FE7" w:rsidRDefault="00AA0C95" w:rsidP="00163D7A">
            <w:r w:rsidRPr="005C5FE7">
              <w:t>Difficult to compare across artistic disciplines</w:t>
            </w:r>
          </w:p>
          <w:p w:rsidR="00AA0C95" w:rsidRPr="005C5FE7" w:rsidRDefault="00AA0C95" w:rsidP="00163D7A"/>
          <w:p w:rsidR="00AA0C95" w:rsidRPr="005C5FE7" w:rsidRDefault="00AA0C95" w:rsidP="00163D7A">
            <w:r w:rsidRPr="005C5FE7">
              <w:t>No direct input from patients or health professionals</w:t>
            </w:r>
          </w:p>
        </w:tc>
      </w:tr>
      <w:tr w:rsidR="00AA0C95" w:rsidRPr="005C5FE7" w:rsidTr="00163D7A">
        <w:tc>
          <w:tcPr>
            <w:tcW w:w="1751" w:type="dxa"/>
            <w:vAlign w:val="center"/>
          </w:tcPr>
          <w:p w:rsidR="00AA0C95" w:rsidRPr="005C5FE7" w:rsidRDefault="00AA0C95" w:rsidP="00163D7A">
            <w:r w:rsidRPr="005C5FE7">
              <w:t>Sanchez-Camus</w:t>
            </w:r>
          </w:p>
          <w:p w:rsidR="00AA0C95" w:rsidRPr="005C5FE7" w:rsidRDefault="00AA0C95" w:rsidP="00163D7A">
            <w:r w:rsidRPr="005C5FE7">
              <w:t>(2011)</w:t>
            </w:r>
          </w:p>
          <w:p w:rsidR="00AA0C95" w:rsidRPr="005C5FE7" w:rsidRDefault="00AA0C95" w:rsidP="00163D7A">
            <w:r w:rsidRPr="005C5FE7">
              <w:t xml:space="preserve">England </w:t>
            </w:r>
            <w:r w:rsidRPr="005C5FE7">
              <w:rPr>
                <w:vertAlign w:val="superscript"/>
              </w:rPr>
              <w:t>[50]</w:t>
            </w:r>
          </w:p>
        </w:tc>
        <w:tc>
          <w:tcPr>
            <w:tcW w:w="4140" w:type="dxa"/>
          </w:tcPr>
          <w:p w:rsidR="00AA0C95" w:rsidRPr="005C5FE7" w:rsidRDefault="00AA0C95" w:rsidP="00163D7A">
            <w:r w:rsidRPr="005C5FE7">
              <w:t>Themes: Creative process assists dying person in dealing with complexities of transitional phase</w:t>
            </w:r>
          </w:p>
          <w:p w:rsidR="00AA0C95" w:rsidRPr="005C5FE7" w:rsidRDefault="00AA0C95" w:rsidP="00163D7A">
            <w:r w:rsidRPr="005C5FE7">
              <w:t>Art-making allows objectivity and critical thinking, placemaking through memory, legacy, new narration of life when faced with death</w:t>
            </w:r>
          </w:p>
        </w:tc>
        <w:tc>
          <w:tcPr>
            <w:tcW w:w="2880" w:type="dxa"/>
          </w:tcPr>
          <w:p w:rsidR="00AA0C95" w:rsidRPr="005C5FE7" w:rsidRDefault="00AA0C95" w:rsidP="00163D7A">
            <w:r w:rsidRPr="005C5FE7">
              <w:t>Two case studies in very different contexts</w:t>
            </w:r>
          </w:p>
          <w:p w:rsidR="00AA0C95" w:rsidRPr="005C5FE7" w:rsidRDefault="00AA0C95" w:rsidP="00163D7A"/>
          <w:p w:rsidR="00AA0C95" w:rsidRPr="005C5FE7" w:rsidRDefault="00AA0C95" w:rsidP="00163D7A">
            <w:r w:rsidRPr="005C5FE7">
              <w:t>Highly conceptual and lacking concrete detail about practice</w:t>
            </w:r>
          </w:p>
        </w:tc>
      </w:tr>
      <w:tr w:rsidR="00AA0C95" w:rsidRPr="005C5FE7" w:rsidTr="00163D7A">
        <w:tc>
          <w:tcPr>
            <w:tcW w:w="1751" w:type="dxa"/>
            <w:vAlign w:val="center"/>
          </w:tcPr>
          <w:p w:rsidR="00AA0C95" w:rsidRPr="005C5FE7" w:rsidRDefault="00AA0C95" w:rsidP="00163D7A">
            <w:pPr>
              <w:rPr>
                <w:color w:val="000000"/>
              </w:rPr>
            </w:pPr>
            <w:r w:rsidRPr="005C5FE7">
              <w:rPr>
                <w:color w:val="000000"/>
              </w:rPr>
              <w:t xml:space="preserve">Bolton, </w:t>
            </w:r>
          </w:p>
          <w:p w:rsidR="00AA0C95" w:rsidRPr="005C5FE7" w:rsidRDefault="00AA0C95" w:rsidP="00163D7A">
            <w:pPr>
              <w:rPr>
                <w:color w:val="000000"/>
              </w:rPr>
            </w:pPr>
            <w:r w:rsidRPr="005C5FE7">
              <w:rPr>
                <w:color w:val="000000"/>
              </w:rPr>
              <w:t>(2007)</w:t>
            </w:r>
          </w:p>
          <w:p w:rsidR="00AA0C95" w:rsidRPr="005C5FE7" w:rsidRDefault="00AA0C95" w:rsidP="00163D7A">
            <w:r w:rsidRPr="005C5FE7">
              <w:t>England</w:t>
            </w:r>
          </w:p>
        </w:tc>
        <w:tc>
          <w:tcPr>
            <w:tcW w:w="4140" w:type="dxa"/>
          </w:tcPr>
          <w:p w:rsidR="00AA0C95" w:rsidRPr="005C5FE7" w:rsidRDefault="00AA0C95" w:rsidP="00163D7A">
            <w:r w:rsidRPr="005C5FE7">
              <w:t>Engaging in writing, as well as talking about writing, provided essential reflection at a significant stage in patients’ lives</w:t>
            </w:r>
          </w:p>
          <w:p w:rsidR="00AA0C95" w:rsidRPr="005C5FE7" w:rsidRDefault="00AA0C95" w:rsidP="00163D7A">
            <w:r w:rsidRPr="005C5FE7">
              <w:t>Facilitated patients’ ability and opportunity to discover what they thought, felt, and remembered</w:t>
            </w:r>
          </w:p>
          <w:p w:rsidR="00AA0C95" w:rsidRPr="005C5FE7" w:rsidRDefault="00AA0C95" w:rsidP="00163D7A">
            <w:r w:rsidRPr="005C5FE7">
              <w:t>Enhanced awareness of, and ability to, express issues to which focused attention needed to be paid</w:t>
            </w:r>
          </w:p>
          <w:p w:rsidR="00AA0C95" w:rsidRPr="005C5FE7" w:rsidRDefault="00AA0C95" w:rsidP="00163D7A">
            <w:r w:rsidRPr="005C5FE7">
              <w:t>Offered satisfaction and fulfillment of creative expression and exploration and the production of writing which to them and close others were vital</w:t>
            </w:r>
          </w:p>
        </w:tc>
        <w:tc>
          <w:tcPr>
            <w:tcW w:w="2880" w:type="dxa"/>
          </w:tcPr>
          <w:p w:rsidR="00AA0C95" w:rsidRPr="005C5FE7" w:rsidRDefault="00AA0C95" w:rsidP="00163D7A">
            <w:r w:rsidRPr="005C5FE7">
              <w:t>Lack of clarity around role and scope of practice of the author noted as “researcher therapist writer”</w:t>
            </w:r>
          </w:p>
          <w:p w:rsidR="00AA0C95" w:rsidRPr="005C5FE7" w:rsidRDefault="00AA0C95" w:rsidP="00163D7A"/>
          <w:p w:rsidR="00AA0C95" w:rsidRPr="005C5FE7" w:rsidRDefault="00AA0C95" w:rsidP="00163D7A">
            <w:r w:rsidRPr="005C5FE7">
              <w:t xml:space="preserve">Use of the term “therapeutic” </w:t>
            </w:r>
          </w:p>
        </w:tc>
      </w:tr>
      <w:tr w:rsidR="00AA0C95" w:rsidRPr="005C5FE7" w:rsidTr="00163D7A">
        <w:tc>
          <w:tcPr>
            <w:tcW w:w="1751" w:type="dxa"/>
            <w:vAlign w:val="center"/>
          </w:tcPr>
          <w:p w:rsidR="00AA0C95" w:rsidRPr="005C5FE7" w:rsidRDefault="00AA0C95" w:rsidP="00163D7A">
            <w:r w:rsidRPr="005C5FE7">
              <w:t>Sinding et al. (2002)</w:t>
            </w:r>
          </w:p>
          <w:p w:rsidR="00AA0C95" w:rsidRPr="005C5FE7" w:rsidRDefault="00AA0C95" w:rsidP="00163D7A">
            <w:pPr>
              <w:rPr>
                <w:color w:val="000000"/>
              </w:rPr>
            </w:pPr>
            <w:r w:rsidRPr="005C5FE7">
              <w:t xml:space="preserve">CA </w:t>
            </w:r>
            <w:r w:rsidRPr="005C5FE7">
              <w:rPr>
                <w:vertAlign w:val="superscript"/>
              </w:rPr>
              <w:t>[49]</w:t>
            </w:r>
          </w:p>
        </w:tc>
        <w:tc>
          <w:tcPr>
            <w:tcW w:w="4140" w:type="dxa"/>
          </w:tcPr>
          <w:p w:rsidR="00AA0C95" w:rsidRPr="005C5FE7" w:rsidRDefault="00AA0C95" w:rsidP="00163D7A">
            <w:r w:rsidRPr="005C5FE7">
              <w:t xml:space="preserve">Theatre as rehearsing behavior </w:t>
            </w:r>
          </w:p>
          <w:p w:rsidR="00AA0C95" w:rsidRPr="005C5FE7" w:rsidRDefault="00AA0C95" w:rsidP="00163D7A">
            <w:r w:rsidRPr="005C5FE7">
              <w:t>Making tangible</w:t>
            </w:r>
          </w:p>
          <w:p w:rsidR="00AA0C95" w:rsidRPr="005C5FE7" w:rsidRDefault="00AA0C95" w:rsidP="00163D7A">
            <w:r w:rsidRPr="005C5FE7">
              <w:t>Congruence of inner and outer – “what I say with what I viscerally know”</w:t>
            </w:r>
          </w:p>
          <w:p w:rsidR="00AA0C95" w:rsidRPr="005C5FE7" w:rsidRDefault="00AA0C95" w:rsidP="00163D7A">
            <w:r w:rsidRPr="005C5FE7">
              <w:t>Meaning-making</w:t>
            </w:r>
          </w:p>
          <w:p w:rsidR="00AA0C95" w:rsidRPr="005C5FE7" w:rsidRDefault="00AA0C95" w:rsidP="00163D7A">
            <w:r w:rsidRPr="005C5FE7">
              <w:t>Moments of comfort and solace</w:t>
            </w:r>
          </w:p>
          <w:p w:rsidR="00AA0C95" w:rsidRPr="005C5FE7" w:rsidRDefault="00AA0C95" w:rsidP="00163D7A">
            <w:r w:rsidRPr="005C5FE7">
              <w:lastRenderedPageBreak/>
              <w:t>Social cohesion: “caring and supportive feelings from [ensemble]”</w:t>
            </w:r>
          </w:p>
          <w:p w:rsidR="00AA0C95" w:rsidRPr="005C5FE7" w:rsidRDefault="00AA0C95" w:rsidP="00163D7A"/>
          <w:p w:rsidR="00AA0C95" w:rsidRPr="005C5FE7" w:rsidRDefault="00AA0C95" w:rsidP="00163D7A">
            <w:r w:rsidRPr="005C5FE7">
              <w:t>I’m glad I hung in there” - fulfilling</w:t>
            </w:r>
          </w:p>
          <w:p w:rsidR="00AA0C95" w:rsidRPr="005C5FE7" w:rsidRDefault="00AA0C95" w:rsidP="00163D7A"/>
          <w:p w:rsidR="00AA0C95" w:rsidRPr="005C5FE7" w:rsidRDefault="00AA0C95" w:rsidP="00163D7A">
            <w:r w:rsidRPr="005C5FE7">
              <w:t>Rethink assumptions about harm;</w:t>
            </w:r>
          </w:p>
          <w:p w:rsidR="00AA0C95" w:rsidRPr="005C5FE7" w:rsidRDefault="00AA0C95" w:rsidP="00163D7A">
            <w:r w:rsidRPr="005C5FE7">
              <w:t>Insight into patients’ lived experience educates providers</w:t>
            </w:r>
          </w:p>
        </w:tc>
        <w:tc>
          <w:tcPr>
            <w:tcW w:w="2880" w:type="dxa"/>
          </w:tcPr>
          <w:p w:rsidR="00AA0C95" w:rsidRPr="005C5FE7" w:rsidRDefault="00AA0C95" w:rsidP="00163D7A">
            <w:r w:rsidRPr="005C5FE7">
              <w:lastRenderedPageBreak/>
              <w:t xml:space="preserve">Painful disclosure </w:t>
            </w:r>
          </w:p>
          <w:p w:rsidR="00AA0C95" w:rsidRPr="005C5FE7" w:rsidRDefault="00AA0C95" w:rsidP="00163D7A"/>
          <w:p w:rsidR="00AA0C95" w:rsidRPr="005C5FE7" w:rsidRDefault="00AA0C95" w:rsidP="00163D7A">
            <w:r w:rsidRPr="005C5FE7">
              <w:t>Vulnerability</w:t>
            </w:r>
          </w:p>
          <w:p w:rsidR="00AA0C95" w:rsidRPr="005C5FE7" w:rsidRDefault="00AA0C95" w:rsidP="00163D7A">
            <w:r w:rsidRPr="005C5FE7">
              <w:t xml:space="preserve">Precarious position of the understudy – “unsupported” and </w:t>
            </w:r>
            <w:r w:rsidRPr="005C5FE7">
              <w:lastRenderedPageBreak/>
              <w:t>“unpleasant” “intensely difficult at times”</w:t>
            </w:r>
          </w:p>
          <w:p w:rsidR="00AA0C95" w:rsidRPr="005C5FE7" w:rsidRDefault="00AA0C95" w:rsidP="00163D7A"/>
          <w:p w:rsidR="00AA0C95" w:rsidRPr="005C5FE7" w:rsidRDefault="00AA0C95" w:rsidP="00163D7A">
            <w:r w:rsidRPr="005C5FE7">
              <w:t>Participatory models challenge traditional ethical frameworks</w:t>
            </w:r>
          </w:p>
          <w:p w:rsidR="00AA0C95" w:rsidRPr="005C5FE7" w:rsidRDefault="00AA0C95" w:rsidP="00163D7A"/>
          <w:p w:rsidR="00AA0C95" w:rsidRPr="005C5FE7" w:rsidRDefault="00AA0C95" w:rsidP="00163D7A">
            <w:r w:rsidRPr="005C5FE7">
              <w:t>Stigma is alienating</w:t>
            </w:r>
          </w:p>
        </w:tc>
      </w:tr>
      <w:tr w:rsidR="00AA0C95" w:rsidRPr="005C5FE7" w:rsidTr="00163D7A">
        <w:tc>
          <w:tcPr>
            <w:tcW w:w="1751" w:type="dxa"/>
            <w:vAlign w:val="center"/>
          </w:tcPr>
          <w:p w:rsidR="00AA0C95" w:rsidRPr="005C5FE7" w:rsidRDefault="00AA0C95" w:rsidP="00163D7A">
            <w:r w:rsidRPr="005C5FE7">
              <w:lastRenderedPageBreak/>
              <w:t>Kennett</w:t>
            </w:r>
          </w:p>
          <w:p w:rsidR="00AA0C95" w:rsidRPr="005C5FE7" w:rsidRDefault="00AA0C95" w:rsidP="00163D7A">
            <w:r w:rsidRPr="005C5FE7">
              <w:t>(2000)</w:t>
            </w:r>
          </w:p>
          <w:p w:rsidR="00AA0C95" w:rsidRPr="005C5FE7" w:rsidRDefault="00AA0C95" w:rsidP="00163D7A">
            <w:r w:rsidRPr="005C5FE7">
              <w:t xml:space="preserve">England </w:t>
            </w:r>
            <w:r w:rsidRPr="005C5FE7">
              <w:rPr>
                <w:vertAlign w:val="superscript"/>
              </w:rPr>
              <w:t>[51]</w:t>
            </w:r>
          </w:p>
        </w:tc>
        <w:tc>
          <w:tcPr>
            <w:tcW w:w="4140" w:type="dxa"/>
          </w:tcPr>
          <w:p w:rsidR="00AA0C95" w:rsidRPr="005C5FE7" w:rsidRDefault="00AA0C95" w:rsidP="00163D7A">
            <w:r w:rsidRPr="005C5FE7">
              <w:t>Raw Themes: enjoyment, enthusiasm, excitement, pride, achievement, satisfaction, sense of purpose, mutual support, permanence (legacy)</w:t>
            </w:r>
          </w:p>
          <w:p w:rsidR="00AA0C95" w:rsidRPr="005C5FE7" w:rsidRDefault="00AA0C95" w:rsidP="00163D7A">
            <w:r w:rsidRPr="005C5FE7">
              <w:t xml:space="preserve">Distilled Themes: positive expressions of self-esteem, autonomy, social integration, and hope. </w:t>
            </w:r>
          </w:p>
          <w:p w:rsidR="00AA0C95" w:rsidRPr="005C5FE7" w:rsidRDefault="00AA0C95" w:rsidP="00163D7A">
            <w:r w:rsidRPr="005C5FE7">
              <w:t xml:space="preserve">Hope as the essence of the phenomenon, important in palliative care where continuation of active medical intervention has been equated with the provision of hope. </w:t>
            </w:r>
          </w:p>
        </w:tc>
        <w:tc>
          <w:tcPr>
            <w:tcW w:w="2880" w:type="dxa"/>
          </w:tcPr>
          <w:p w:rsidR="00AA0C95" w:rsidRPr="005C5FE7" w:rsidRDefault="00AA0C95" w:rsidP="00163D7A">
            <w:r w:rsidRPr="005C5FE7">
              <w:t>Small sample</w:t>
            </w:r>
          </w:p>
          <w:p w:rsidR="00AA0C95" w:rsidRPr="005C5FE7" w:rsidRDefault="00AA0C95" w:rsidP="00163D7A"/>
          <w:p w:rsidR="00AA0C95" w:rsidRPr="005C5FE7" w:rsidRDefault="00AA0C95" w:rsidP="00163D7A">
            <w:r w:rsidRPr="005C5FE7">
              <w:t xml:space="preserve">A wide range of disciplines represented but not clearly linked to specific themes or findings   </w:t>
            </w:r>
          </w:p>
          <w:p w:rsidR="00AA0C95" w:rsidRPr="005C5FE7" w:rsidRDefault="00AA0C95" w:rsidP="00163D7A"/>
          <w:p w:rsidR="00AA0C95" w:rsidRPr="005C5FE7" w:rsidRDefault="00AA0C95" w:rsidP="00163D7A">
            <w:r w:rsidRPr="005C5FE7">
              <w:t>Art therapy mentioned but not distinguished</w:t>
            </w:r>
          </w:p>
        </w:tc>
      </w:tr>
      <w:tr w:rsidR="00AA0C95" w:rsidRPr="005C5FE7" w:rsidTr="00163D7A">
        <w:tc>
          <w:tcPr>
            <w:tcW w:w="1751" w:type="dxa"/>
            <w:vAlign w:val="center"/>
          </w:tcPr>
          <w:p w:rsidR="00AA0C95" w:rsidRPr="005C5FE7" w:rsidRDefault="00AA0C95" w:rsidP="00163D7A">
            <w:r w:rsidRPr="005C5FE7">
              <w:t>McLoughlin (2000)</w:t>
            </w:r>
          </w:p>
          <w:p w:rsidR="00AA0C95" w:rsidRPr="005C5FE7" w:rsidRDefault="00AA0C95" w:rsidP="00163D7A">
            <w:r w:rsidRPr="005C5FE7">
              <w:t xml:space="preserve">England </w:t>
            </w:r>
            <w:r w:rsidRPr="005C5FE7">
              <w:rPr>
                <w:vertAlign w:val="superscript"/>
              </w:rPr>
              <w:t>[52]</w:t>
            </w:r>
          </w:p>
        </w:tc>
        <w:tc>
          <w:tcPr>
            <w:tcW w:w="4140" w:type="dxa"/>
          </w:tcPr>
          <w:p w:rsidR="00AA0C95" w:rsidRPr="005C5FE7" w:rsidRDefault="00AA0C95" w:rsidP="00163D7A">
            <w:r w:rsidRPr="005C5FE7">
              <w:t>Benefits of poetry include: enjoyment, sustenance, therapeutic (contains anxiety), inspirational, giving form/containing, joy, comfort, welcoming, self-exploration, spontaneity, play, surprise, control, reverie, and concentration</w:t>
            </w:r>
          </w:p>
          <w:p w:rsidR="00AA0C95" w:rsidRPr="005C5FE7" w:rsidRDefault="00AA0C95" w:rsidP="00163D7A">
            <w:r w:rsidRPr="005C5FE7">
              <w:t>Transition and transitional space is common to hospice and poetry both</w:t>
            </w:r>
          </w:p>
          <w:p w:rsidR="00AA0C95" w:rsidRPr="005C5FE7" w:rsidRDefault="00AA0C95" w:rsidP="00163D7A">
            <w:r w:rsidRPr="005C5FE7">
              <w:t>Poetry helps patients negotiate changes brought about by illness</w:t>
            </w:r>
          </w:p>
          <w:p w:rsidR="00AA0C95" w:rsidRPr="005C5FE7" w:rsidRDefault="00AA0C95" w:rsidP="00163D7A">
            <w:r w:rsidRPr="005C5FE7">
              <w:t xml:space="preserve">Prizes patients as individuals and reduces isolation </w:t>
            </w:r>
          </w:p>
        </w:tc>
        <w:tc>
          <w:tcPr>
            <w:tcW w:w="2880" w:type="dxa"/>
          </w:tcPr>
          <w:p w:rsidR="00AA0C95" w:rsidRPr="005C5FE7" w:rsidRDefault="00AA0C95" w:rsidP="00163D7A">
            <w:r w:rsidRPr="005C5FE7">
              <w:t>Lacking rigour as study design, method and analysis not discussed</w:t>
            </w:r>
          </w:p>
        </w:tc>
      </w:tr>
    </w:tbl>
    <w:p w:rsidR="00AA0C95" w:rsidRPr="005C5FE7" w:rsidRDefault="00AA0C95" w:rsidP="00AA0C95">
      <w:pPr>
        <w:spacing w:line="360" w:lineRule="auto"/>
        <w:ind w:left="720" w:hanging="720"/>
        <w:rPr>
          <w:color w:val="000000" w:themeColor="text1"/>
        </w:rPr>
      </w:pPr>
    </w:p>
    <w:p w:rsidR="00AA0C95" w:rsidRPr="005C5FE7" w:rsidRDefault="00AA0C95" w:rsidP="00AA0C95">
      <w:pPr>
        <w:spacing w:line="480" w:lineRule="auto"/>
      </w:pPr>
      <w:r w:rsidRPr="005C5FE7">
        <w:rPr>
          <w:b/>
          <w:bCs/>
        </w:rPr>
        <w:t>Appendix 3: Figure 5.</w:t>
      </w:r>
      <w:r w:rsidRPr="005C5FE7">
        <w:t xml:space="preserve"> Thematic map of review findings and recommendations</w:t>
      </w:r>
    </w:p>
    <w:p w:rsidR="00AA0C95" w:rsidRPr="005C5FE7" w:rsidRDefault="00AA0C95" w:rsidP="00AA0C95">
      <w:pPr>
        <w:spacing w:line="480" w:lineRule="auto"/>
      </w:pPr>
    </w:p>
    <w:p w:rsidR="00AA0C95" w:rsidRPr="005C5FE7" w:rsidRDefault="00AA0C95" w:rsidP="00AA0C95">
      <w:pPr>
        <w:spacing w:line="360" w:lineRule="auto"/>
        <w:ind w:left="720" w:hanging="720"/>
        <w:rPr>
          <w:color w:val="000000" w:themeColor="text1"/>
        </w:rPr>
      </w:pPr>
      <w:r w:rsidRPr="005C5FE7">
        <w:rPr>
          <w:noProof/>
          <w:color w:val="000000" w:themeColor="text1"/>
        </w:rPr>
        <w:lastRenderedPageBreak/>
        <w:drawing>
          <wp:inline distT="0" distB="0" distL="0" distR="0" wp14:anchorId="0940C779" wp14:editId="15311978">
            <wp:extent cx="5943600" cy="232473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24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6D5A" w:rsidRDefault="00CC6D5A">
      <w:bookmarkStart w:id="0" w:name="_GoBack"/>
      <w:bookmarkEnd w:id="0"/>
    </w:p>
    <w:sectPr w:rsidR="00CC6D5A" w:rsidSect="003977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0C95"/>
    <w:rsid w:val="00AA0C95"/>
    <w:rsid w:val="00CC6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F259D57-2807-4BF2-B7A1-A3BD66412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A0C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A0C95"/>
    <w:pPr>
      <w:spacing w:before="100" w:beforeAutospacing="1" w:after="100" w:afterAutospacing="1"/>
    </w:pPr>
  </w:style>
  <w:style w:type="table" w:styleId="TableGridLight">
    <w:name w:val="Grid Table Light"/>
    <w:basedOn w:val="TableNormal"/>
    <w:uiPriority w:val="40"/>
    <w:rsid w:val="00AA0C95"/>
    <w:pPr>
      <w:spacing w:after="0" w:line="240" w:lineRule="auto"/>
    </w:pPr>
    <w:rPr>
      <w:sz w:val="24"/>
      <w:szCs w:val="24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1451</Words>
  <Characters>8275</Characters>
  <Application>Microsoft Office Word</Application>
  <DocSecurity>0</DocSecurity>
  <Lines>68</Lines>
  <Paragraphs>19</Paragraphs>
  <ScaleCrop>false</ScaleCrop>
  <Company>Springer Nature IT</Company>
  <LinksUpToDate>false</LinksUpToDate>
  <CharactersWithSpaces>9707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2021-01-07T12:04:00Z</dcterms:created>
  <dcterms:modified xsi:type="dcterms:W3CDTF">2021-01-07T12:04:00Z</dcterms:modified>
</cp:coreProperties>
</file>