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2DD64" w14:textId="61CA869C" w:rsidR="00C003FC" w:rsidRPr="00781389" w:rsidRDefault="00C003FC" w:rsidP="00C003FC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44F9B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: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781389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Supplemental Figures</w:t>
      </w:r>
    </w:p>
    <w:p w14:paraId="33F40E76" w14:textId="77777777" w:rsidR="00C003FC" w:rsidRDefault="00C003FC" w:rsidP="00C003FC">
      <w:pPr>
        <w:jc w:val="center"/>
        <w:rPr>
          <w:rFonts w:ascii="Times New Roman" w:eastAsia="宋体" w:hAnsi="Times New Roman" w:cs="Times New Roman"/>
          <w:szCs w:val="21"/>
        </w:rPr>
      </w:pPr>
    </w:p>
    <w:p w14:paraId="34DB8EA3" w14:textId="77777777" w:rsidR="00C003FC" w:rsidRPr="00896D8A" w:rsidRDefault="00C003FC" w:rsidP="00C003FC">
      <w:pPr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Figure S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1. DNA sequencing for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identifying the OPTN E50K mutation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65FBC32A" w14:textId="77777777" w:rsidR="00C003FC" w:rsidRDefault="00C003FC" w:rsidP="00C003FC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Sanger sequencing identified </w:t>
      </w:r>
      <w:r>
        <w:rPr>
          <w:rFonts w:ascii="Times New Roman" w:eastAsia="宋体" w:hAnsi="Times New Roman" w:cs="Times New Roman"/>
          <w:sz w:val="24"/>
          <w:szCs w:val="24"/>
        </w:rPr>
        <w:t xml:space="preserve">that the NTG mouse model was homozygous for the OPTN E50K mutation, at </w:t>
      </w:r>
      <w:r w:rsidRPr="00896D8A">
        <w:rPr>
          <w:rFonts w:ascii="Times New Roman" w:eastAsia="宋体" w:hAnsi="Times New Roman" w:cs="Times New Roman"/>
          <w:sz w:val="24"/>
          <w:szCs w:val="24"/>
        </w:rPr>
        <w:t>c.148 G</w:t>
      </w:r>
      <w:r>
        <w:rPr>
          <w:rFonts w:ascii="Times New Roman" w:eastAsia="宋体" w:hAnsi="Times New Roman" w:cs="Times New Roman"/>
          <w:sz w:val="24"/>
          <w:szCs w:val="24"/>
          <w:lang w:val="en-CA"/>
        </w:rPr>
        <w:t>&gt;</w:t>
      </w:r>
      <w:r w:rsidRPr="00896D8A">
        <w:rPr>
          <w:rFonts w:ascii="Times New Roman" w:eastAsia="宋体" w:hAnsi="Times New Roman" w:cs="Times New Roman"/>
          <w:sz w:val="24"/>
          <w:szCs w:val="24"/>
        </w:rPr>
        <w:t>A (p.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96D8A">
        <w:rPr>
          <w:rFonts w:ascii="Times New Roman" w:eastAsia="宋体" w:hAnsi="Times New Roman" w:cs="Times New Roman"/>
          <w:sz w:val="24"/>
          <w:szCs w:val="24"/>
        </w:rPr>
        <w:t>E50K).</w:t>
      </w:r>
    </w:p>
    <w:p w14:paraId="067B1072" w14:textId="77777777" w:rsidR="00C003FC" w:rsidRPr="00896D8A" w:rsidRDefault="00C003FC" w:rsidP="00C003FC">
      <w:pPr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3A3289AE" w14:textId="77777777" w:rsidR="00C003FC" w:rsidRPr="00896D8A" w:rsidRDefault="00C003FC" w:rsidP="00C003FC">
      <w:pPr>
        <w:widowControl/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Figure S2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Retinal degeneration was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aggravated in 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OPTN E50K mice during aging.</w:t>
      </w:r>
    </w:p>
    <w:p w14:paraId="3FD8AEC1" w14:textId="2604E7FE" w:rsidR="00C003FC" w:rsidRPr="00C003FC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proofErr w:type="gramStart"/>
      <w:r>
        <w:rPr>
          <w:rFonts w:ascii="Times New Roman" w:eastAsia="宋体" w:hAnsi="Times New Roman" w:cs="Times New Roman"/>
          <w:b/>
          <w:bCs/>
          <w:sz w:val="24"/>
          <w:szCs w:val="24"/>
          <w:lang w:val="en-CA"/>
        </w:rPr>
        <w:t>a</w:t>
      </w:r>
      <w:proofErr w:type="gramEnd"/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ntraocular pressure (IOP) was </w:t>
      </w:r>
      <w:r>
        <w:rPr>
          <w:rFonts w:ascii="Times New Roman" w:eastAsia="宋体" w:hAnsi="Times New Roman" w:cs="Times New Roman"/>
          <w:sz w:val="24"/>
          <w:szCs w:val="24"/>
        </w:rPr>
        <w:t>measured in young (3 months) wild-type (WY), young E50K mutant (EY), old (18 month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s) wild-type (WO), and old E50K (EO) mice (n=10). </w:t>
      </w:r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b-c </w:t>
      </w:r>
      <w:r w:rsidRPr="00C003FC">
        <w:rPr>
          <w:rFonts w:ascii="Times New Roman" w:eastAsia="宋体" w:hAnsi="Times New Roman" w:cs="Times New Roman"/>
          <w:sz w:val="24"/>
          <w:szCs w:val="24"/>
        </w:rPr>
        <w:t>Light/dark exploration test was performed to reveal visual behavior preservation under normal tension glaucoma (NTG) (n=5).</w:t>
      </w:r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Aged and OPTN E50K mutant mice revealed worse preservation of vision. </w:t>
      </w:r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d-f 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H&amp;E staining to determine retinal and ganglion cell complex (GCC) thicknesses in all 4 groups (n=3). </w:t>
      </w:r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>g-h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 Western blot analysis of OPTN protein abundance in the 4 groups (n=3). </w:t>
      </w:r>
      <w:proofErr w:type="spellStart"/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>i</w:t>
      </w:r>
      <w:proofErr w:type="spellEnd"/>
      <w:r w:rsidRPr="00C003F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C003FC">
        <w:rPr>
          <w:rFonts w:ascii="Times New Roman" w:eastAsia="宋体" w:hAnsi="Times New Roman" w:cs="Times New Roman"/>
          <w:sz w:val="24"/>
          <w:szCs w:val="24"/>
        </w:rPr>
        <w:t>Retinal sections from all 4 groups were stained against OPTN (n=3). Cell nuclei were visualized with DAPI. Data shown as mean ± SEM (</w:t>
      </w:r>
      <w:r w:rsidRPr="00C003FC">
        <w:rPr>
          <w:rFonts w:ascii="Times New Roman" w:hAnsi="Times New Roman" w:cs="Times New Roman"/>
          <w:sz w:val="24"/>
          <w:szCs w:val="28"/>
        </w:rPr>
        <w:t>ONE WAY</w:t>
      </w:r>
      <w:r w:rsidRPr="00C003FC">
        <w:rPr>
          <w:rFonts w:ascii="Times New Roman" w:hAnsi="Times New Roman" w:cs="Times New Roman"/>
          <w:sz w:val="24"/>
          <w:szCs w:val="24"/>
        </w:rPr>
        <w:t xml:space="preserve"> ANOVA followed by Tukey’s </w:t>
      </w:r>
      <w:r w:rsidRPr="00C003FC">
        <w:rPr>
          <w:rFonts w:ascii="Times New Roman" w:hAnsi="Times New Roman" w:cs="Times New Roman"/>
          <w:i/>
          <w:iCs/>
          <w:sz w:val="24"/>
          <w:szCs w:val="24"/>
        </w:rPr>
        <w:t>post-hoc</w:t>
      </w:r>
      <w:r w:rsidRPr="00C003FC">
        <w:rPr>
          <w:rFonts w:ascii="Times New Roman" w:hAnsi="Times New Roman" w:cs="Times New Roman"/>
          <w:sz w:val="24"/>
          <w:szCs w:val="24"/>
        </w:rPr>
        <w:t xml:space="preserve"> test,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 NS=</w:t>
      </w:r>
      <w:r w:rsidRPr="00C003FC">
        <w:rPr>
          <w:rFonts w:ascii="Times New Roman" w:eastAsia="宋体" w:hAnsi="Times New Roman" w:cs="Times New Roman" w:hint="eastAsia"/>
          <w:sz w:val="24"/>
          <w:szCs w:val="24"/>
        </w:rPr>
        <w:t>not</w:t>
      </w:r>
      <w:r w:rsidRPr="00C003F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003FC">
        <w:rPr>
          <w:rFonts w:ascii="Times New Roman" w:eastAsia="宋体" w:hAnsi="Times New Roman" w:cs="Times New Roman" w:hint="eastAsia"/>
          <w:sz w:val="24"/>
          <w:szCs w:val="24"/>
        </w:rPr>
        <w:t>significant,</w:t>
      </w:r>
      <w:r w:rsidR="006D518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003FC">
        <w:rPr>
          <w:rFonts w:ascii="Times New Roman" w:eastAsia="宋体" w:hAnsi="Times New Roman" w:cs="Times New Roman"/>
          <w:sz w:val="24"/>
          <w:szCs w:val="24"/>
        </w:rPr>
        <w:t>*P&lt;0.05, **P&lt;0.01, ***P&lt;0.001.</w:t>
      </w:r>
    </w:p>
    <w:p w14:paraId="76B4F415" w14:textId="77777777" w:rsidR="00C003FC" w:rsidRPr="00896D8A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1704BEE5" w14:textId="77777777" w:rsidR="00C003FC" w:rsidRPr="00896D8A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S3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. Predicted upstream regulators and networks for differentially expressed proteins (DEPs) of EO retina.</w:t>
      </w:r>
    </w:p>
    <w:p w14:paraId="2C1C1502" w14:textId="77777777" w:rsidR="00C003FC" w:rsidRPr="00896D8A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 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mTOR is predicted to be the top selected upstream regulator in old E50K retina (Activation z-score = 3.622, 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r w:rsidRPr="00896D8A">
        <w:rPr>
          <w:rFonts w:ascii="Times New Roman" w:eastAsia="宋体" w:hAnsi="Times New Roman" w:cs="Times New Roman"/>
          <w:sz w:val="24"/>
          <w:szCs w:val="24"/>
        </w:rPr>
        <w:t>-value = 4.11E-06)</w:t>
      </w:r>
      <w:r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b 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Interaction network associated with </w:t>
      </w:r>
      <w:r>
        <w:rPr>
          <w:rFonts w:ascii="Times New Roman" w:eastAsia="宋体" w:hAnsi="Times New Roman" w:cs="Times New Roman"/>
          <w:sz w:val="24"/>
          <w:szCs w:val="24"/>
        </w:rPr>
        <w:t>c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ell </w:t>
      </w:r>
      <w:r>
        <w:rPr>
          <w:rFonts w:ascii="Times New Roman" w:eastAsia="宋体" w:hAnsi="Times New Roman" w:cs="Times New Roman"/>
          <w:sz w:val="24"/>
          <w:szCs w:val="24"/>
        </w:rPr>
        <w:t>m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orphology, 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896D8A">
        <w:rPr>
          <w:rFonts w:ascii="Times New Roman" w:eastAsia="宋体" w:hAnsi="Times New Roman" w:cs="Times New Roman"/>
          <w:sz w:val="24"/>
          <w:szCs w:val="24"/>
        </w:rPr>
        <w:t>ssembly</w:t>
      </w:r>
      <w:r>
        <w:rPr>
          <w:rFonts w:ascii="Times New Roman" w:eastAsia="宋体" w:hAnsi="Times New Roman" w:cs="Times New Roman"/>
          <w:sz w:val="24"/>
          <w:szCs w:val="24"/>
        </w:rPr>
        <w:t>, or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ganization and 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 w:rsidRPr="00896D8A">
        <w:rPr>
          <w:rFonts w:ascii="Times New Roman" w:eastAsia="宋体" w:hAnsi="Times New Roman" w:cs="Times New Roman"/>
          <w:sz w:val="24"/>
          <w:szCs w:val="24"/>
        </w:rPr>
        <w:t>evelopment (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core=23). </w:t>
      </w:r>
      <w:r>
        <w:rPr>
          <w:rFonts w:ascii="Times New Roman" w:eastAsia="宋体" w:hAnsi="Times New Roman" w:cs="Times New Roman"/>
          <w:sz w:val="24"/>
          <w:szCs w:val="24"/>
        </w:rPr>
        <w:t xml:space="preserve">Node colors represent up- (red) and down-regulation (green) of </w:t>
      </w:r>
      <w:r w:rsidRPr="00896D8A">
        <w:rPr>
          <w:rFonts w:ascii="Times New Roman" w:eastAsia="宋体" w:hAnsi="Times New Roman" w:cs="Times New Roman"/>
          <w:sz w:val="24"/>
          <w:szCs w:val="24"/>
        </w:rPr>
        <w:t>DEPs implicated in the pathways</w:t>
      </w:r>
      <w:r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C5EC1F2" w14:textId="77777777" w:rsidR="00C003FC" w:rsidRPr="00896D8A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6A43410B" w14:textId="77777777" w:rsidR="00C003FC" w:rsidRPr="00C24EB0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Figure S4</w:t>
      </w:r>
      <w:r w:rsidRPr="0076797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76797F">
        <w:rPr>
          <w:rFonts w:ascii="Times New Roman" w:eastAsia="宋体" w:hAnsi="Times New Roman" w:cs="Times New Roman"/>
          <w:sz w:val="24"/>
          <w:szCs w:val="24"/>
        </w:rPr>
        <w:t xml:space="preserve">Enrichment plots of </w:t>
      </w:r>
      <w:r w:rsidRPr="00E753BC">
        <w:rPr>
          <w:rFonts w:ascii="Times New Roman" w:eastAsia="宋体" w:hAnsi="Times New Roman" w:cs="Times New Roman"/>
          <w:sz w:val="24"/>
          <w:szCs w:val="24"/>
        </w:rPr>
        <w:t>SNARE interactions in vesicular transport</w:t>
      </w:r>
      <w:r w:rsidRPr="0076797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and</w:t>
      </w:r>
      <w:r>
        <w:rPr>
          <w:rFonts w:ascii="Times New Roman" w:eastAsia="宋体" w:hAnsi="Times New Roman" w:cs="Times New Roman"/>
          <w:sz w:val="24"/>
          <w:szCs w:val="24"/>
        </w:rPr>
        <w:t xml:space="preserve"> Lysosome </w:t>
      </w:r>
      <w:r w:rsidRPr="0076797F">
        <w:rPr>
          <w:rFonts w:ascii="Times New Roman" w:eastAsia="宋体" w:hAnsi="Times New Roman" w:cs="Times New Roman"/>
          <w:sz w:val="24"/>
          <w:szCs w:val="24"/>
        </w:rPr>
        <w:t>identified in gene set enrichment analysis between EO versus WO groups.</w:t>
      </w:r>
    </w:p>
    <w:p w14:paraId="312344EC" w14:textId="77777777" w:rsidR="00C003FC" w:rsidRPr="00C24EB0" w:rsidRDefault="00C003FC" w:rsidP="00C003FC">
      <w:pPr>
        <w:rPr>
          <w:rFonts w:ascii="Times New Roman" w:eastAsia="宋体" w:hAnsi="Times New Roman" w:cs="Times New Roman"/>
          <w:b/>
          <w:bCs/>
          <w:sz w:val="24"/>
          <w:szCs w:val="24"/>
          <w:lang w:val="en-CA"/>
        </w:rPr>
      </w:pPr>
    </w:p>
    <w:p w14:paraId="3117EA3A" w14:textId="77777777" w:rsidR="00C003FC" w:rsidRPr="0076797F" w:rsidRDefault="00C003FC" w:rsidP="00C003F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Figure S5</w:t>
      </w:r>
      <w:r w:rsidRPr="0076797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76797F">
        <w:rPr>
          <w:rFonts w:ascii="Times New Roman" w:eastAsia="宋体" w:hAnsi="Times New Roman" w:cs="Times New Roman"/>
          <w:sz w:val="24"/>
          <w:szCs w:val="24"/>
        </w:rPr>
        <w:t>Enrichment plots of retinal microglia and astrocytes identified from cell type signatures in gene set enrichment analysis between EO versus WO groups.</w:t>
      </w:r>
    </w:p>
    <w:p w14:paraId="42EC122F" w14:textId="77777777" w:rsidR="00A55C19" w:rsidRPr="00C003FC" w:rsidRDefault="00A55C19">
      <w:pPr>
        <w:rPr>
          <w:lang w:val="en-CA"/>
        </w:rPr>
      </w:pPr>
    </w:p>
    <w:sectPr w:rsidR="00A55C19" w:rsidRPr="00C0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3FC"/>
    <w:rsid w:val="006D5181"/>
    <w:rsid w:val="00A55C19"/>
    <w:rsid w:val="00C0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A18E2"/>
  <w15:chartTrackingRefBased/>
  <w15:docId w15:val="{CF0C1997-A48B-42E0-8F87-348CFC83B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rsid w:val="00C003F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003F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2020-12-26T11:48:00Z</dcterms:created>
  <dcterms:modified xsi:type="dcterms:W3CDTF">2020-12-26T12:08:00Z</dcterms:modified>
</cp:coreProperties>
</file>