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1511E5" w14:textId="4A8EB749" w:rsidR="00BA5770" w:rsidRPr="00BA5770" w:rsidRDefault="00BA5770" w:rsidP="00BA5770">
      <w:pPr>
        <w:rPr>
          <w:rFonts w:ascii="Times New Roman" w:eastAsia="宋体" w:hAnsi="Times New Roman" w:cs="Times New Roman" w:hint="eastAsia"/>
          <w:b/>
          <w:bCs/>
          <w:sz w:val="24"/>
          <w:szCs w:val="24"/>
        </w:rPr>
      </w:pPr>
      <w:r w:rsidRPr="00C44F9B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: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FF4552">
        <w:rPr>
          <w:rFonts w:ascii="Times New Roman" w:eastAsia="宋体" w:hAnsi="Times New Roman" w:cs="Times New Roman"/>
          <w:b/>
          <w:bCs/>
          <w:sz w:val="24"/>
          <w:szCs w:val="24"/>
        </w:rPr>
        <w:t>Supplemental Methods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</w:p>
    <w:p w14:paraId="61110D36" w14:textId="1E43620B" w:rsidR="00BA5770" w:rsidRPr="00BA5770" w:rsidRDefault="00BA5770" w:rsidP="00BA5770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BA5770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Sample preparation and tandem mass tag (TMT) labelling </w:t>
      </w:r>
    </w:p>
    <w:p w14:paraId="6634B41F" w14:textId="77777777" w:rsidR="00BA5770" w:rsidRPr="001B2E87" w:rsidRDefault="00BA5770" w:rsidP="00BA5770">
      <w:pPr>
        <w:spacing w:line="480" w:lineRule="auto"/>
        <w:ind w:firstLineChars="100" w:firstLine="240"/>
        <w:rPr>
          <w:rFonts w:ascii="Times New Roman" w:eastAsia="宋体" w:hAnsi="Times New Roman" w:cs="Times New Roman"/>
          <w:sz w:val="24"/>
          <w:szCs w:val="24"/>
        </w:rPr>
      </w:pPr>
      <w:r w:rsidRPr="001B2E87">
        <w:rPr>
          <w:rFonts w:ascii="Times New Roman" w:eastAsia="宋体" w:hAnsi="Times New Roman" w:cs="Times New Roman"/>
          <w:sz w:val="24"/>
          <w:szCs w:val="24"/>
        </w:rPr>
        <w:t xml:space="preserve">Retinas from young (3 months) wild-type (WY), young E50K mutant (EY), old (18 months) wild-type (WO), and old E50K (EO) mice were lysed in lysis buffer, sonicated, and centrifuged at 12,000 x g for 10 min at 4°C to remove insoluble materials. The resulting extracted proteins were reduced with 5 mM dithiothreitol for 30 min at 56 °C, then alkylated with 11 mM iodoacetamide for 15 min at room temperature (RT) in darkness. Dual digestion was carried out (100 </w:t>
      </w:r>
      <w:proofErr w:type="spellStart"/>
      <w:r w:rsidRPr="001B2E87">
        <w:rPr>
          <w:rFonts w:ascii="Times New Roman" w:eastAsia="宋体" w:hAnsi="Times New Roman" w:cs="Times New Roman"/>
          <w:sz w:val="24"/>
          <w:szCs w:val="24"/>
        </w:rPr>
        <w:t>μg</w:t>
      </w:r>
      <w:proofErr w:type="spellEnd"/>
      <w:r w:rsidRPr="001B2E87">
        <w:rPr>
          <w:rFonts w:ascii="Times New Roman" w:eastAsia="宋体" w:hAnsi="Times New Roman" w:cs="Times New Roman"/>
          <w:sz w:val="24"/>
          <w:szCs w:val="24"/>
        </w:rPr>
        <w:t xml:space="preserve"> protein), initially with Lys-C (Wako, Japan) at a 1:50 enzyme: protein ratio overnight at 37°C, followed by trypsin (Promega, Madison, WI) at 1:100 for at least 4 hours at 37 °C. To accommodate the 12 biological samples (3 samples in each group), four separate TMT experiments were carried out. Briefly, digested peptide samples were first cleaned using a reverse-phase C18 clean-up column (</w:t>
      </w:r>
      <w:proofErr w:type="spellStart"/>
      <w:r w:rsidRPr="001B2E87">
        <w:rPr>
          <w:rFonts w:ascii="Times New Roman" w:eastAsia="宋体" w:hAnsi="Times New Roman" w:cs="Times New Roman"/>
          <w:sz w:val="24"/>
          <w:szCs w:val="24"/>
        </w:rPr>
        <w:t>StrataX</w:t>
      </w:r>
      <w:proofErr w:type="spellEnd"/>
      <w:r w:rsidRPr="001B2E87">
        <w:rPr>
          <w:rFonts w:ascii="Times New Roman" w:eastAsia="宋体" w:hAnsi="Times New Roman" w:cs="Times New Roman"/>
          <w:sz w:val="24"/>
          <w:szCs w:val="24"/>
        </w:rPr>
        <w:t xml:space="preserve">, Phenomenex) and dried in a vacuum centrifuge. Peptides were then dissolved in 0.5 M triethylammonium bicarbonate buffer and subjected to TMT labelling with 0.8 mg of reagent per tube. Labelling was carried out at RT for 2 h with continuous </w:t>
      </w:r>
      <w:proofErr w:type="spellStart"/>
      <w:r w:rsidRPr="001B2E87">
        <w:rPr>
          <w:rFonts w:ascii="Times New Roman" w:eastAsia="宋体" w:hAnsi="Times New Roman" w:cs="Times New Roman"/>
          <w:sz w:val="24"/>
          <w:szCs w:val="24"/>
        </w:rPr>
        <w:t>vortexing</w:t>
      </w:r>
      <w:proofErr w:type="spellEnd"/>
      <w:r w:rsidRPr="001B2E87">
        <w:rPr>
          <w:rFonts w:ascii="Times New Roman" w:eastAsia="宋体" w:hAnsi="Times New Roman" w:cs="Times New Roman"/>
          <w:sz w:val="24"/>
          <w:szCs w:val="24"/>
        </w:rPr>
        <w:t xml:space="preserve">, then dried by vacuum centrifugation. Labelled peptide samples were separated on a 60-min linear gradient from 8% to 32% acetonitrile, with pH 9, on a Thermo Scientific </w:t>
      </w:r>
      <w:proofErr w:type="spellStart"/>
      <w:r w:rsidRPr="001B2E87">
        <w:rPr>
          <w:rFonts w:ascii="Times New Roman" w:eastAsia="宋体" w:hAnsi="Times New Roman" w:cs="Times New Roman"/>
          <w:sz w:val="24"/>
          <w:szCs w:val="24"/>
        </w:rPr>
        <w:t>Betasil</w:t>
      </w:r>
      <w:proofErr w:type="spellEnd"/>
      <w:r w:rsidRPr="001B2E87">
        <w:rPr>
          <w:rFonts w:ascii="Times New Roman" w:eastAsia="宋体" w:hAnsi="Times New Roman" w:cs="Times New Roman"/>
          <w:sz w:val="24"/>
          <w:szCs w:val="24"/>
        </w:rPr>
        <w:t xml:space="preserve"> C18 column (5 </w:t>
      </w:r>
      <w:proofErr w:type="spellStart"/>
      <w:r w:rsidRPr="001B2E87">
        <w:rPr>
          <w:rFonts w:ascii="Times New Roman" w:eastAsia="宋体" w:hAnsi="Times New Roman" w:cs="Times New Roman"/>
          <w:sz w:val="24"/>
          <w:szCs w:val="24"/>
        </w:rPr>
        <w:t>μm</w:t>
      </w:r>
      <w:proofErr w:type="spellEnd"/>
      <w:r w:rsidRPr="001B2E87">
        <w:rPr>
          <w:rFonts w:ascii="Times New Roman" w:eastAsia="宋体" w:hAnsi="Times New Roman" w:cs="Times New Roman"/>
          <w:sz w:val="24"/>
          <w:szCs w:val="24"/>
        </w:rPr>
        <w:t xml:space="preserve"> particles, 10 mm ID, 250 mm length), then combined into 6 fractions and dried by vacuum centrifuging. </w:t>
      </w:r>
    </w:p>
    <w:p w14:paraId="0EEEEB7F" w14:textId="77777777" w:rsidR="00BA5770" w:rsidRPr="00BA5770" w:rsidRDefault="00BA5770" w:rsidP="00BA5770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BA5770">
        <w:rPr>
          <w:rFonts w:ascii="Times New Roman" w:eastAsia="宋体" w:hAnsi="Times New Roman" w:cs="Times New Roman"/>
          <w:b/>
          <w:bCs/>
          <w:sz w:val="24"/>
          <w:szCs w:val="24"/>
        </w:rPr>
        <w:t>Quantitative proteomic analysis by liquid chromatography-tandem mass spectrometry (LC-MS/MS)</w:t>
      </w:r>
    </w:p>
    <w:p w14:paraId="3BE8C0DA" w14:textId="7ECD1FA1" w:rsidR="00BA5770" w:rsidRDefault="00BA5770" w:rsidP="00BA5770">
      <w:pPr>
        <w:ind w:firstLineChars="100" w:firstLine="240"/>
      </w:pPr>
      <w:r w:rsidRPr="001B2E87">
        <w:rPr>
          <w:rFonts w:ascii="Times New Roman" w:eastAsia="宋体" w:hAnsi="Times New Roman" w:cs="Times New Roman"/>
          <w:sz w:val="24"/>
          <w:szCs w:val="24"/>
        </w:rPr>
        <w:t>LC-MS/MS analysis was performed on an EASY-</w:t>
      </w:r>
      <w:proofErr w:type="spellStart"/>
      <w:r w:rsidRPr="001B2E87">
        <w:rPr>
          <w:rFonts w:ascii="Times New Roman" w:eastAsia="宋体" w:hAnsi="Times New Roman" w:cs="Times New Roman"/>
          <w:sz w:val="24"/>
          <w:szCs w:val="24"/>
        </w:rPr>
        <w:t>nLC</w:t>
      </w:r>
      <w:proofErr w:type="spellEnd"/>
      <w:r w:rsidRPr="001B2E87">
        <w:rPr>
          <w:rFonts w:ascii="Times New Roman" w:eastAsia="宋体" w:hAnsi="Times New Roman" w:cs="Times New Roman"/>
          <w:sz w:val="24"/>
          <w:szCs w:val="24"/>
        </w:rPr>
        <w:t xml:space="preserve"> 1000 Liquid Chromatograph (Thermo Fisher), coupled with a Q </w:t>
      </w:r>
      <w:proofErr w:type="spellStart"/>
      <w:r w:rsidRPr="001B2E87">
        <w:rPr>
          <w:rFonts w:ascii="Times New Roman" w:eastAsia="宋体" w:hAnsi="Times New Roman" w:cs="Times New Roman"/>
          <w:sz w:val="24"/>
          <w:szCs w:val="24"/>
        </w:rPr>
        <w:t>Exactive</w:t>
      </w:r>
      <w:proofErr w:type="spellEnd"/>
      <w:r w:rsidRPr="001B2E87">
        <w:rPr>
          <w:rFonts w:ascii="Times New Roman" w:eastAsia="宋体" w:hAnsi="Times New Roman" w:cs="Times New Roman"/>
          <w:sz w:val="24"/>
          <w:szCs w:val="24"/>
        </w:rPr>
        <w:t xml:space="preserve"> mass spectrometer (Thermo Fisher). Briefly, peptides were dissolved in 0.1% formic acid (solvent A) and loaded on a home-</w:t>
      </w:r>
      <w:r w:rsidRPr="001B2E87">
        <w:rPr>
          <w:rFonts w:ascii="Times New Roman" w:eastAsia="宋体" w:hAnsi="Times New Roman" w:cs="Times New Roman"/>
          <w:sz w:val="24"/>
          <w:szCs w:val="24"/>
        </w:rPr>
        <w:lastRenderedPageBreak/>
        <w:t xml:space="preserve">made reverse-phase analytical column. The gradient was comprised of increased concentrations of solvent B (0.1% formic acid in 98% acetonitrile) from 6% to 23% over 26 min, 23% to 35% in 8 min, then climbing to 80% in 3 min, followed by holding there for at least 3 min, all at a constant 400 </w:t>
      </w:r>
      <w:proofErr w:type="spellStart"/>
      <w:r w:rsidRPr="001B2E87">
        <w:rPr>
          <w:rFonts w:ascii="Times New Roman" w:eastAsia="宋体" w:hAnsi="Times New Roman" w:cs="Times New Roman"/>
          <w:sz w:val="24"/>
          <w:szCs w:val="24"/>
        </w:rPr>
        <w:t>nL</w:t>
      </w:r>
      <w:proofErr w:type="spellEnd"/>
      <w:r w:rsidRPr="001B2E87">
        <w:rPr>
          <w:rFonts w:ascii="Times New Roman" w:eastAsia="宋体" w:hAnsi="Times New Roman" w:cs="Times New Roman"/>
          <w:sz w:val="24"/>
          <w:szCs w:val="24"/>
        </w:rPr>
        <w:t>/min flow rate on an EASY-</w:t>
      </w:r>
      <w:proofErr w:type="spellStart"/>
      <w:r w:rsidRPr="001B2E87">
        <w:rPr>
          <w:rFonts w:ascii="Times New Roman" w:eastAsia="宋体" w:hAnsi="Times New Roman" w:cs="Times New Roman"/>
          <w:sz w:val="24"/>
          <w:szCs w:val="24"/>
        </w:rPr>
        <w:t>nLC</w:t>
      </w:r>
      <w:proofErr w:type="spellEnd"/>
      <w:r w:rsidRPr="001B2E87">
        <w:rPr>
          <w:rFonts w:ascii="Times New Roman" w:eastAsia="宋体" w:hAnsi="Times New Roman" w:cs="Times New Roman"/>
          <w:sz w:val="24"/>
          <w:szCs w:val="24"/>
        </w:rPr>
        <w:t xml:space="preserve"> 1000 UPLC system. Subsequently, peptides were subjected to nano-spray isolation (NSI) followed by tandem mass spectrometry (MS/MS) in Q </w:t>
      </w:r>
      <w:proofErr w:type="spellStart"/>
      <w:r w:rsidRPr="001B2E87">
        <w:rPr>
          <w:rFonts w:ascii="Times New Roman" w:eastAsia="宋体" w:hAnsi="Times New Roman" w:cs="Times New Roman"/>
          <w:sz w:val="24"/>
          <w:szCs w:val="24"/>
        </w:rPr>
        <w:t>ExactiveTM</w:t>
      </w:r>
      <w:proofErr w:type="spellEnd"/>
      <w:r w:rsidRPr="001B2E87">
        <w:rPr>
          <w:rFonts w:ascii="Times New Roman" w:eastAsia="宋体" w:hAnsi="Times New Roman" w:cs="Times New Roman"/>
          <w:sz w:val="24"/>
          <w:szCs w:val="24"/>
        </w:rPr>
        <w:t xml:space="preserve"> Plus (Thermo Fisher). Following the full mass spectrometry scan from m/z 350–1600, MS/MS spectra were acquired at a resolution of 120,000. The top 30 most abundant ions were selected for higher-energy collisional dissociation (HCD) fragmentation. HCD-normalized collision energy was set to 28% and fragmentation ions were detected in the Orbitrap at a resolution of 15,000. Automatic gain control (AGC) was set at 5E4. Target ions that had been selected for MS/MS were dynamically excluded for 30 s.</w:t>
      </w:r>
    </w:p>
    <w:sectPr w:rsidR="00BA57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770"/>
    <w:rsid w:val="00A55C19"/>
    <w:rsid w:val="00BA5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B8397"/>
  <w15:chartTrackingRefBased/>
  <w15:docId w15:val="{87D7D841-156A-44F9-8421-976D78606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419</Words>
  <Characters>2390</Characters>
  <Application>Microsoft Office Word</Application>
  <DocSecurity>0</DocSecurity>
  <Lines>19</Lines>
  <Paragraphs>5</Paragraphs>
  <ScaleCrop>false</ScaleCrop>
  <Company/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2020-12-26T12:01:00Z</dcterms:created>
  <dcterms:modified xsi:type="dcterms:W3CDTF">2020-12-26T12:03:00Z</dcterms:modified>
</cp:coreProperties>
</file>