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839991" w14:textId="77777777" w:rsidR="003B28A1" w:rsidRPr="003B28A1" w:rsidRDefault="003B28A1" w:rsidP="005B591F">
      <w:pPr>
        <w:spacing w:line="480" w:lineRule="auto"/>
        <w:ind w:firstLine="142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B28A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Supplemental data</w:t>
      </w:r>
    </w:p>
    <w:p w14:paraId="10A74BFC" w14:textId="77777777" w:rsidR="003B28A1" w:rsidRDefault="003B28A1" w:rsidP="003B28A1">
      <w:pPr>
        <w:spacing w:line="480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 1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>a</w:t>
      </w:r>
      <w:r w:rsidRPr="003B28A1">
        <w:rPr>
          <w:rFonts w:ascii="Times New Roman" w:hAnsi="Times New Roman" w:cs="Times New Roman"/>
          <w:b/>
          <w:color w:val="000000" w:themeColor="text1"/>
        </w:rPr>
        <w:t>: TPA-induced mRNA expression of SNA, FN and LEF</w:t>
      </w:r>
    </w:p>
    <w:p w14:paraId="7D1AC322" w14:textId="77777777" w:rsidR="003B28A1" w:rsidRPr="003B28A1" w:rsidRDefault="003B28A1" w:rsidP="003B28A1">
      <w:pPr>
        <w:spacing w:line="480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06BCDF39" w14:textId="77777777" w:rsidR="003B28A1" w:rsidRPr="003B28A1" w:rsidRDefault="003B28A1" w:rsidP="003B28A1">
      <w:pPr>
        <w:spacing w:line="480" w:lineRule="auto"/>
        <w:jc w:val="center"/>
        <w:rPr>
          <w:rFonts w:ascii="Times New Roman" w:hAnsi="Times New Roman" w:cs="Times New Roman"/>
        </w:rPr>
      </w:pPr>
      <w:r w:rsidRPr="003B28A1">
        <w:rPr>
          <w:rFonts w:ascii="Times New Roman" w:hAnsi="Times New Roman" w:cs="Times New Roman"/>
          <w:noProof/>
        </w:rPr>
        <w:drawing>
          <wp:inline distT="0" distB="0" distL="0" distR="0" wp14:anchorId="02A115C7" wp14:editId="78CD3740">
            <wp:extent cx="3902621" cy="4785951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 FIGURE1A-tpa time course snail, fn and lef qpcr-HCC34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016" cy="4786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C4887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sz w:val="22"/>
        </w:rPr>
      </w:pPr>
      <w:r w:rsidRPr="003B28A1">
        <w:rPr>
          <w:rFonts w:ascii="Times New Roman" w:hAnsi="Times New Roman" w:cs="Times New Roman"/>
          <w:sz w:val="22"/>
        </w:rPr>
        <w:t xml:space="preserve">HCC340 cells were treated with 50 </w:t>
      </w:r>
      <w:proofErr w:type="spellStart"/>
      <w:r w:rsidRPr="003B28A1">
        <w:rPr>
          <w:rFonts w:ascii="Times New Roman" w:hAnsi="Times New Roman" w:cs="Times New Roman"/>
          <w:sz w:val="22"/>
        </w:rPr>
        <w:t>nM</w:t>
      </w:r>
      <w:proofErr w:type="spellEnd"/>
      <w:r w:rsidRPr="003B28A1">
        <w:rPr>
          <w:rFonts w:ascii="Times New Roman" w:hAnsi="Times New Roman" w:cs="Times New Roman"/>
          <w:sz w:val="22"/>
        </w:rPr>
        <w:t xml:space="preserve"> TPA or TPA plus 5.0 </w:t>
      </w:r>
      <w:r w:rsidRPr="003B28A1">
        <w:rPr>
          <w:rFonts w:ascii="Times New Roman" w:hAnsi="Times New Roman" w:cs="Times New Roman"/>
          <w:sz w:val="22"/>
        </w:rPr>
        <w:sym w:font="Symbol" w:char="F06D"/>
      </w:r>
      <w:r w:rsidRPr="003B28A1">
        <w:rPr>
          <w:rFonts w:ascii="Times New Roman" w:hAnsi="Times New Roman" w:cs="Times New Roman"/>
          <w:sz w:val="22"/>
        </w:rPr>
        <w:t>M GW9662 for the time indicated. Quantitative RT-PCR of S</w:t>
      </w:r>
      <w:r w:rsidRPr="003B28A1">
        <w:rPr>
          <w:rFonts w:ascii="Times New Roman" w:hAnsi="Times New Roman" w:cs="Times New Roman"/>
          <w:sz w:val="22"/>
          <w:lang w:val="vi-VN"/>
        </w:rPr>
        <w:t>NA</w:t>
      </w:r>
      <w:r w:rsidRPr="003B28A1">
        <w:rPr>
          <w:rFonts w:ascii="Times New Roman" w:hAnsi="Times New Roman" w:cs="Times New Roman"/>
          <w:sz w:val="22"/>
        </w:rPr>
        <w:t>, FN and LEF were performed (normalized with GAPDH). The data represent the statistically significant difference (p &lt; 0.05, p&lt;0.001, N=3) between the indicated samples.</w:t>
      </w:r>
    </w:p>
    <w:p w14:paraId="36072D13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b/>
          <w:color w:val="000000" w:themeColor="text1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 1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>b</w:t>
      </w:r>
      <w:r w:rsidRPr="003B28A1">
        <w:rPr>
          <w:rFonts w:ascii="Times New Roman" w:hAnsi="Times New Roman" w:cs="Times New Roman"/>
          <w:b/>
          <w:color w:val="000000" w:themeColor="text1"/>
        </w:rPr>
        <w:t xml:space="preserve">: GW9662 rescued TPA-induced SNA and 4 mesenchymal genes </w:t>
      </w:r>
      <w:r w:rsidRPr="003B28A1">
        <w:rPr>
          <w:rFonts w:ascii="Times New Roman" w:eastAsia="DFKai-SB" w:hAnsi="Times New Roman" w:cs="Times New Roman"/>
          <w:b/>
          <w:color w:val="000000"/>
          <w:shd w:val="clear" w:color="auto" w:fill="FFFFFF"/>
        </w:rPr>
        <w:t>at 12 h</w:t>
      </w:r>
    </w:p>
    <w:p w14:paraId="4C58F710" w14:textId="55897C5C" w:rsidR="003B28A1" w:rsidRPr="003B28A1" w:rsidRDefault="000410CB" w:rsidP="003B28A1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74A659" wp14:editId="23C88F88">
            <wp:extent cx="3361208" cy="1520370"/>
            <wp:effectExtent l="0" t="0" r="444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1B-upper panel-western blo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5539" cy="153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AED65" w14:textId="51EC79F9" w:rsidR="003B28A1" w:rsidRPr="003B28A1" w:rsidRDefault="00BB613A" w:rsidP="003B28A1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D997F2A" wp14:editId="78102A15">
            <wp:extent cx="3172761" cy="2787949"/>
            <wp:effectExtent l="0" t="0" r="254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upplemental FIGURE1B-lower panel-western blot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225" cy="279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1E13C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HCC340 cells were treated with TPA (50 </w:t>
      </w:r>
      <w:proofErr w:type="spellStart"/>
      <w:r w:rsidRPr="003B28A1">
        <w:rPr>
          <w:rFonts w:ascii="Times New Roman" w:hAnsi="Times New Roman" w:cs="Times New Roman"/>
          <w:color w:val="000000" w:themeColor="text1"/>
          <w:sz w:val="22"/>
        </w:rPr>
        <w:t>nM</w:t>
      </w:r>
      <w:proofErr w:type="spellEnd"/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) alone or TPA coupled with GW9662 (5 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sym w:font="Symbol" w:char="F06D"/>
      </w:r>
      <w:r w:rsidRPr="003B28A1">
        <w:rPr>
          <w:rFonts w:ascii="Times New Roman" w:hAnsi="Times New Roman" w:cs="Times New Roman"/>
          <w:color w:val="000000" w:themeColor="text1"/>
          <w:sz w:val="22"/>
        </w:rPr>
        <w:t>M) for the time indicated. Western blot of shown molecules was performed and using GAPDH as an internal control. The data is representative of two reproducible experiments.</w:t>
      </w:r>
    </w:p>
    <w:p w14:paraId="6C6A6E58" w14:textId="77777777" w:rsidR="003B28A1" w:rsidRPr="003B28A1" w:rsidRDefault="003B28A1" w:rsidP="003B28A1">
      <w:pPr>
        <w:spacing w:line="480" w:lineRule="auto"/>
        <w:ind w:firstLine="142"/>
        <w:jc w:val="both"/>
        <w:rPr>
          <w:rFonts w:ascii="Times New Roman" w:hAnsi="Times New Roman" w:cs="Times New Roman"/>
          <w:b/>
          <w:color w:val="000000" w:themeColor="text1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 1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>c</w:t>
      </w:r>
      <w:r w:rsidRPr="003B28A1">
        <w:rPr>
          <w:rFonts w:ascii="Times New Roman" w:hAnsi="Times New Roman" w:cs="Times New Roman"/>
          <w:b/>
          <w:color w:val="000000" w:themeColor="text1"/>
        </w:rPr>
        <w:t>: SNA is required for elevating mRNA level of FN and LEF</w:t>
      </w:r>
    </w:p>
    <w:p w14:paraId="4A1824F9" w14:textId="53C63E17" w:rsidR="003B28A1" w:rsidRPr="003B28A1" w:rsidRDefault="003D1252" w:rsidP="003B28A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748D2CA" wp14:editId="1113517D">
            <wp:extent cx="3241390" cy="2387561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l FIGURE1C-rt pcr-shrna snail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7844" cy="2399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F39CE" w14:textId="16E2C580" w:rsidR="003B28A1" w:rsidRPr="003B28A1" w:rsidRDefault="003B28A1" w:rsidP="003B28A1">
      <w:pPr>
        <w:spacing w:line="480" w:lineRule="auto"/>
        <w:jc w:val="both"/>
        <w:rPr>
          <w:rFonts w:ascii="Times New Roman" w:hAnsi="Times New Roman" w:cs="Times New Roman"/>
        </w:rPr>
      </w:pPr>
    </w:p>
    <w:p w14:paraId="4969430A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sz w:val="22"/>
        </w:rPr>
      </w:pPr>
      <w:r w:rsidRPr="003B28A1">
        <w:rPr>
          <w:rFonts w:ascii="Times New Roman" w:hAnsi="Times New Roman" w:cs="Times New Roman"/>
          <w:sz w:val="22"/>
        </w:rPr>
        <w:lastRenderedPageBreak/>
        <w:t>HCC340 cells were transfected with various shRNA SNA fragments (18,19 and 20) for 24 h before treated with TPA in 4 h. RT/PCRs of the SNA, FN and LEF were performed using GAPDH as an internal control. The data shown is representative of two reproducible results.</w:t>
      </w:r>
    </w:p>
    <w:p w14:paraId="663DC11B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b/>
          <w:color w:val="000000" w:themeColor="text1"/>
          <w:lang w:val="vi-VN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2</w:t>
      </w:r>
      <w:r w:rsidRPr="003B28A1">
        <w:rPr>
          <w:rFonts w:ascii="Times New Roman" w:hAnsi="Times New Roman" w:cs="Times New Roman"/>
          <w:b/>
          <w:color w:val="000000" w:themeColor="text1"/>
        </w:rPr>
        <w:t>: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</w:t>
      </w:r>
      <w:r w:rsidRPr="003B28A1">
        <w:rPr>
          <w:rFonts w:ascii="Times New Roman" w:hAnsi="Times New Roman" w:cs="Times New Roman"/>
          <w:b/>
          <w:color w:val="000000" w:themeColor="text1"/>
        </w:rPr>
        <w:t>TPA-induced mRNA expression of PPAR-γ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at a later time and negatively regulated by SNA</w:t>
      </w:r>
    </w:p>
    <w:p w14:paraId="6A2606EB" w14:textId="42FD1B09" w:rsidR="003B28A1" w:rsidRPr="0021778E" w:rsidRDefault="004E24F7" w:rsidP="003B28A1">
      <w:pPr>
        <w:spacing w:line="480" w:lineRule="auto"/>
        <w:ind w:firstLine="142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a</w:t>
      </w:r>
      <w:r w:rsidR="003B28A1" w:rsidRPr="003B28A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="003B28A1" w:rsidRPr="003B28A1">
        <w:rPr>
          <w:rFonts w:ascii="Times New Roman" w:hAnsi="Times New Roman" w:cs="Times New Roman"/>
          <w:b/>
          <w:color w:val="000000" w:themeColor="text1"/>
          <w:sz w:val="28"/>
          <w:szCs w:val="28"/>
          <w:lang w:val="vi-VN"/>
        </w:rPr>
        <w:t xml:space="preserve">                             </w:t>
      </w:r>
      <w:r w:rsidR="003B28A1" w:rsidRPr="003B28A1">
        <w:rPr>
          <w:rFonts w:ascii="Times New Roman" w:hAnsi="Times New Roman" w:cs="Times New Roman"/>
          <w:b/>
          <w:color w:val="000000" w:themeColor="text1"/>
          <w:sz w:val="28"/>
          <w:szCs w:val="28"/>
          <w:lang w:val="vi-VN"/>
        </w:rPr>
        <w:tab/>
      </w:r>
      <w:r w:rsidR="003B28A1" w:rsidRPr="003B28A1">
        <w:rPr>
          <w:rFonts w:ascii="Times New Roman" w:hAnsi="Times New Roman" w:cs="Times New Roman"/>
          <w:b/>
          <w:color w:val="000000" w:themeColor="text1"/>
          <w:sz w:val="28"/>
          <w:szCs w:val="28"/>
          <w:lang w:val="vi-VN"/>
        </w:rPr>
        <w:tab/>
      </w:r>
      <w:r w:rsidR="003B28A1" w:rsidRPr="003B28A1">
        <w:rPr>
          <w:rFonts w:ascii="Times New Roman" w:hAnsi="Times New Roman" w:cs="Times New Roman"/>
          <w:b/>
          <w:color w:val="000000" w:themeColor="text1"/>
          <w:sz w:val="28"/>
          <w:szCs w:val="28"/>
          <w:lang w:val="vi-VN"/>
        </w:rPr>
        <w:tab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b</w:t>
      </w:r>
    </w:p>
    <w:p w14:paraId="4FE4449B" w14:textId="2332A0B8" w:rsidR="003B28A1" w:rsidRPr="003B28A1" w:rsidRDefault="003B28A1" w:rsidP="003B28A1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vi-VN"/>
        </w:rPr>
      </w:pPr>
      <w:r w:rsidRPr="003B28A1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</w:rPr>
        <w:drawing>
          <wp:inline distT="0" distB="0" distL="0" distR="0" wp14:anchorId="27CF9080" wp14:editId="60E748C1">
            <wp:extent cx="2833906" cy="1983934"/>
            <wp:effectExtent l="0" t="0" r="0" b="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518" cy="198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252">
        <w:rPr>
          <w:rFonts w:ascii="Times New Roman" w:hAnsi="Times New Roman" w:cs="Times New Roman"/>
          <w:b/>
          <w:noProof/>
          <w:color w:val="000000" w:themeColor="text1"/>
          <w:sz w:val="28"/>
          <w:szCs w:val="28"/>
          <w:lang w:val="vi-VN"/>
        </w:rPr>
        <w:drawing>
          <wp:inline distT="0" distB="0" distL="0" distR="0" wp14:anchorId="684C89D5" wp14:editId="7B080968">
            <wp:extent cx="2701181" cy="2494849"/>
            <wp:effectExtent l="0" t="0" r="444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l FIGURE2B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9855" cy="252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8C2FB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HCC340 cells were treated with 50 </w:t>
      </w:r>
      <w:proofErr w:type="spellStart"/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>nM</w:t>
      </w:r>
      <w:proofErr w:type="spellEnd"/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 TPA or with the GW9662 (5 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sym w:font="Symbol" w:char="F06D"/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>M) (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  <w:lang w:val="vi-VN"/>
        </w:rPr>
        <w:t>a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>) co-treated sample for indicated time and transfected with luciferase shRNA (Luc) or shRNA18 of SNA or SNA expressing plasmid for 24 h (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  <w:lang w:val="vi-VN"/>
        </w:rPr>
        <w:t>b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>). RT/PCRs (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  <w:lang w:val="vi-VN"/>
        </w:rPr>
        <w:t>b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>, lower panel) and Q-RT-PCR (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  <w:lang w:val="vi-VN"/>
        </w:rPr>
        <w:t>a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, 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  <w:lang w:val="vi-VN"/>
        </w:rPr>
        <w:t>b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>) of the indicated genes were performed using GAPDH as an internal control. The data shown in (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  <w:lang w:val="vi-VN"/>
        </w:rPr>
        <w:t>a, b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zCs w:val="22"/>
          <w:shd w:val="clear" w:color="auto" w:fill="FFFFFF"/>
        </w:rPr>
        <w:t xml:space="preserve">), </w:t>
      </w:r>
      <w:r w:rsidRPr="003B28A1">
        <w:rPr>
          <w:rFonts w:ascii="Times New Roman" w:hAnsi="Times New Roman" w:cs="Times New Roman"/>
          <w:color w:val="000000" w:themeColor="text1"/>
          <w:sz w:val="22"/>
          <w:szCs w:val="22"/>
        </w:rPr>
        <w:t>(*, **) represent the statistically signi</w:t>
      </w:r>
      <w:r w:rsidRPr="003B28A1">
        <w:rPr>
          <w:rFonts w:ascii="Times New Roman" w:eastAsia="AdvOT07517017+fb" w:hAnsi="Times New Roman" w:cs="Times New Roman"/>
          <w:color w:val="000000" w:themeColor="text1"/>
          <w:sz w:val="22"/>
          <w:szCs w:val="22"/>
        </w:rPr>
        <w:t>fi</w:t>
      </w:r>
      <w:r w:rsidRPr="003B28A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cant difference (p &lt; 0.05, p&lt;0.001, </w:t>
      </w:r>
      <w:r w:rsidRPr="003B28A1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>N=3</w:t>
      </w:r>
      <w:r w:rsidRPr="003B28A1">
        <w:rPr>
          <w:rFonts w:ascii="Times New Roman" w:hAnsi="Times New Roman" w:cs="Times New Roman"/>
          <w:color w:val="000000" w:themeColor="text1"/>
          <w:sz w:val="22"/>
          <w:szCs w:val="22"/>
        </w:rPr>
        <w:t>) between the indicated samples and Luc and p-cDNA3 (</w:t>
      </w:r>
      <w:r w:rsidRPr="003B28A1">
        <w:rPr>
          <w:rFonts w:ascii="Times New Roman" w:hAnsi="Times New Roman" w:cs="Times New Roman"/>
          <w:color w:val="000000" w:themeColor="text1"/>
          <w:sz w:val="22"/>
          <w:szCs w:val="22"/>
          <w:lang w:val="vi-VN"/>
        </w:rPr>
        <w:t>b</w:t>
      </w:r>
      <w:r w:rsidRPr="003B28A1">
        <w:rPr>
          <w:rFonts w:ascii="Times New Roman" w:hAnsi="Times New Roman" w:cs="Times New Roman"/>
          <w:color w:val="000000" w:themeColor="text1"/>
          <w:sz w:val="22"/>
          <w:szCs w:val="22"/>
        </w:rPr>
        <w:t>) control group.</w:t>
      </w:r>
    </w:p>
    <w:p w14:paraId="4DCCD466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b/>
          <w:bCs/>
          <w:color w:val="000000" w:themeColor="text1"/>
          <w:kern w:val="36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 xml:space="preserve">Supplemental Fig 3: </w:t>
      </w:r>
      <w:r w:rsidRPr="003B28A1">
        <w:rPr>
          <w:rFonts w:ascii="Times New Roman" w:hAnsi="Times New Roman" w:cs="Times New Roman"/>
          <w:b/>
          <w:bCs/>
          <w:color w:val="000000" w:themeColor="text1"/>
          <w:kern w:val="36"/>
        </w:rPr>
        <w:t>promoter sequences of FN and LEF containing PPAR-</w:t>
      </w:r>
      <w:r w:rsidRPr="003B28A1">
        <w:rPr>
          <w:rFonts w:ascii="Times New Roman" w:hAnsi="Times New Roman" w:cs="Times New Roman"/>
          <w:color w:val="000000" w:themeColor="text1"/>
        </w:rPr>
        <w:sym w:font="Symbol" w:char="F067"/>
      </w:r>
      <w:r w:rsidRPr="003B28A1">
        <w:rPr>
          <w:rFonts w:ascii="Times New Roman" w:hAnsi="Times New Roman" w:cs="Times New Roman"/>
          <w:b/>
          <w:bCs/>
          <w:color w:val="000000" w:themeColor="text1"/>
          <w:kern w:val="36"/>
        </w:rPr>
        <w:t>, Snail and EGR/SP1 overlapping region</w:t>
      </w:r>
    </w:p>
    <w:p w14:paraId="45FD3642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eastAsia="PMingLiU" w:hAnsi="Times New Roman" w:cs="Times New Roman"/>
          <w:b/>
          <w:bCs/>
          <w:color w:val="222222"/>
          <w:kern w:val="36"/>
        </w:rPr>
      </w:pPr>
      <w:r w:rsidRPr="003B28A1">
        <w:rPr>
          <w:rFonts w:ascii="Times New Roman" w:hAnsi="Times New Roman" w:cs="Times New Roman"/>
          <w:b/>
          <w:bCs/>
          <w:color w:val="222222"/>
          <w:kern w:val="36"/>
          <w:lang w:val="vi-VN"/>
        </w:rPr>
        <w:t>a</w:t>
      </w:r>
      <w:r w:rsidRPr="003B28A1">
        <w:rPr>
          <w:rFonts w:ascii="Times New Roman" w:hAnsi="Times New Roman" w:cs="Times New Roman"/>
          <w:b/>
          <w:bCs/>
          <w:color w:val="222222"/>
          <w:kern w:val="36"/>
        </w:rPr>
        <w:t xml:space="preserve">. Homo sapiens fibronectin 1 (FN1), </w:t>
      </w:r>
      <w:proofErr w:type="spellStart"/>
      <w:r w:rsidRPr="003B28A1">
        <w:rPr>
          <w:rFonts w:ascii="Times New Roman" w:hAnsi="Times New Roman" w:cs="Times New Roman"/>
          <w:b/>
          <w:bCs/>
          <w:color w:val="222222"/>
          <w:kern w:val="36"/>
        </w:rPr>
        <w:t>RefSeqGene</w:t>
      </w:r>
      <w:proofErr w:type="spellEnd"/>
      <w:r w:rsidRPr="003B28A1">
        <w:rPr>
          <w:rFonts w:ascii="Times New Roman" w:hAnsi="Times New Roman" w:cs="Times New Roman"/>
          <w:b/>
          <w:bCs/>
          <w:color w:val="222222"/>
          <w:kern w:val="36"/>
        </w:rPr>
        <w:t xml:space="preserve"> on chromosome 2,</w:t>
      </w:r>
      <w:r w:rsidRPr="003B28A1">
        <w:rPr>
          <w:rFonts w:ascii="Times New Roman" w:hAnsi="Times New Roman" w:cs="Times New Roman"/>
        </w:rPr>
        <w:t xml:space="preserve"> </w:t>
      </w:r>
      <w:r w:rsidRPr="003B28A1">
        <w:rPr>
          <w:rFonts w:ascii="Times New Roman" w:eastAsia="PMingLiU" w:hAnsi="Times New Roman" w:cs="Times New Roman"/>
          <w:b/>
          <w:bCs/>
          <w:color w:val="222222"/>
          <w:kern w:val="36"/>
        </w:rPr>
        <w:t>NCBI Reference Sequence: NG_012196.1</w:t>
      </w:r>
      <w:r w:rsidRPr="003B28A1">
        <w:rPr>
          <w:rFonts w:ascii="Times New Roman" w:hAnsi="Times New Roman" w:cs="Times New Roman"/>
          <w:color w:val="000000" w:themeColor="text1"/>
        </w:rPr>
        <w:t xml:space="preserve">                                           </w:t>
      </w:r>
    </w:p>
    <w:p w14:paraId="1E174D5B" w14:textId="584DFCFE" w:rsidR="003B28A1" w:rsidRPr="00F72C01" w:rsidRDefault="003B28A1" w:rsidP="003B28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</w:rPr>
      </w:pPr>
    </w:p>
    <w:p w14:paraId="7EFF6B8E" w14:textId="387A704E" w:rsidR="003B28A1" w:rsidRDefault="008E175B" w:rsidP="003B28A1">
      <w:pPr>
        <w:shd w:val="clear" w:color="auto" w:fill="FFFFFF"/>
        <w:spacing w:before="120" w:after="48" w:line="480" w:lineRule="auto"/>
        <w:jc w:val="both"/>
        <w:outlineLvl w:val="0"/>
        <w:rPr>
          <w:rFonts w:ascii="Times New Roman" w:hAnsi="Times New Roman" w:cs="Times New Roman"/>
          <w:b/>
          <w:bCs/>
          <w:color w:val="222222"/>
          <w:kern w:val="36"/>
          <w:lang w:val="vi-VN"/>
        </w:rPr>
      </w:pPr>
      <w:r>
        <w:rPr>
          <w:rFonts w:ascii="Times New Roman" w:hAnsi="Times New Roman" w:cs="Times New Roman"/>
          <w:b/>
          <w:bCs/>
          <w:noProof/>
          <w:color w:val="222222"/>
          <w:kern w:val="36"/>
          <w:lang w:val="vi-VN"/>
        </w:rPr>
        <w:lastRenderedPageBreak/>
        <w:drawing>
          <wp:inline distT="0" distB="0" distL="0" distR="0" wp14:anchorId="4C332C3D" wp14:editId="35D26DCE">
            <wp:extent cx="5727700" cy="4643755"/>
            <wp:effectExtent l="0" t="0" r="0" b="444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upplemental FIGURE3A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64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27DBC" w14:textId="5ADD87B0" w:rsidR="00F72C01" w:rsidRDefault="003B28A1" w:rsidP="00F72C01">
      <w:pPr>
        <w:shd w:val="clear" w:color="auto" w:fill="FFFFFF"/>
        <w:spacing w:before="120" w:after="48" w:line="480" w:lineRule="auto"/>
        <w:ind w:left="142"/>
        <w:jc w:val="both"/>
        <w:outlineLvl w:val="0"/>
        <w:rPr>
          <w:rFonts w:ascii="Times New Roman" w:hAnsi="Times New Roman" w:cs="Times New Roman"/>
          <w:b/>
          <w:color w:val="444444"/>
          <w:lang w:val="vi-VN"/>
        </w:rPr>
      </w:pPr>
      <w:r w:rsidRPr="003B28A1">
        <w:rPr>
          <w:rFonts w:ascii="Times New Roman" w:hAnsi="Times New Roman" w:cs="Times New Roman"/>
          <w:b/>
          <w:bCs/>
          <w:color w:val="222222"/>
          <w:kern w:val="36"/>
          <w:lang w:val="vi-VN"/>
        </w:rPr>
        <w:t xml:space="preserve">b. </w:t>
      </w:r>
      <w:r w:rsidRPr="003B28A1">
        <w:rPr>
          <w:rStyle w:val="highlight"/>
          <w:rFonts w:ascii="Times New Roman" w:hAnsi="Times New Roman" w:cs="Times New Roman"/>
          <w:b/>
          <w:color w:val="222222"/>
          <w:lang w:val="vi-VN"/>
        </w:rPr>
        <w:t>Homo sapiens</w:t>
      </w:r>
      <w:r w:rsidRPr="003B28A1">
        <w:rPr>
          <w:rFonts w:ascii="Times New Roman" w:hAnsi="Times New Roman" w:cs="Times New Roman"/>
          <w:b/>
          <w:color w:val="222222"/>
          <w:lang w:val="vi-VN"/>
        </w:rPr>
        <w:t> lymphoid enhancer binding factor 1 (</w:t>
      </w:r>
      <w:r w:rsidRPr="003B28A1">
        <w:rPr>
          <w:rStyle w:val="highlight"/>
          <w:rFonts w:ascii="Times New Roman" w:hAnsi="Times New Roman" w:cs="Times New Roman"/>
          <w:b/>
          <w:color w:val="222222"/>
          <w:lang w:val="vi-VN"/>
        </w:rPr>
        <w:t>LEF1</w:t>
      </w:r>
      <w:r w:rsidRPr="003B28A1">
        <w:rPr>
          <w:rFonts w:ascii="Times New Roman" w:hAnsi="Times New Roman" w:cs="Times New Roman"/>
          <w:b/>
          <w:color w:val="222222"/>
          <w:lang w:val="vi-VN"/>
        </w:rPr>
        <w:t xml:space="preserve">), RefSeqGene on chromosome 4 </w:t>
      </w:r>
      <w:r w:rsidRPr="003B28A1">
        <w:rPr>
          <w:rFonts w:ascii="Times New Roman" w:hAnsi="Times New Roman" w:cs="Times New Roman"/>
          <w:b/>
          <w:color w:val="444444"/>
          <w:lang w:val="vi-VN"/>
        </w:rPr>
        <w:t>NCBI Reference Sequence: NG_015798.1</w:t>
      </w:r>
    </w:p>
    <w:p w14:paraId="3938DD32" w14:textId="76E9B90E" w:rsidR="003B28A1" w:rsidRPr="008E175B" w:rsidRDefault="008E175B" w:rsidP="008E175B">
      <w:pPr>
        <w:shd w:val="clear" w:color="auto" w:fill="FFFFFF"/>
        <w:spacing w:before="120" w:after="48" w:line="480" w:lineRule="auto"/>
        <w:ind w:left="142"/>
        <w:jc w:val="both"/>
        <w:outlineLvl w:val="0"/>
        <w:rPr>
          <w:rFonts w:ascii="Times New Roman" w:hAnsi="Times New Roman" w:cs="Times New Roman"/>
          <w:b/>
          <w:color w:val="444444"/>
          <w:lang w:val="vi-VN"/>
        </w:rPr>
      </w:pPr>
      <w:r>
        <w:rPr>
          <w:rFonts w:ascii="Times New Roman" w:hAnsi="Times New Roman" w:cs="Times New Roman"/>
          <w:b/>
          <w:noProof/>
          <w:color w:val="444444"/>
          <w:lang w:val="vi-VN"/>
        </w:rPr>
        <w:lastRenderedPageBreak/>
        <w:drawing>
          <wp:inline distT="0" distB="0" distL="0" distR="0" wp14:anchorId="29571C80" wp14:editId="29C069E4">
            <wp:extent cx="5727700" cy="4171950"/>
            <wp:effectExtent l="0" t="0" r="0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upplemental FIGURE3B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AA3B3" w14:textId="77777777" w:rsidR="003B28A1" w:rsidRPr="00837865" w:rsidRDefault="003B28A1" w:rsidP="003B28A1">
      <w:pPr>
        <w:pStyle w:val="Heading1"/>
        <w:shd w:val="clear" w:color="auto" w:fill="FFFFFF"/>
        <w:spacing w:before="120" w:beforeAutospacing="0" w:after="48" w:afterAutospacing="0" w:line="480" w:lineRule="auto"/>
        <w:ind w:left="142"/>
        <w:jc w:val="both"/>
        <w:rPr>
          <w:color w:val="444444"/>
          <w:kern w:val="0"/>
          <w:sz w:val="24"/>
          <w:szCs w:val="24"/>
        </w:rPr>
      </w:pPr>
      <w:r>
        <w:rPr>
          <w:bCs w:val="0"/>
          <w:color w:val="222222"/>
          <w:sz w:val="24"/>
          <w:szCs w:val="24"/>
          <w:lang w:val="vi-VN"/>
        </w:rPr>
        <w:t>c</w:t>
      </w:r>
      <w:r w:rsidRPr="00837865">
        <w:rPr>
          <w:color w:val="222222"/>
          <w:sz w:val="24"/>
          <w:szCs w:val="24"/>
          <w:lang w:val="vi-VN"/>
        </w:rPr>
        <w:t>.</w:t>
      </w:r>
      <w:r w:rsidRPr="00837865">
        <w:rPr>
          <w:b w:val="0"/>
          <w:bCs w:val="0"/>
          <w:color w:val="222222"/>
          <w:sz w:val="24"/>
          <w:szCs w:val="24"/>
        </w:rPr>
        <w:t xml:space="preserve"> </w:t>
      </w:r>
      <w:r w:rsidRPr="00837865">
        <w:rPr>
          <w:color w:val="222222"/>
          <w:sz w:val="24"/>
          <w:szCs w:val="24"/>
        </w:rPr>
        <w:t xml:space="preserve">Homo sapiens prostaglandin endoperoxide synthase 2 (COX2), </w:t>
      </w:r>
      <w:proofErr w:type="spellStart"/>
      <w:r w:rsidRPr="00837865">
        <w:rPr>
          <w:color w:val="222222"/>
          <w:sz w:val="24"/>
          <w:szCs w:val="24"/>
        </w:rPr>
        <w:t>RefSeqGene</w:t>
      </w:r>
      <w:proofErr w:type="spellEnd"/>
      <w:r w:rsidRPr="00837865">
        <w:rPr>
          <w:color w:val="222222"/>
          <w:sz w:val="24"/>
          <w:szCs w:val="24"/>
        </w:rPr>
        <w:t xml:space="preserve"> on chromosome 1 </w:t>
      </w:r>
      <w:r w:rsidRPr="00837865">
        <w:rPr>
          <w:color w:val="444444"/>
          <w:kern w:val="0"/>
          <w:sz w:val="24"/>
          <w:szCs w:val="24"/>
        </w:rPr>
        <w:t>NCBI Reference Sequence: NG_028206.2</w:t>
      </w:r>
    </w:p>
    <w:p w14:paraId="42B6F061" w14:textId="1BB97871" w:rsidR="003B28A1" w:rsidRDefault="008E175B" w:rsidP="003B28A1">
      <w:pPr>
        <w:pStyle w:val="HTMLPreformatted"/>
        <w:shd w:val="clear" w:color="auto" w:fill="FFFFFF"/>
        <w:rPr>
          <w:color w:val="000000"/>
          <w:lang w:val="vi-VN"/>
        </w:rPr>
      </w:pPr>
      <w:r>
        <w:rPr>
          <w:noProof/>
          <w:color w:val="000000"/>
          <w:lang w:val="vi-VN"/>
        </w:rPr>
        <w:drawing>
          <wp:inline distT="0" distB="0" distL="0" distR="0" wp14:anchorId="354E417F" wp14:editId="2F4B0785">
            <wp:extent cx="5727700" cy="3663950"/>
            <wp:effectExtent l="0" t="0" r="0" b="635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upplemental FIGURE3C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6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097B8" w14:textId="77777777" w:rsidR="003B28A1" w:rsidRDefault="003B28A1" w:rsidP="003B28A1">
      <w:pPr>
        <w:pStyle w:val="HTMLPreformatted"/>
        <w:shd w:val="clear" w:color="auto" w:fill="FFFFFF"/>
        <w:rPr>
          <w:color w:val="000000"/>
          <w:lang w:val="vi-VN"/>
        </w:rPr>
      </w:pPr>
    </w:p>
    <w:p w14:paraId="06396FEC" w14:textId="77777777" w:rsidR="003B28A1" w:rsidRPr="00837865" w:rsidRDefault="003B28A1" w:rsidP="003B28A1">
      <w:pPr>
        <w:pStyle w:val="HTMLPreformatted"/>
        <w:shd w:val="clear" w:color="auto" w:fill="FFFFFF"/>
        <w:spacing w:line="480" w:lineRule="auto"/>
        <w:ind w:left="142"/>
        <w:jc w:val="both"/>
        <w:rPr>
          <w:rFonts w:ascii="Times New Roman" w:hAnsi="Times New Roman"/>
          <w:b/>
          <w:color w:val="000000"/>
          <w:sz w:val="24"/>
          <w:szCs w:val="24"/>
          <w:lang w:val="vi-VN"/>
        </w:rPr>
      </w:pPr>
      <w:r>
        <w:rPr>
          <w:rFonts w:ascii="Times New Roman" w:hAnsi="Times New Roman"/>
          <w:b/>
          <w:bCs/>
          <w:color w:val="222222"/>
          <w:sz w:val="24"/>
          <w:szCs w:val="24"/>
          <w:lang w:val="vi-VN"/>
        </w:rPr>
        <w:t>d</w:t>
      </w:r>
      <w:r w:rsidRPr="00837865">
        <w:rPr>
          <w:rFonts w:ascii="Times New Roman" w:hAnsi="Times New Roman"/>
          <w:b/>
          <w:color w:val="222222"/>
          <w:sz w:val="24"/>
          <w:szCs w:val="24"/>
          <w:lang w:val="vi-VN"/>
        </w:rPr>
        <w:t>.</w:t>
      </w:r>
      <w:r w:rsidRPr="0083786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7865">
        <w:rPr>
          <w:rFonts w:ascii="Times New Roman" w:hAnsi="Times New Roman"/>
          <w:b/>
          <w:color w:val="000000"/>
          <w:sz w:val="24"/>
          <w:szCs w:val="24"/>
          <w:lang w:val="vi-VN"/>
        </w:rPr>
        <w:t>Homo sapiens collagen type I alpha 1 chain (COL1A1),</w:t>
      </w:r>
      <w:r w:rsidRPr="0083786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7865">
        <w:rPr>
          <w:rFonts w:ascii="Times New Roman" w:hAnsi="Times New Roman"/>
          <w:b/>
          <w:color w:val="000000"/>
          <w:sz w:val="24"/>
          <w:szCs w:val="24"/>
          <w:lang w:val="vi-VN"/>
        </w:rPr>
        <w:t>RefSeqGene on chromosome 17</w:t>
      </w:r>
      <w:r w:rsidRPr="0083786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7865">
        <w:rPr>
          <w:rFonts w:ascii="Times New Roman" w:hAnsi="Times New Roman"/>
          <w:b/>
          <w:color w:val="000000"/>
          <w:sz w:val="24"/>
          <w:szCs w:val="24"/>
          <w:lang w:val="vi-VN"/>
        </w:rPr>
        <w:t>NCBI Reference Sequence:</w:t>
      </w:r>
      <w:r w:rsidRPr="0083786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37865">
        <w:rPr>
          <w:rFonts w:ascii="Times New Roman" w:hAnsi="Times New Roman"/>
          <w:b/>
          <w:color w:val="000000"/>
          <w:sz w:val="24"/>
          <w:szCs w:val="24"/>
          <w:lang w:val="vi-VN"/>
        </w:rPr>
        <w:t xml:space="preserve">NG_007400.1                                                               </w:t>
      </w:r>
    </w:p>
    <w:p w14:paraId="3AFF2790" w14:textId="21AE8064" w:rsidR="003B28A1" w:rsidRPr="00F72C01" w:rsidRDefault="00510ABE" w:rsidP="008E175B">
      <w:pPr>
        <w:autoSpaceDE w:val="0"/>
        <w:autoSpaceDN w:val="0"/>
        <w:adjustRightInd w:val="0"/>
        <w:jc w:val="both"/>
        <w:rPr>
          <w:rFonts w:eastAsia="DFKai-SB" w:cstheme="minorHAnsi"/>
          <w:color w:val="000000"/>
          <w:sz w:val="20"/>
          <w:szCs w:val="20"/>
          <w:shd w:val="clear" w:color="auto" w:fill="FFFFFF"/>
          <w:lang w:val="vi-VN"/>
        </w:rPr>
      </w:pPr>
      <w:r>
        <w:rPr>
          <w:rFonts w:eastAsia="DFKai-SB" w:cstheme="minorHAnsi"/>
          <w:noProof/>
          <w:color w:val="000000"/>
          <w:sz w:val="20"/>
          <w:szCs w:val="20"/>
          <w:shd w:val="clear" w:color="auto" w:fill="FFFFFF"/>
          <w:lang w:val="vi-VN"/>
        </w:rPr>
        <w:drawing>
          <wp:inline distT="0" distB="0" distL="0" distR="0" wp14:anchorId="3E803E57" wp14:editId="70DA6D76">
            <wp:extent cx="5727700" cy="3411220"/>
            <wp:effectExtent l="0" t="0" r="0" b="508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upplemental FIGURE3D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D96E7" w14:textId="77777777" w:rsidR="003B28A1" w:rsidRDefault="003B28A1" w:rsidP="003B28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color w:val="000000"/>
          <w:sz w:val="20"/>
          <w:szCs w:val="20"/>
          <w:lang w:val="vi-VN"/>
        </w:rPr>
      </w:pPr>
      <w:r w:rsidRPr="008C14A4">
        <w:rPr>
          <w:rFonts w:ascii="Courier New" w:hAnsi="Courier New" w:cs="Courier New"/>
          <w:color w:val="000000"/>
          <w:sz w:val="20"/>
          <w:szCs w:val="20"/>
          <w:lang w:val="vi-VN"/>
        </w:rPr>
        <w:t xml:space="preserve">       </w:t>
      </w:r>
      <w:r w:rsidRPr="00847524">
        <w:rPr>
          <w:rFonts w:ascii="Courier New" w:hAnsi="Courier New" w:cs="Courier New"/>
          <w:color w:val="000000"/>
          <w:sz w:val="20"/>
          <w:szCs w:val="20"/>
          <w:lang w:val="vi-VN"/>
        </w:rPr>
        <w:t xml:space="preserve">              </w:t>
      </w:r>
      <w:r w:rsidRPr="00C14494">
        <w:rPr>
          <w:rFonts w:ascii="Courier New" w:hAnsi="Courier New" w:cs="Courier New"/>
          <w:color w:val="000000"/>
          <w:sz w:val="20"/>
          <w:szCs w:val="20"/>
          <w:lang w:val="vi-VN"/>
        </w:rPr>
        <w:t xml:space="preserve">                                           </w:t>
      </w:r>
    </w:p>
    <w:p w14:paraId="2ACCE234" w14:textId="46386DAB" w:rsidR="009237A7" w:rsidRPr="00CE4DE0" w:rsidRDefault="003B28A1" w:rsidP="00CE4D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80" w:lineRule="auto"/>
        <w:ind w:firstLine="142"/>
        <w:rPr>
          <w:rFonts w:ascii="Times New Roman" w:eastAsia="DFKai-SB" w:hAnsi="Times New Roman" w:cs="Times New Roman"/>
          <w:color w:val="000000"/>
          <w:shd w:val="clear" w:color="auto" w:fill="FFFFFF"/>
        </w:rPr>
      </w:pPr>
      <w:r w:rsidRPr="003B28A1">
        <w:rPr>
          <w:rFonts w:ascii="Times New Roman" w:eastAsia="DFKai-SB" w:hAnsi="Times New Roman" w:cs="Times New Roman"/>
          <w:color w:val="000000"/>
          <w:shd w:val="clear" w:color="auto" w:fill="FFFFFF"/>
        </w:rPr>
        <w:t>Promoter region of FN (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  <w:lang w:val="vi-VN"/>
        </w:rPr>
        <w:t>a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</w:rPr>
        <w:t>), LEF (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  <w:lang w:val="vi-VN"/>
        </w:rPr>
        <w:t>b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</w:rPr>
        <w:t>), COX2 (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  <w:lang w:val="vi-VN"/>
        </w:rPr>
        <w:t>c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</w:rPr>
        <w:t>) and COL1A1 (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  <w:lang w:val="vi-VN"/>
        </w:rPr>
        <w:t>d</w:t>
      </w:r>
      <w:r w:rsidRPr="003B28A1">
        <w:rPr>
          <w:rFonts w:ascii="Times New Roman" w:eastAsia="DFKai-SB" w:hAnsi="Times New Roman" w:cs="Times New Roman"/>
          <w:color w:val="000000"/>
          <w:shd w:val="clear" w:color="auto" w:fill="FFFFFF"/>
        </w:rPr>
        <w:t>) quoted from gene bank</w:t>
      </w:r>
    </w:p>
    <w:p w14:paraId="574AF7A4" w14:textId="786F2427" w:rsidR="009237A7" w:rsidRPr="00120B22" w:rsidRDefault="009237A7" w:rsidP="009237A7">
      <w:pPr>
        <w:spacing w:line="480" w:lineRule="auto"/>
        <w:ind w:left="142"/>
        <w:rPr>
          <w:rFonts w:ascii="Times New Roman" w:hAnsi="Times New Roman" w:cs="Times New Roman"/>
          <w:b/>
        </w:rPr>
      </w:pPr>
      <w:r w:rsidRPr="00120B22">
        <w:rPr>
          <w:rFonts w:ascii="Times New Roman" w:hAnsi="Times New Roman" w:cs="Times New Roman"/>
          <w:b/>
          <w:lang w:val="vi-VN"/>
        </w:rPr>
        <w:t>e.</w:t>
      </w:r>
      <w:r w:rsidRPr="00120B22">
        <w:rPr>
          <w:b/>
          <w:lang w:val="vi-VN"/>
        </w:rPr>
        <w:t xml:space="preserve"> </w:t>
      </w:r>
      <w:r w:rsidRPr="00120B22">
        <w:rPr>
          <w:rFonts w:ascii="Times New Roman" w:hAnsi="Times New Roman" w:cs="Times New Roman"/>
          <w:b/>
          <w:lang w:val="vi-VN"/>
        </w:rPr>
        <w:t xml:space="preserve">The </w:t>
      </w:r>
      <w:r w:rsidRPr="00120B22">
        <w:rPr>
          <w:rFonts w:ascii="Times New Roman" w:hAnsi="Times New Roman" w:cs="Times New Roman"/>
          <w:b/>
        </w:rPr>
        <w:t>putative binding motif of PPAR</w:t>
      </w:r>
      <w:r w:rsidRPr="00120B22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>-γ</w:t>
      </w:r>
      <w:r w:rsidR="00214AF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 xml:space="preserve"> for </w:t>
      </w:r>
      <w:r w:rsidR="009A3E2B" w:rsidRPr="00837865">
        <w:rPr>
          <w:rFonts w:ascii="Times New Roman" w:hAnsi="Times New Roman"/>
          <w:b/>
          <w:color w:val="000000"/>
          <w:lang w:val="vi-VN"/>
        </w:rPr>
        <w:t>Homo sapiens</w:t>
      </w:r>
      <w:r w:rsidR="00214AFB" w:rsidRPr="00214AFB">
        <w:t xml:space="preserve"> </w:t>
      </w:r>
      <w:r w:rsidR="00214AF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 xml:space="preserve">according to </w:t>
      </w:r>
      <w:r w:rsidR="00214AFB" w:rsidRPr="00214AF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>the JASPAR database</w:t>
      </w:r>
      <w:r w:rsidR="009A3E2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 xml:space="preserve">: </w:t>
      </w:r>
      <w:r w:rsidR="009A3E2B" w:rsidRPr="009A3E2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>MA0065.1</w:t>
      </w:r>
      <w:r w:rsidR="00214AF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 xml:space="preserve"> (</w:t>
      </w:r>
      <w:hyperlink r:id="rId17" w:history="1"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http://jaspar.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g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enereg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.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net/matri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x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/MA00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6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5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.</w:t>
        </w:r>
        <w:r w:rsidR="00214AFB" w:rsidRPr="009A3E2B">
          <w:rPr>
            <w:rStyle w:val="Hyperlink"/>
            <w:rFonts w:ascii="Times New Roman" w:eastAsia="Times New Roman" w:hAnsi="Times New Roman" w:cs="Times New Roman"/>
            <w:u w:val="none"/>
            <w:shd w:val="clear" w:color="auto" w:fill="FFFFFF"/>
            <w:lang w:eastAsia="zh-CN"/>
          </w:rPr>
          <w:t>1/?revcomp=1</w:t>
        </w:r>
      </w:hyperlink>
      <w:r w:rsidR="00214AF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  <w:lang w:eastAsia="zh-CN"/>
        </w:rPr>
        <w:t>)</w:t>
      </w:r>
    </w:p>
    <w:p w14:paraId="4371D599" w14:textId="77777777" w:rsidR="009237A7" w:rsidRPr="009237A7" w:rsidRDefault="009237A7" w:rsidP="00CA779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42"/>
        <w:rPr>
          <w:rFonts w:ascii="Times New Roman" w:hAnsi="Times New Roman" w:cs="Times New Roman"/>
          <w:color w:val="000000"/>
          <w:sz w:val="20"/>
          <w:szCs w:val="20"/>
        </w:rPr>
      </w:pPr>
    </w:p>
    <w:p w14:paraId="377C2EC7" w14:textId="29293633" w:rsidR="003B28A1" w:rsidRDefault="009A3E2B" w:rsidP="008E175B">
      <w:pPr>
        <w:ind w:firstLine="142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40CD7AB5" wp14:editId="1D706945">
            <wp:extent cx="3563007" cy="1875912"/>
            <wp:effectExtent l="0" t="0" r="5715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Supplemental FIGURE3E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437" cy="189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103B7" w14:textId="77777777" w:rsidR="009A3E2B" w:rsidRPr="003B28A1" w:rsidRDefault="009A3E2B" w:rsidP="003B28A1">
      <w:pPr>
        <w:jc w:val="both"/>
        <w:rPr>
          <w:rFonts w:ascii="Times New Roman" w:hAnsi="Times New Roman" w:cs="Times New Roman"/>
          <w:color w:val="000000"/>
        </w:rPr>
      </w:pPr>
    </w:p>
    <w:p w14:paraId="321B4B48" w14:textId="77777777" w:rsidR="003B28A1" w:rsidRPr="003B28A1" w:rsidRDefault="003B28A1" w:rsidP="003B28A1">
      <w:pPr>
        <w:pStyle w:val="ListParagraph"/>
        <w:autoSpaceDE w:val="0"/>
        <w:autoSpaceDN w:val="0"/>
        <w:adjustRightInd w:val="0"/>
        <w:spacing w:line="480" w:lineRule="auto"/>
        <w:ind w:leftChars="0" w:left="142"/>
        <w:rPr>
          <w:rFonts w:ascii="Times New Roman" w:hAnsi="Times New Roman" w:cs="Times New Roman"/>
          <w:b/>
          <w:color w:val="000000" w:themeColor="text1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</w:t>
      </w:r>
      <w:r w:rsidRPr="003B28A1">
        <w:rPr>
          <w:rFonts w:ascii="Times New Roman" w:hAnsi="Times New Roman" w:cs="Times New Roman"/>
          <w:b/>
          <w:color w:val="000000" w:themeColor="text1"/>
        </w:rPr>
        <w:t>4:</w:t>
      </w:r>
      <w:r w:rsidRPr="003B28A1">
        <w:rPr>
          <w:rFonts w:ascii="Times New Roman" w:hAnsi="Times New Roman" w:cs="Times New Roman"/>
          <w:color w:val="000000" w:themeColor="text1"/>
        </w:rPr>
        <w:t xml:space="preserve"> </w:t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</w:rPr>
        <w:t>PPAR-</w:t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</w:rPr>
        <w:sym w:font="Symbol" w:char="F067"/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</w:rPr>
        <w:t xml:space="preserve"> plays the role as the negative feedback against the SN</w:t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  <w:lang w:val="vi-VN"/>
        </w:rPr>
        <w:t>A</w:t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</w:rPr>
        <w:t>-upregulated transcription for FN, LEF, MMP9 and ZEB</w:t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  <w:lang w:val="vi-VN"/>
        </w:rPr>
        <w:t>1</w:t>
      </w:r>
      <w:r w:rsidRPr="003B28A1">
        <w:rPr>
          <w:rFonts w:ascii="Times New Roman" w:eastAsia="DFKai-SB" w:hAnsi="Times New Roman" w:cs="Times New Roman"/>
          <w:b/>
          <w:color w:val="000000" w:themeColor="text1"/>
          <w:shd w:val="clear" w:color="auto" w:fill="FFFFFF"/>
        </w:rPr>
        <w:t xml:space="preserve"> at late stage</w:t>
      </w:r>
      <w:r w:rsidRPr="003B28A1">
        <w:rPr>
          <w:rFonts w:ascii="Times New Roman" w:hAnsi="Times New Roman" w:cs="Times New Roman"/>
          <w:b/>
          <w:color w:val="000000" w:themeColor="text1"/>
        </w:rPr>
        <w:t xml:space="preserve"> of TPA treatment</w:t>
      </w:r>
    </w:p>
    <w:p w14:paraId="5C23CB77" w14:textId="0C80B2E8" w:rsidR="003B28A1" w:rsidRPr="0021778E" w:rsidRDefault="004E24F7" w:rsidP="003B28A1">
      <w:pPr>
        <w:spacing w:line="480" w:lineRule="auto"/>
        <w:ind w:firstLineChars="59" w:firstLine="142"/>
        <w:jc w:val="both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lastRenderedPageBreak/>
        <w:t>a</w:t>
      </w:r>
    </w:p>
    <w:p w14:paraId="417B286C" w14:textId="2B3AB09D" w:rsidR="003B28A1" w:rsidRPr="008E175B" w:rsidRDefault="003B28A1" w:rsidP="008E175B">
      <w:pPr>
        <w:spacing w:line="480" w:lineRule="auto"/>
        <w:ind w:firstLineChars="100" w:firstLine="240"/>
        <w:jc w:val="both"/>
        <w:rPr>
          <w:rFonts w:ascii="Times New Roman" w:hAnsi="Times New Roman" w:cs="Times New Roman"/>
          <w:color w:val="FF0000"/>
        </w:rPr>
      </w:pPr>
      <w:r w:rsidRPr="003B28A1">
        <w:rPr>
          <w:rFonts w:ascii="Times New Roman" w:hAnsi="Times New Roman" w:cs="Times New Roman"/>
          <w:noProof/>
          <w:color w:val="FF0000"/>
        </w:rPr>
        <w:drawing>
          <wp:inline distT="0" distB="0" distL="0" distR="0" wp14:anchorId="596B8AEF" wp14:editId="0DBDC792">
            <wp:extent cx="4374108" cy="2697773"/>
            <wp:effectExtent l="0" t="0" r="7620" b="7620"/>
            <wp:docPr id="6" name="圖片 6" descr="F:\2020研究\Snail FN LEF 2020\Fig for submit 0710\Supplemental FIGURE3A-MMP9 and ZEB1 GW9662 HepG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0研究\Snail FN LEF 2020\Fig for submit 0710\Supplemental FIGURE3A-MMP9 and ZEB1 GW9662 HepG2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8012" cy="2706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A82EA" w14:textId="4C8A6495" w:rsidR="003B28A1" w:rsidRPr="0021778E" w:rsidRDefault="004E24F7" w:rsidP="003B28A1">
      <w:pPr>
        <w:spacing w:line="480" w:lineRule="auto"/>
        <w:ind w:firstLine="14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</w:t>
      </w:r>
    </w:p>
    <w:p w14:paraId="700D1004" w14:textId="77777777" w:rsidR="003B28A1" w:rsidRPr="003B28A1" w:rsidRDefault="003B28A1" w:rsidP="003B28A1">
      <w:pPr>
        <w:spacing w:line="480" w:lineRule="auto"/>
        <w:jc w:val="both"/>
        <w:rPr>
          <w:rFonts w:ascii="Times New Roman" w:hAnsi="Times New Roman" w:cs="Times New Roman"/>
        </w:rPr>
      </w:pPr>
      <w:r w:rsidRPr="003B28A1">
        <w:rPr>
          <w:rFonts w:ascii="Times New Roman" w:hAnsi="Times New Roman" w:cs="Times New Roman"/>
          <w:noProof/>
        </w:rPr>
        <w:drawing>
          <wp:inline distT="0" distB="0" distL="0" distR="0" wp14:anchorId="449DF039" wp14:editId="7A159FC8">
            <wp:extent cx="4029654" cy="2521808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MP9 and ZEB1 GW9662 HCC340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4507" cy="2531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C4E75" w14:textId="7DE02B9F" w:rsidR="003B28A1" w:rsidRPr="0021778E" w:rsidRDefault="004E24F7" w:rsidP="003B28A1">
      <w:pPr>
        <w:spacing w:line="480" w:lineRule="auto"/>
        <w:ind w:firstLine="142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</w:p>
    <w:p w14:paraId="7ECAB2A5" w14:textId="77777777" w:rsidR="003B28A1" w:rsidRPr="003B28A1" w:rsidRDefault="003B28A1" w:rsidP="003B28A1">
      <w:pPr>
        <w:spacing w:line="480" w:lineRule="auto"/>
        <w:jc w:val="both"/>
        <w:rPr>
          <w:rFonts w:ascii="Times New Roman" w:hAnsi="Times New Roman" w:cs="Times New Roman"/>
        </w:rPr>
      </w:pPr>
      <w:r w:rsidRPr="003B28A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9FBD22" wp14:editId="4D279665">
            <wp:extent cx="5124950" cy="3090025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EMENTAL 3C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9200" cy="3092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46378" w14:textId="77777777" w:rsidR="003B28A1" w:rsidRPr="003B28A1" w:rsidRDefault="003B28A1" w:rsidP="003B28A1">
      <w:pPr>
        <w:spacing w:line="480" w:lineRule="auto"/>
        <w:ind w:left="142" w:hanging="1"/>
        <w:jc w:val="both"/>
        <w:rPr>
          <w:rFonts w:ascii="Times New Roman" w:hAnsi="Times New Roman" w:cs="Times New Roman"/>
          <w:color w:val="000000" w:themeColor="text1"/>
          <w:sz w:val="22"/>
        </w:rPr>
      </w:pPr>
      <w:r w:rsidRPr="003B28A1">
        <w:rPr>
          <w:rFonts w:ascii="Times New Roman" w:hAnsi="Times New Roman" w:cs="Times New Roman"/>
          <w:color w:val="000000" w:themeColor="text1"/>
          <w:sz w:val="22"/>
        </w:rPr>
        <w:t>HepG2 (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a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>) and HCC340 (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b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c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>) were transfected with indicated promoter fragments (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a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b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c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) for 24 h followed by treatment with TPA 50 </w:t>
      </w:r>
      <w:proofErr w:type="spellStart"/>
      <w:r w:rsidRPr="003B28A1">
        <w:rPr>
          <w:rFonts w:ascii="Times New Roman" w:hAnsi="Times New Roman" w:cs="Times New Roman"/>
          <w:color w:val="000000" w:themeColor="text1"/>
          <w:sz w:val="22"/>
        </w:rPr>
        <w:t>nM</w:t>
      </w:r>
      <w:proofErr w:type="spellEnd"/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 or TPA plus 2.5 or 5.0 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sym w:font="Symbol" w:char="F06D"/>
      </w:r>
      <w:r w:rsidRPr="003B28A1">
        <w:rPr>
          <w:rFonts w:ascii="Times New Roman" w:hAnsi="Times New Roman" w:cs="Times New Roman"/>
          <w:color w:val="000000" w:themeColor="text1"/>
          <w:sz w:val="22"/>
        </w:rPr>
        <w:t>M GW9662 for 12 h (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a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b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>) or 4 h (</w:t>
      </w:r>
      <w:r w:rsidRPr="003B28A1">
        <w:rPr>
          <w:rFonts w:ascii="Times New Roman" w:hAnsi="Times New Roman" w:cs="Times New Roman"/>
          <w:color w:val="000000" w:themeColor="text1"/>
          <w:sz w:val="22"/>
          <w:lang w:val="vi-VN"/>
        </w:rPr>
        <w:t>c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). </w:t>
      </w:r>
      <w:r w:rsidRPr="003B28A1">
        <w:rPr>
          <w:rFonts w:ascii="Times New Roman" w:eastAsia="DFKai-SB" w:hAnsi="Times New Roman" w:cs="Times New Roman"/>
          <w:color w:val="000000" w:themeColor="text1"/>
          <w:sz w:val="22"/>
          <w:shd w:val="clear" w:color="auto" w:fill="FFFFFF"/>
        </w:rPr>
        <w:t xml:space="preserve">Dual luciferase was performed. Relative fold of TPA induced luciferase activity was calculated, taking the data of pGL3 group as 1.0. 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>(*, **) represent the statistically signi</w:t>
      </w:r>
      <w:r w:rsidRPr="003B28A1">
        <w:rPr>
          <w:rFonts w:ascii="Times New Roman" w:eastAsia="AdvOT07517017+fb" w:hAnsi="Times New Roman" w:cs="Times New Roman"/>
          <w:color w:val="000000" w:themeColor="text1"/>
          <w:sz w:val="22"/>
        </w:rPr>
        <w:t>fi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cant difference (p &lt; 0.05, p &lt; 0.01, </w:t>
      </w:r>
      <w:r w:rsidRPr="003B28A1">
        <w:rPr>
          <w:rFonts w:ascii="Times New Roman" w:hAnsi="Times New Roman" w:cs="Times New Roman"/>
          <w:bCs/>
          <w:color w:val="000000" w:themeColor="text1"/>
          <w:sz w:val="22"/>
        </w:rPr>
        <w:t>N=3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) between the indicated full length promoter group with indicated short length promoter or with the GW9662 (2.5 or 5 </w:t>
      </w:r>
      <w:r w:rsidRPr="003B28A1">
        <w:rPr>
          <w:rFonts w:ascii="Times New Roman" w:hAnsi="Times New Roman" w:cs="Times New Roman"/>
          <w:color w:val="000000" w:themeColor="text1"/>
          <w:sz w:val="22"/>
        </w:rPr>
        <w:sym w:font="Symbol" w:char="F06D"/>
      </w:r>
      <w:r w:rsidRPr="003B28A1">
        <w:rPr>
          <w:rFonts w:ascii="Times New Roman" w:hAnsi="Times New Roman" w:cs="Times New Roman"/>
          <w:color w:val="000000" w:themeColor="text1"/>
          <w:sz w:val="22"/>
        </w:rPr>
        <w:t xml:space="preserve">M) co-treated sample. </w:t>
      </w:r>
    </w:p>
    <w:p w14:paraId="11D8D26E" w14:textId="77777777" w:rsidR="003B28A1" w:rsidRPr="003B28A1" w:rsidRDefault="003B28A1" w:rsidP="003B28A1">
      <w:pPr>
        <w:spacing w:line="480" w:lineRule="auto"/>
        <w:ind w:firstLine="142"/>
        <w:rPr>
          <w:rFonts w:ascii="Times New Roman" w:hAnsi="Times New Roman" w:cs="Times New Roman"/>
          <w:b/>
          <w:color w:val="000000" w:themeColor="text1"/>
          <w:lang w:val="vi-VN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5</w:t>
      </w:r>
      <w:r w:rsidRPr="003B28A1">
        <w:rPr>
          <w:rFonts w:ascii="Times New Roman" w:hAnsi="Times New Roman" w:cs="Times New Roman"/>
          <w:b/>
          <w:color w:val="000000" w:themeColor="text1"/>
        </w:rPr>
        <w:t>: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</w:t>
      </w:r>
      <w:r w:rsidRPr="003B28A1">
        <w:rPr>
          <w:rFonts w:ascii="Times New Roman" w:hAnsi="Times New Roman" w:cs="Times New Roman"/>
          <w:b/>
          <w:color w:val="000000" w:themeColor="text1"/>
        </w:rPr>
        <w:t>TPA-induced mRNA expression of COX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>2</w:t>
      </w:r>
      <w:r w:rsidRPr="003B28A1">
        <w:rPr>
          <w:rFonts w:ascii="Times New Roman" w:hAnsi="Times New Roman" w:cs="Times New Roman"/>
          <w:b/>
          <w:color w:val="000000" w:themeColor="text1"/>
        </w:rPr>
        <w:t xml:space="preserve"> and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COl1A1</w:t>
      </w:r>
    </w:p>
    <w:p w14:paraId="460D85A6" w14:textId="77777777" w:rsidR="003B28A1" w:rsidRPr="003B28A1" w:rsidRDefault="003B28A1" w:rsidP="003B28A1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3B28A1"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02C180C1" wp14:editId="54751A58">
            <wp:extent cx="3636818" cy="3109203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l5-qpcr-cox2-col1a1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7964" cy="3118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D1A48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sz w:val="22"/>
        </w:rPr>
      </w:pPr>
      <w:r w:rsidRPr="003B28A1">
        <w:rPr>
          <w:rFonts w:ascii="Times New Roman" w:hAnsi="Times New Roman" w:cs="Times New Roman"/>
          <w:sz w:val="22"/>
        </w:rPr>
        <w:lastRenderedPageBreak/>
        <w:t xml:space="preserve">HCC340 cells were treated with 50 </w:t>
      </w:r>
      <w:proofErr w:type="spellStart"/>
      <w:r w:rsidRPr="003B28A1">
        <w:rPr>
          <w:rFonts w:ascii="Times New Roman" w:hAnsi="Times New Roman" w:cs="Times New Roman"/>
          <w:sz w:val="22"/>
        </w:rPr>
        <w:t>nM</w:t>
      </w:r>
      <w:proofErr w:type="spellEnd"/>
      <w:r w:rsidRPr="003B28A1">
        <w:rPr>
          <w:rFonts w:ascii="Times New Roman" w:hAnsi="Times New Roman" w:cs="Times New Roman"/>
          <w:sz w:val="22"/>
        </w:rPr>
        <w:t xml:space="preserve"> TPA or with 5.0 </w:t>
      </w:r>
      <w:r w:rsidRPr="003B28A1">
        <w:rPr>
          <w:rFonts w:ascii="Times New Roman" w:hAnsi="Times New Roman" w:cs="Times New Roman"/>
          <w:sz w:val="22"/>
        </w:rPr>
        <w:sym w:font="Symbol" w:char="F06D"/>
      </w:r>
      <w:r w:rsidRPr="003B28A1">
        <w:rPr>
          <w:rFonts w:ascii="Times New Roman" w:hAnsi="Times New Roman" w:cs="Times New Roman"/>
          <w:sz w:val="22"/>
        </w:rPr>
        <w:t>M GW9662 co-treated sample for indicated time. Quantitative RT-PCR of COX</w:t>
      </w:r>
      <w:r w:rsidRPr="003B28A1">
        <w:rPr>
          <w:rFonts w:ascii="Times New Roman" w:hAnsi="Times New Roman" w:cs="Times New Roman"/>
          <w:sz w:val="22"/>
          <w:lang w:val="vi-VN"/>
        </w:rPr>
        <w:t>2</w:t>
      </w:r>
      <w:r w:rsidRPr="003B28A1">
        <w:rPr>
          <w:rFonts w:ascii="Times New Roman" w:hAnsi="Times New Roman" w:cs="Times New Roman"/>
          <w:sz w:val="22"/>
        </w:rPr>
        <w:t xml:space="preserve"> and COL1A1 were performed (normalized with GAPDH). The data represent the statistically significant difference (p &lt; 0.05, p&lt;0.001, N=3) between the indicated samples. </w:t>
      </w:r>
    </w:p>
    <w:p w14:paraId="4A7601FD" w14:textId="25FA3316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b/>
          <w:lang w:val="vi-VN"/>
        </w:rPr>
      </w:pPr>
      <w:r w:rsidRPr="003B28A1">
        <w:rPr>
          <w:rFonts w:ascii="Times New Roman" w:hAnsi="Times New Roman" w:cs="Times New Roman"/>
          <w:b/>
          <w:color w:val="000000" w:themeColor="text1"/>
        </w:rPr>
        <w:t>Supplemental Fig.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6</w:t>
      </w:r>
      <w:r w:rsidRPr="003B28A1">
        <w:rPr>
          <w:rFonts w:ascii="Times New Roman" w:hAnsi="Times New Roman" w:cs="Times New Roman"/>
          <w:b/>
          <w:color w:val="000000" w:themeColor="text1"/>
        </w:rPr>
        <w:t>:</w:t>
      </w:r>
      <w:r w:rsidRPr="003B28A1">
        <w:rPr>
          <w:rFonts w:ascii="Times New Roman" w:hAnsi="Times New Roman" w:cs="Times New Roman"/>
          <w:b/>
          <w:color w:val="000000" w:themeColor="text1"/>
          <w:lang w:val="vi-VN"/>
        </w:rPr>
        <w:t xml:space="preserve"> </w:t>
      </w:r>
      <w:r w:rsidRPr="003B28A1">
        <w:rPr>
          <w:rFonts w:ascii="Times New Roman" w:hAnsi="Times New Roman" w:cs="Times New Roman"/>
          <w:b/>
        </w:rPr>
        <w:t xml:space="preserve">MAP for </w:t>
      </w:r>
      <w:proofErr w:type="spellStart"/>
      <w:r w:rsidRPr="003B28A1">
        <w:rPr>
          <w:rFonts w:ascii="Times New Roman" w:hAnsi="Times New Roman" w:cs="Times New Roman"/>
          <w:b/>
        </w:rPr>
        <w:t>ChIP</w:t>
      </w:r>
      <w:proofErr w:type="spellEnd"/>
      <w:r w:rsidRPr="003B28A1">
        <w:rPr>
          <w:rFonts w:ascii="Times New Roman" w:hAnsi="Times New Roman" w:cs="Times New Roman"/>
          <w:b/>
        </w:rPr>
        <w:t xml:space="preserve"> fragment and EMSA probe for FN </w:t>
      </w:r>
      <w:r w:rsidR="00BB613A">
        <w:rPr>
          <w:rFonts w:ascii="Times New Roman" w:hAnsi="Times New Roman" w:cs="Times New Roman"/>
          <w:b/>
        </w:rPr>
        <w:t>and</w:t>
      </w:r>
      <w:r w:rsidRPr="003B28A1">
        <w:rPr>
          <w:rFonts w:ascii="Times New Roman" w:hAnsi="Times New Roman" w:cs="Times New Roman"/>
          <w:b/>
        </w:rPr>
        <w:t xml:space="preserve"> LEF</w:t>
      </w:r>
      <w:r>
        <w:rPr>
          <w:rFonts w:ascii="Times New Roman" w:hAnsi="Times New Roman" w:cs="Times New Roman"/>
          <w:b/>
        </w:rPr>
        <w:t xml:space="preserve"> </w:t>
      </w:r>
      <w:r w:rsidRPr="003B28A1">
        <w:rPr>
          <w:rFonts w:ascii="Times New Roman" w:hAnsi="Times New Roman" w:cs="Times New Roman"/>
          <w:b/>
        </w:rPr>
        <w:t>promoter</w:t>
      </w:r>
    </w:p>
    <w:p w14:paraId="5B99A448" w14:textId="7A1ED84F" w:rsidR="003B28A1" w:rsidRPr="003B28A1" w:rsidRDefault="004E24F7" w:rsidP="00AF1E5F">
      <w:pPr>
        <w:spacing w:line="480" w:lineRule="auto"/>
        <w:ind w:firstLine="142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a</w:t>
      </w:r>
      <w:r w:rsidR="00AF1E5F"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52D11DB6" wp14:editId="009D946C">
            <wp:extent cx="5568381" cy="2463175"/>
            <wp:effectExtent l="0" t="0" r="0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upplemental FIGURE6A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048" cy="2468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03B71" w14:textId="205FDBDF" w:rsidR="003B28A1" w:rsidRPr="0021778E" w:rsidRDefault="004E24F7" w:rsidP="003B28A1">
      <w:pPr>
        <w:spacing w:line="480" w:lineRule="auto"/>
        <w:ind w:firstLine="142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b</w:t>
      </w:r>
      <w:bookmarkStart w:id="0" w:name="_GoBack"/>
      <w:bookmarkEnd w:id="0"/>
    </w:p>
    <w:p w14:paraId="2B353D5C" w14:textId="06E3CBDF" w:rsidR="003B28A1" w:rsidRPr="003B28A1" w:rsidRDefault="00AF1E5F" w:rsidP="003B28A1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6C10D624" wp14:editId="6ADBA7A8">
            <wp:extent cx="5571509" cy="2474442"/>
            <wp:effectExtent l="0" t="0" r="3810" b="254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upplemental FIGURE6B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8707" cy="247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FCE0F" w14:textId="77777777" w:rsidR="003B28A1" w:rsidRPr="003B28A1" w:rsidRDefault="003B28A1" w:rsidP="003B28A1">
      <w:pPr>
        <w:spacing w:line="480" w:lineRule="auto"/>
        <w:ind w:left="142"/>
        <w:jc w:val="both"/>
        <w:rPr>
          <w:rFonts w:ascii="Times New Roman" w:hAnsi="Times New Roman" w:cs="Times New Roman"/>
          <w:sz w:val="22"/>
          <w:szCs w:val="22"/>
          <w:lang w:val="vi-VN"/>
        </w:rPr>
      </w:pPr>
      <w:r w:rsidRPr="003B28A1">
        <w:rPr>
          <w:rFonts w:ascii="Times New Roman" w:hAnsi="Times New Roman" w:cs="Times New Roman"/>
          <w:sz w:val="22"/>
          <w:szCs w:val="22"/>
        </w:rPr>
        <w:t xml:space="preserve">Schematic MAP showing the PCR fragment amplified for the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ChIP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 assay of SNA, EGR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1/</w:t>
      </w:r>
      <w:r w:rsidRPr="003B28A1">
        <w:rPr>
          <w:rFonts w:ascii="Times New Roman" w:hAnsi="Times New Roman" w:cs="Times New Roman"/>
          <w:sz w:val="22"/>
          <w:szCs w:val="22"/>
        </w:rPr>
        <w:t>SP1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overlapping </w:t>
      </w:r>
      <w:r w:rsidRPr="003B28A1">
        <w:rPr>
          <w:rFonts w:ascii="Times New Roman" w:hAnsi="Times New Roman" w:cs="Times New Roman"/>
          <w:sz w:val="22"/>
          <w:szCs w:val="22"/>
        </w:rPr>
        <w:t>and EMSA probe on FN (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a</w:t>
      </w:r>
      <w:r w:rsidRPr="003B28A1">
        <w:rPr>
          <w:rFonts w:ascii="Times New Roman" w:hAnsi="Times New Roman" w:cs="Times New Roman"/>
          <w:sz w:val="22"/>
          <w:szCs w:val="22"/>
        </w:rPr>
        <w:t>) and LEF (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b</w:t>
      </w:r>
      <w:r w:rsidRPr="003B28A1">
        <w:rPr>
          <w:rFonts w:ascii="Times New Roman" w:hAnsi="Times New Roman" w:cs="Times New Roman"/>
          <w:sz w:val="22"/>
          <w:szCs w:val="22"/>
        </w:rPr>
        <w:t>) promoters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. </w:t>
      </w:r>
      <w:r w:rsidRPr="003B28A1">
        <w:rPr>
          <w:rFonts w:ascii="Times New Roman" w:hAnsi="Times New Roman" w:cs="Times New Roman"/>
          <w:sz w:val="22"/>
          <w:szCs w:val="22"/>
        </w:rPr>
        <w:t>The black bars represent the distal promoter region of FN (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a</w:t>
      </w:r>
      <w:r w:rsidRPr="003B28A1">
        <w:rPr>
          <w:rFonts w:ascii="Times New Roman" w:hAnsi="Times New Roman" w:cs="Times New Roman"/>
          <w:sz w:val="22"/>
          <w:szCs w:val="22"/>
        </w:rPr>
        <w:t>) and LEF (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b</w:t>
      </w:r>
      <w:r w:rsidRPr="003B28A1">
        <w:rPr>
          <w:rFonts w:ascii="Times New Roman" w:hAnsi="Times New Roman" w:cs="Times New Roman"/>
          <w:sz w:val="22"/>
          <w:szCs w:val="22"/>
        </w:rPr>
        <w:t>) from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1938</w:t>
      </w:r>
      <w:r w:rsidRPr="003B28A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bp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 and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1897</w:t>
      </w:r>
      <w:r w:rsidRPr="003B28A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bp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, respectively, upstream of the </w:t>
      </w:r>
      <w:r w:rsidRPr="003B28A1">
        <w:rPr>
          <w:rFonts w:ascii="Times New Roman" w:hAnsi="Times New Roman" w:cs="Times New Roman"/>
          <w:sz w:val="22"/>
          <w:szCs w:val="22"/>
        </w:rPr>
        <w:lastRenderedPageBreak/>
        <w:t>translation start site. In (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a</w:t>
      </w:r>
      <w:r w:rsidRPr="003B28A1">
        <w:rPr>
          <w:rFonts w:ascii="Times New Roman" w:hAnsi="Times New Roman" w:cs="Times New Roman"/>
          <w:sz w:val="22"/>
          <w:szCs w:val="22"/>
        </w:rPr>
        <w:t>), the sequence of FN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290 and FN280</w:t>
      </w:r>
      <w:r w:rsidRPr="003B28A1">
        <w:rPr>
          <w:rFonts w:ascii="Times New Roman" w:hAnsi="Times New Roman" w:cs="Times New Roman"/>
          <w:sz w:val="22"/>
          <w:szCs w:val="22"/>
        </w:rPr>
        <w:t xml:space="preserve"> are located between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1727</w:t>
      </w:r>
      <w:r w:rsidRPr="003B28A1">
        <w:rPr>
          <w:rFonts w:ascii="Times New Roman" w:hAnsi="Times New Roman" w:cs="Times New Roman"/>
          <w:sz w:val="22"/>
          <w:szCs w:val="22"/>
        </w:rPr>
        <w:t xml:space="preserve"> to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1437</w:t>
      </w:r>
      <w:r w:rsidRPr="003B28A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bp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(containing </w:t>
      </w:r>
      <w:r w:rsidRPr="003B28A1">
        <w:rPr>
          <w:rFonts w:ascii="Times New Roman" w:hAnsi="Times New Roman" w:cs="Times New Roman"/>
          <w:sz w:val="22"/>
          <w:szCs w:val="22"/>
        </w:rPr>
        <w:t>the proposed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PPAR-γ</w:t>
      </w:r>
      <w:r w:rsidRPr="003B28A1">
        <w:rPr>
          <w:rFonts w:ascii="Times New Roman" w:hAnsi="Times New Roman" w:cs="Times New Roma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target region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) </w:t>
      </w:r>
      <w:r w:rsidRPr="003B28A1">
        <w:rPr>
          <w:rFonts w:ascii="Times New Roman" w:hAnsi="Times New Roman" w:cs="Times New Roman"/>
          <w:sz w:val="22"/>
          <w:szCs w:val="22"/>
        </w:rPr>
        <w:t>and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585</w:t>
      </w:r>
      <w:r w:rsidRPr="003B28A1">
        <w:rPr>
          <w:rFonts w:ascii="Times New Roman" w:hAnsi="Times New Roman" w:cs="Times New Roman"/>
          <w:sz w:val="22"/>
          <w:szCs w:val="22"/>
        </w:rPr>
        <w:t xml:space="preserve"> to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560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bp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, respectively 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(</w:t>
      </w:r>
      <w:r w:rsidRPr="003B28A1">
        <w:rPr>
          <w:rFonts w:ascii="Times New Roman" w:hAnsi="Times New Roman" w:cs="Times New Roman"/>
          <w:sz w:val="22"/>
          <w:szCs w:val="22"/>
        </w:rPr>
        <w:t>containing both the proposed SNA target region and EGR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</w:t>
      </w:r>
      <w:r w:rsidRPr="003B28A1">
        <w:rPr>
          <w:rFonts w:ascii="Times New Roman" w:hAnsi="Times New Roman" w:cs="Times New Roman"/>
          <w:sz w:val="22"/>
          <w:szCs w:val="22"/>
        </w:rPr>
        <w:t>/SP1 overlapping binding site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), whereas </w:t>
      </w:r>
      <w:r w:rsidRPr="003B28A1">
        <w:rPr>
          <w:rFonts w:ascii="Times New Roman" w:hAnsi="Times New Roman" w:cs="Times New Roman"/>
          <w:sz w:val="22"/>
          <w:szCs w:val="22"/>
        </w:rPr>
        <w:t>the EMSA probe of FN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, FN-prob, </w:t>
      </w:r>
      <w:r w:rsidRPr="003B28A1">
        <w:rPr>
          <w:rFonts w:ascii="Times New Roman" w:hAnsi="Times New Roman" w:cs="Times New Roman"/>
          <w:sz w:val="22"/>
          <w:szCs w:val="22"/>
        </w:rPr>
        <w:t>containing the sequence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of proposed SNA motif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but not EGR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</w:t>
      </w:r>
      <w:r w:rsidRPr="003B28A1">
        <w:rPr>
          <w:rFonts w:ascii="Times New Roman" w:hAnsi="Times New Roman" w:cs="Times New Roman"/>
          <w:sz w:val="22"/>
          <w:szCs w:val="22"/>
        </w:rPr>
        <w:t>/SP1 binding site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. Also, in (b), </w:t>
      </w:r>
      <w:r w:rsidRPr="003B28A1">
        <w:rPr>
          <w:rFonts w:ascii="Times New Roman" w:hAnsi="Times New Roman" w:cs="Times New Roman"/>
          <w:sz w:val="22"/>
          <w:szCs w:val="22"/>
        </w:rPr>
        <w:t>the sequence of LEF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230 and LEF280</w:t>
      </w:r>
      <w:r w:rsidRPr="003B28A1">
        <w:rPr>
          <w:rFonts w:ascii="Times New Roman" w:hAnsi="Times New Roman" w:cs="Times New Roman"/>
          <w:sz w:val="22"/>
          <w:szCs w:val="22"/>
        </w:rPr>
        <w:t xml:space="preserve"> are located between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1829</w:t>
      </w:r>
      <w:r w:rsidRPr="003B28A1">
        <w:rPr>
          <w:rFonts w:ascii="Times New Roman" w:hAnsi="Times New Roman" w:cs="Times New Roman"/>
          <w:sz w:val="22"/>
          <w:szCs w:val="22"/>
        </w:rPr>
        <w:t xml:space="preserve"> to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1599</w:t>
      </w:r>
      <w:r w:rsidRPr="003B28A1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bp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(containing </w:t>
      </w:r>
      <w:r w:rsidRPr="003B28A1">
        <w:rPr>
          <w:rFonts w:ascii="Times New Roman" w:hAnsi="Times New Roman" w:cs="Times New Roman"/>
          <w:sz w:val="22"/>
          <w:szCs w:val="22"/>
        </w:rPr>
        <w:t>the proposed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PPAR-γ</w:t>
      </w:r>
      <w:r w:rsidRPr="003B28A1">
        <w:rPr>
          <w:rFonts w:ascii="Times New Roman" w:hAnsi="Times New Roman" w:cs="Times New Roma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target region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) </w:t>
      </w:r>
      <w:r w:rsidRPr="003B28A1">
        <w:rPr>
          <w:rFonts w:ascii="Times New Roman" w:hAnsi="Times New Roman" w:cs="Times New Roman"/>
          <w:sz w:val="22"/>
          <w:szCs w:val="22"/>
        </w:rPr>
        <w:t>and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1338</w:t>
      </w:r>
      <w:r w:rsidRPr="003B28A1">
        <w:rPr>
          <w:rFonts w:ascii="Times New Roman" w:hAnsi="Times New Roman" w:cs="Times New Roman"/>
          <w:sz w:val="22"/>
          <w:szCs w:val="22"/>
        </w:rPr>
        <w:t xml:space="preserve"> to -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1058 </w:t>
      </w:r>
      <w:proofErr w:type="spellStart"/>
      <w:r w:rsidRPr="003B28A1">
        <w:rPr>
          <w:rFonts w:ascii="Times New Roman" w:hAnsi="Times New Roman" w:cs="Times New Roman"/>
          <w:sz w:val="22"/>
          <w:szCs w:val="22"/>
        </w:rPr>
        <w:t>bp</w:t>
      </w:r>
      <w:proofErr w:type="spellEnd"/>
      <w:r w:rsidRPr="003B28A1">
        <w:rPr>
          <w:rFonts w:ascii="Times New Roman" w:hAnsi="Times New Roman" w:cs="Times New Roman"/>
          <w:sz w:val="22"/>
          <w:szCs w:val="22"/>
        </w:rPr>
        <w:t xml:space="preserve">, respectively 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(</w:t>
      </w:r>
      <w:r w:rsidRPr="003B28A1">
        <w:rPr>
          <w:rFonts w:ascii="Times New Roman" w:hAnsi="Times New Roman" w:cs="Times New Roman"/>
          <w:sz w:val="22"/>
          <w:szCs w:val="22"/>
        </w:rPr>
        <w:t>containing both the proposed Snail target region and EGR/SP1 overlapping binding site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), whereas </w:t>
      </w:r>
      <w:r w:rsidRPr="003B28A1">
        <w:rPr>
          <w:rFonts w:ascii="Times New Roman" w:hAnsi="Times New Roman" w:cs="Times New Roman"/>
          <w:sz w:val="22"/>
          <w:szCs w:val="22"/>
        </w:rPr>
        <w:t>the EMSA probe of LEF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, LEF-prob, </w:t>
      </w:r>
      <w:r w:rsidRPr="003B28A1">
        <w:rPr>
          <w:rFonts w:ascii="Times New Roman" w:hAnsi="Times New Roman" w:cs="Times New Roman"/>
          <w:sz w:val="22"/>
          <w:szCs w:val="22"/>
        </w:rPr>
        <w:t>containing the sequence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of proposed SNA motif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 xml:space="preserve"> </w:t>
      </w:r>
      <w:r w:rsidRPr="003B28A1">
        <w:rPr>
          <w:rFonts w:ascii="Times New Roman" w:hAnsi="Times New Roman" w:cs="Times New Roman"/>
          <w:sz w:val="22"/>
          <w:szCs w:val="22"/>
        </w:rPr>
        <w:t>but not EGR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1</w:t>
      </w:r>
      <w:r w:rsidRPr="003B28A1">
        <w:rPr>
          <w:rFonts w:ascii="Times New Roman" w:hAnsi="Times New Roman" w:cs="Times New Roman"/>
          <w:sz w:val="22"/>
          <w:szCs w:val="22"/>
        </w:rPr>
        <w:t>/SP1 binding site</w:t>
      </w:r>
      <w:r w:rsidRPr="003B28A1">
        <w:rPr>
          <w:rFonts w:ascii="Times New Roman" w:hAnsi="Times New Roman" w:cs="Times New Roman"/>
          <w:sz w:val="22"/>
          <w:szCs w:val="22"/>
          <w:lang w:val="vi-VN"/>
        </w:rPr>
        <w:t>.</w:t>
      </w:r>
    </w:p>
    <w:p w14:paraId="2610F4E9" w14:textId="77777777" w:rsidR="003B28A1" w:rsidRPr="003B28A1" w:rsidRDefault="003B28A1" w:rsidP="003B28A1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</w:p>
    <w:p w14:paraId="739051DA" w14:textId="77777777" w:rsidR="00730DD1" w:rsidRPr="003B28A1" w:rsidRDefault="00730DD1" w:rsidP="003B28A1">
      <w:pPr>
        <w:pStyle w:val="ListParagraph"/>
        <w:autoSpaceDE w:val="0"/>
        <w:autoSpaceDN w:val="0"/>
        <w:adjustRightInd w:val="0"/>
        <w:spacing w:line="480" w:lineRule="auto"/>
        <w:ind w:leftChars="100" w:left="240"/>
        <w:rPr>
          <w:rFonts w:ascii="Times New Roman" w:hAnsi="Times New Roman" w:cs="Times New Roman"/>
          <w:b/>
          <w:color w:val="000000"/>
          <w:szCs w:val="24"/>
          <w:shd w:val="clear" w:color="auto" w:fill="FFFFFF"/>
        </w:rPr>
      </w:pPr>
    </w:p>
    <w:sectPr w:rsidR="00730DD1" w:rsidRPr="003B28A1" w:rsidSect="003B28A1">
      <w:footerReference w:type="even" r:id="rId25"/>
      <w:footerReference w:type="default" r:id="rId26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030D4" w14:textId="77777777" w:rsidR="00C719DE" w:rsidRDefault="00C719DE" w:rsidP="007171B4">
      <w:pPr>
        <w:spacing w:line="240" w:lineRule="auto"/>
      </w:pPr>
      <w:r>
        <w:separator/>
      </w:r>
    </w:p>
  </w:endnote>
  <w:endnote w:type="continuationSeparator" w:id="0">
    <w:p w14:paraId="2B887087" w14:textId="77777777" w:rsidR="00C719DE" w:rsidRDefault="00C719DE" w:rsidP="007171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FKai-SB">
    <w:altName w:val="Microsoft YaHei"/>
    <w:panose1 w:val="020B0604020202020204"/>
    <w:charset w:val="00"/>
    <w:family w:val="roman"/>
    <w:notTrueType/>
    <w:pitch w:val="default"/>
  </w:font>
  <w:font w:name="AdvOT07517017+fb">
    <w:altName w:val="Arial Unicode MS"/>
    <w:panose1 w:val="020B0604020202020204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261285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A0188CE" w14:textId="77777777" w:rsidR="00985FD8" w:rsidRDefault="00985FD8" w:rsidP="007171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7EA48EA" w14:textId="77777777" w:rsidR="00985FD8" w:rsidRDefault="00985FD8" w:rsidP="007171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4987994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A8F0CFF" w14:textId="77777777" w:rsidR="00985FD8" w:rsidRDefault="00985FD8" w:rsidP="007171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7CF243DC" w14:textId="77777777" w:rsidR="00985FD8" w:rsidRDefault="00985FD8" w:rsidP="007171B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0D8C9E" w14:textId="77777777" w:rsidR="00C719DE" w:rsidRDefault="00C719DE" w:rsidP="007171B4">
      <w:pPr>
        <w:spacing w:line="240" w:lineRule="auto"/>
      </w:pPr>
      <w:r>
        <w:separator/>
      </w:r>
    </w:p>
  </w:footnote>
  <w:footnote w:type="continuationSeparator" w:id="0">
    <w:p w14:paraId="59061629" w14:textId="77777777" w:rsidR="00C719DE" w:rsidRDefault="00C719DE" w:rsidP="007171B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09E6"/>
    <w:rsid w:val="00000243"/>
    <w:rsid w:val="00003ADC"/>
    <w:rsid w:val="00024A22"/>
    <w:rsid w:val="00025CB3"/>
    <w:rsid w:val="00027D4B"/>
    <w:rsid w:val="000305C4"/>
    <w:rsid w:val="000410CB"/>
    <w:rsid w:val="00056039"/>
    <w:rsid w:val="00077101"/>
    <w:rsid w:val="00081A7A"/>
    <w:rsid w:val="000A15FD"/>
    <w:rsid w:val="000C6597"/>
    <w:rsid w:val="000C6B6D"/>
    <w:rsid w:val="000E09EC"/>
    <w:rsid w:val="000E3775"/>
    <w:rsid w:val="000E4FB0"/>
    <w:rsid w:val="000F400B"/>
    <w:rsid w:val="00100E07"/>
    <w:rsid w:val="0010473B"/>
    <w:rsid w:val="00110AB8"/>
    <w:rsid w:val="00115BAD"/>
    <w:rsid w:val="00120E54"/>
    <w:rsid w:val="00120FF2"/>
    <w:rsid w:val="00125939"/>
    <w:rsid w:val="00133D66"/>
    <w:rsid w:val="0013671E"/>
    <w:rsid w:val="00140329"/>
    <w:rsid w:val="00140546"/>
    <w:rsid w:val="00142C51"/>
    <w:rsid w:val="0015174C"/>
    <w:rsid w:val="00173E29"/>
    <w:rsid w:val="00176E39"/>
    <w:rsid w:val="001844C6"/>
    <w:rsid w:val="0019299E"/>
    <w:rsid w:val="001970D4"/>
    <w:rsid w:val="001A57EC"/>
    <w:rsid w:val="001A6EAC"/>
    <w:rsid w:val="001B7B26"/>
    <w:rsid w:val="001C153E"/>
    <w:rsid w:val="001C696C"/>
    <w:rsid w:val="001C77B9"/>
    <w:rsid w:val="001D1EA3"/>
    <w:rsid w:val="001D48DC"/>
    <w:rsid w:val="001E0373"/>
    <w:rsid w:val="001E1A8F"/>
    <w:rsid w:val="001E1D1E"/>
    <w:rsid w:val="001F056C"/>
    <w:rsid w:val="001F37B1"/>
    <w:rsid w:val="0020029F"/>
    <w:rsid w:val="00204E3C"/>
    <w:rsid w:val="00212CB2"/>
    <w:rsid w:val="0021497A"/>
    <w:rsid w:val="00214AFB"/>
    <w:rsid w:val="0021778E"/>
    <w:rsid w:val="00223DCC"/>
    <w:rsid w:val="00226F55"/>
    <w:rsid w:val="0022736E"/>
    <w:rsid w:val="00232CE4"/>
    <w:rsid w:val="002402A2"/>
    <w:rsid w:val="002449EC"/>
    <w:rsid w:val="002545FB"/>
    <w:rsid w:val="002631F8"/>
    <w:rsid w:val="00264ADB"/>
    <w:rsid w:val="002650EC"/>
    <w:rsid w:val="002703DF"/>
    <w:rsid w:val="00274BED"/>
    <w:rsid w:val="00276FF3"/>
    <w:rsid w:val="00280874"/>
    <w:rsid w:val="00281324"/>
    <w:rsid w:val="00297550"/>
    <w:rsid w:val="002C4D73"/>
    <w:rsid w:val="002C69AE"/>
    <w:rsid w:val="002D0B06"/>
    <w:rsid w:val="002D689C"/>
    <w:rsid w:val="002E52DD"/>
    <w:rsid w:val="003018C7"/>
    <w:rsid w:val="00307B12"/>
    <w:rsid w:val="00314391"/>
    <w:rsid w:val="003171D4"/>
    <w:rsid w:val="00326409"/>
    <w:rsid w:val="003327CE"/>
    <w:rsid w:val="00334025"/>
    <w:rsid w:val="00340DE8"/>
    <w:rsid w:val="00343C8C"/>
    <w:rsid w:val="0034636E"/>
    <w:rsid w:val="00352914"/>
    <w:rsid w:val="0035559A"/>
    <w:rsid w:val="00364006"/>
    <w:rsid w:val="00364DF4"/>
    <w:rsid w:val="00366728"/>
    <w:rsid w:val="00366E0D"/>
    <w:rsid w:val="00383C6D"/>
    <w:rsid w:val="003913A7"/>
    <w:rsid w:val="003B28A1"/>
    <w:rsid w:val="003B7BA6"/>
    <w:rsid w:val="003C19A0"/>
    <w:rsid w:val="003C4EBD"/>
    <w:rsid w:val="003C5628"/>
    <w:rsid w:val="003D066E"/>
    <w:rsid w:val="003D1252"/>
    <w:rsid w:val="003D36BD"/>
    <w:rsid w:val="003D4C0C"/>
    <w:rsid w:val="003E72D1"/>
    <w:rsid w:val="003E7CEE"/>
    <w:rsid w:val="003F63E7"/>
    <w:rsid w:val="00407AFF"/>
    <w:rsid w:val="004302D6"/>
    <w:rsid w:val="00435AD2"/>
    <w:rsid w:val="004411AB"/>
    <w:rsid w:val="00451EDB"/>
    <w:rsid w:val="00453657"/>
    <w:rsid w:val="00460592"/>
    <w:rsid w:val="00475BD7"/>
    <w:rsid w:val="00495468"/>
    <w:rsid w:val="004A2C4E"/>
    <w:rsid w:val="004B27EA"/>
    <w:rsid w:val="004C16AD"/>
    <w:rsid w:val="004C55DC"/>
    <w:rsid w:val="004D289B"/>
    <w:rsid w:val="004D5FAA"/>
    <w:rsid w:val="004E24F7"/>
    <w:rsid w:val="004F2DB6"/>
    <w:rsid w:val="00510ABE"/>
    <w:rsid w:val="005148B7"/>
    <w:rsid w:val="0051766B"/>
    <w:rsid w:val="00522F5C"/>
    <w:rsid w:val="005347BD"/>
    <w:rsid w:val="0053739F"/>
    <w:rsid w:val="005476C1"/>
    <w:rsid w:val="00556861"/>
    <w:rsid w:val="00557198"/>
    <w:rsid w:val="00565A27"/>
    <w:rsid w:val="005709E6"/>
    <w:rsid w:val="00570F44"/>
    <w:rsid w:val="00586E92"/>
    <w:rsid w:val="00591F23"/>
    <w:rsid w:val="005A0844"/>
    <w:rsid w:val="005A3719"/>
    <w:rsid w:val="005B0C47"/>
    <w:rsid w:val="005B2A6C"/>
    <w:rsid w:val="005B3980"/>
    <w:rsid w:val="005B591F"/>
    <w:rsid w:val="005E3148"/>
    <w:rsid w:val="005F3F42"/>
    <w:rsid w:val="005F51FE"/>
    <w:rsid w:val="005F6E84"/>
    <w:rsid w:val="00603265"/>
    <w:rsid w:val="00604742"/>
    <w:rsid w:val="0060493A"/>
    <w:rsid w:val="0061032D"/>
    <w:rsid w:val="00630D30"/>
    <w:rsid w:val="0063231E"/>
    <w:rsid w:val="00635359"/>
    <w:rsid w:val="00636517"/>
    <w:rsid w:val="00637EBB"/>
    <w:rsid w:val="0064654E"/>
    <w:rsid w:val="0065343A"/>
    <w:rsid w:val="006544FC"/>
    <w:rsid w:val="0066111E"/>
    <w:rsid w:val="00676462"/>
    <w:rsid w:val="00676D5A"/>
    <w:rsid w:val="00683E68"/>
    <w:rsid w:val="00686973"/>
    <w:rsid w:val="00690E0F"/>
    <w:rsid w:val="0069401F"/>
    <w:rsid w:val="006A3A4C"/>
    <w:rsid w:val="006B1398"/>
    <w:rsid w:val="006B257E"/>
    <w:rsid w:val="006B5653"/>
    <w:rsid w:val="006D0F5A"/>
    <w:rsid w:val="006D5F59"/>
    <w:rsid w:val="006E1650"/>
    <w:rsid w:val="006E3520"/>
    <w:rsid w:val="006E5CAC"/>
    <w:rsid w:val="006F383F"/>
    <w:rsid w:val="006F4E5C"/>
    <w:rsid w:val="007171B4"/>
    <w:rsid w:val="00730DD1"/>
    <w:rsid w:val="0073784B"/>
    <w:rsid w:val="0074525D"/>
    <w:rsid w:val="00750DC8"/>
    <w:rsid w:val="00784171"/>
    <w:rsid w:val="00784377"/>
    <w:rsid w:val="00796603"/>
    <w:rsid w:val="007A4333"/>
    <w:rsid w:val="007B7343"/>
    <w:rsid w:val="007C6C75"/>
    <w:rsid w:val="007D2B02"/>
    <w:rsid w:val="007D35B9"/>
    <w:rsid w:val="007E3983"/>
    <w:rsid w:val="007F25DE"/>
    <w:rsid w:val="007F5679"/>
    <w:rsid w:val="00802BC2"/>
    <w:rsid w:val="00807BFC"/>
    <w:rsid w:val="008114D0"/>
    <w:rsid w:val="0081245B"/>
    <w:rsid w:val="00816A15"/>
    <w:rsid w:val="008321C8"/>
    <w:rsid w:val="00844E49"/>
    <w:rsid w:val="00850CCA"/>
    <w:rsid w:val="0085260B"/>
    <w:rsid w:val="00856A26"/>
    <w:rsid w:val="00862ADE"/>
    <w:rsid w:val="00863BEF"/>
    <w:rsid w:val="008753EF"/>
    <w:rsid w:val="00880F13"/>
    <w:rsid w:val="00892702"/>
    <w:rsid w:val="008B78FD"/>
    <w:rsid w:val="008C4BFD"/>
    <w:rsid w:val="008D570D"/>
    <w:rsid w:val="008E175B"/>
    <w:rsid w:val="008E4298"/>
    <w:rsid w:val="00913556"/>
    <w:rsid w:val="00916139"/>
    <w:rsid w:val="00916B71"/>
    <w:rsid w:val="00921B9A"/>
    <w:rsid w:val="009237A7"/>
    <w:rsid w:val="009238A4"/>
    <w:rsid w:val="009243AB"/>
    <w:rsid w:val="00924CB2"/>
    <w:rsid w:val="00925B49"/>
    <w:rsid w:val="00935FB5"/>
    <w:rsid w:val="00937502"/>
    <w:rsid w:val="00944818"/>
    <w:rsid w:val="00945FCA"/>
    <w:rsid w:val="00956E11"/>
    <w:rsid w:val="00972F7F"/>
    <w:rsid w:val="00985FD8"/>
    <w:rsid w:val="0098710D"/>
    <w:rsid w:val="00990459"/>
    <w:rsid w:val="009A05F3"/>
    <w:rsid w:val="009A3E2B"/>
    <w:rsid w:val="009B0FC6"/>
    <w:rsid w:val="009B40EC"/>
    <w:rsid w:val="009C06AD"/>
    <w:rsid w:val="009C2F57"/>
    <w:rsid w:val="00A06637"/>
    <w:rsid w:val="00A1181D"/>
    <w:rsid w:val="00A120E6"/>
    <w:rsid w:val="00A2082A"/>
    <w:rsid w:val="00A314BA"/>
    <w:rsid w:val="00A35D39"/>
    <w:rsid w:val="00A512B9"/>
    <w:rsid w:val="00A7077B"/>
    <w:rsid w:val="00A86483"/>
    <w:rsid w:val="00AA1D4C"/>
    <w:rsid w:val="00AA70FC"/>
    <w:rsid w:val="00AB07E3"/>
    <w:rsid w:val="00AC4875"/>
    <w:rsid w:val="00AC61F2"/>
    <w:rsid w:val="00AC6AC5"/>
    <w:rsid w:val="00AD015C"/>
    <w:rsid w:val="00AD74E4"/>
    <w:rsid w:val="00AE0C1A"/>
    <w:rsid w:val="00AE5565"/>
    <w:rsid w:val="00AF1E5F"/>
    <w:rsid w:val="00B021A0"/>
    <w:rsid w:val="00B07CCE"/>
    <w:rsid w:val="00B3054E"/>
    <w:rsid w:val="00B40228"/>
    <w:rsid w:val="00B41546"/>
    <w:rsid w:val="00B52FE5"/>
    <w:rsid w:val="00B538E1"/>
    <w:rsid w:val="00B60E42"/>
    <w:rsid w:val="00B6641E"/>
    <w:rsid w:val="00B66777"/>
    <w:rsid w:val="00B70E23"/>
    <w:rsid w:val="00B8415E"/>
    <w:rsid w:val="00B96961"/>
    <w:rsid w:val="00BA2D12"/>
    <w:rsid w:val="00BB54D8"/>
    <w:rsid w:val="00BB613A"/>
    <w:rsid w:val="00BB66E0"/>
    <w:rsid w:val="00BC694A"/>
    <w:rsid w:val="00BD7DE0"/>
    <w:rsid w:val="00BE266A"/>
    <w:rsid w:val="00BF4F44"/>
    <w:rsid w:val="00C06749"/>
    <w:rsid w:val="00C114FD"/>
    <w:rsid w:val="00C25DA0"/>
    <w:rsid w:val="00C278F9"/>
    <w:rsid w:val="00C31D4B"/>
    <w:rsid w:val="00C407F3"/>
    <w:rsid w:val="00C42916"/>
    <w:rsid w:val="00C42B6F"/>
    <w:rsid w:val="00C50536"/>
    <w:rsid w:val="00C53B5A"/>
    <w:rsid w:val="00C53F75"/>
    <w:rsid w:val="00C61433"/>
    <w:rsid w:val="00C635C1"/>
    <w:rsid w:val="00C719DE"/>
    <w:rsid w:val="00C73491"/>
    <w:rsid w:val="00C841B6"/>
    <w:rsid w:val="00C86D93"/>
    <w:rsid w:val="00C8749C"/>
    <w:rsid w:val="00CA603A"/>
    <w:rsid w:val="00CA7796"/>
    <w:rsid w:val="00CB341F"/>
    <w:rsid w:val="00CB57D9"/>
    <w:rsid w:val="00CB6F56"/>
    <w:rsid w:val="00CC6758"/>
    <w:rsid w:val="00CD75EB"/>
    <w:rsid w:val="00CE4DE0"/>
    <w:rsid w:val="00CF4AE5"/>
    <w:rsid w:val="00D01DCD"/>
    <w:rsid w:val="00D0407C"/>
    <w:rsid w:val="00D0572A"/>
    <w:rsid w:val="00D06B6D"/>
    <w:rsid w:val="00D36491"/>
    <w:rsid w:val="00D45503"/>
    <w:rsid w:val="00D4738E"/>
    <w:rsid w:val="00D533FF"/>
    <w:rsid w:val="00D55A5E"/>
    <w:rsid w:val="00D56169"/>
    <w:rsid w:val="00D60435"/>
    <w:rsid w:val="00D60623"/>
    <w:rsid w:val="00D62EFF"/>
    <w:rsid w:val="00D633DA"/>
    <w:rsid w:val="00D75EFD"/>
    <w:rsid w:val="00D802FF"/>
    <w:rsid w:val="00D8226C"/>
    <w:rsid w:val="00D85E83"/>
    <w:rsid w:val="00D91806"/>
    <w:rsid w:val="00DA0A75"/>
    <w:rsid w:val="00DA7A14"/>
    <w:rsid w:val="00DC35CD"/>
    <w:rsid w:val="00E04A04"/>
    <w:rsid w:val="00E17865"/>
    <w:rsid w:val="00E22978"/>
    <w:rsid w:val="00E52FEA"/>
    <w:rsid w:val="00E6474A"/>
    <w:rsid w:val="00E67DEC"/>
    <w:rsid w:val="00E7132A"/>
    <w:rsid w:val="00E835ED"/>
    <w:rsid w:val="00E8404B"/>
    <w:rsid w:val="00E87A32"/>
    <w:rsid w:val="00EA76DA"/>
    <w:rsid w:val="00EB56CA"/>
    <w:rsid w:val="00ED0183"/>
    <w:rsid w:val="00ED1943"/>
    <w:rsid w:val="00EE52DE"/>
    <w:rsid w:val="00EF32A8"/>
    <w:rsid w:val="00EF7910"/>
    <w:rsid w:val="00EF7A69"/>
    <w:rsid w:val="00F00099"/>
    <w:rsid w:val="00F1643B"/>
    <w:rsid w:val="00F2407A"/>
    <w:rsid w:val="00F26BE3"/>
    <w:rsid w:val="00F42A59"/>
    <w:rsid w:val="00F66361"/>
    <w:rsid w:val="00F72C01"/>
    <w:rsid w:val="00F83015"/>
    <w:rsid w:val="00F945DE"/>
    <w:rsid w:val="00F94E22"/>
    <w:rsid w:val="00FA4232"/>
    <w:rsid w:val="00FA5759"/>
    <w:rsid w:val="00FB59AF"/>
    <w:rsid w:val="00FE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EDA2C"/>
  <w15:docId w15:val="{2AD89BC9-4A79-BA45-B150-74D7F5D4B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228"/>
  </w:style>
  <w:style w:type="paragraph" w:styleId="Heading1">
    <w:name w:val="heading 1"/>
    <w:basedOn w:val="Normal"/>
    <w:link w:val="Heading1Char"/>
    <w:uiPriority w:val="9"/>
    <w:qFormat/>
    <w:rsid w:val="00334025"/>
    <w:pPr>
      <w:spacing w:before="100" w:beforeAutospacing="1" w:after="100" w:afterAutospacing="1" w:line="240" w:lineRule="auto"/>
      <w:outlineLvl w:val="0"/>
    </w:pPr>
    <w:rPr>
      <w:rFonts w:ascii="Times New Roman" w:eastAsia="PMingLiU" w:hAnsi="Times New Roman" w:cs="PMingLiU"/>
      <w:b/>
      <w:bCs/>
      <w:kern w:val="36"/>
      <w:sz w:val="2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371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9E6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5709E6"/>
    <w:pPr>
      <w:ind w:leftChars="200" w:left="480"/>
      <w:jc w:val="both"/>
    </w:pPr>
    <w:rPr>
      <w:kern w:val="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5709E6"/>
    <w:pPr>
      <w:ind w:leftChars="100" w:left="100"/>
      <w:jc w:val="both"/>
    </w:pPr>
    <w:rPr>
      <w:rFonts w:ascii="Calibri" w:hAnsi="Calibri" w:cs="Calibri"/>
      <w:kern w:val="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5709E6"/>
    <w:rPr>
      <w:rFonts w:ascii="Calibri" w:hAnsi="Calibri" w:cs="Calibri"/>
      <w:kern w:val="2"/>
      <w:szCs w:val="22"/>
    </w:rPr>
  </w:style>
  <w:style w:type="character" w:customStyle="1" w:styleId="highwire-citation-author2">
    <w:name w:val="highwire-citation-author2"/>
    <w:rsid w:val="005709E6"/>
    <w:rPr>
      <w:sz w:val="24"/>
      <w:szCs w:val="24"/>
      <w:bdr w:val="none" w:sz="0" w:space="0" w:color="auto" w:frame="1"/>
      <w:vertAlign w:val="baseline"/>
    </w:rPr>
  </w:style>
  <w:style w:type="character" w:customStyle="1" w:styleId="highlight">
    <w:name w:val="highlight"/>
    <w:rsid w:val="005709E6"/>
  </w:style>
  <w:style w:type="character" w:customStyle="1" w:styleId="highwire-cite-metadata-pages">
    <w:name w:val="highwire-cite-metadata-pages"/>
    <w:rsid w:val="005709E6"/>
    <w:rPr>
      <w:sz w:val="24"/>
      <w:szCs w:val="24"/>
      <w:bdr w:val="none" w:sz="0" w:space="0" w:color="auto" w:frame="1"/>
      <w:vertAlign w:val="baseline"/>
    </w:rPr>
  </w:style>
  <w:style w:type="character" w:customStyle="1" w:styleId="ListParagraphChar">
    <w:name w:val="List Paragraph Char"/>
    <w:link w:val="ListParagraph"/>
    <w:uiPriority w:val="34"/>
    <w:rsid w:val="005709E6"/>
    <w:rPr>
      <w:kern w:val="2"/>
      <w:szCs w:val="2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86D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Times New Roman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86D93"/>
    <w:rPr>
      <w:rFonts w:ascii="Courier New" w:eastAsia="Times New Roman" w:hAnsi="Courier New" w:cs="Times New Roman"/>
      <w:sz w:val="20"/>
      <w:szCs w:val="20"/>
      <w:lang w:eastAsia="zh-CN"/>
    </w:rPr>
  </w:style>
  <w:style w:type="table" w:styleId="TableGrid">
    <w:name w:val="Table Grid"/>
    <w:basedOn w:val="TableNormal"/>
    <w:uiPriority w:val="59"/>
    <w:rsid w:val="00C86D93"/>
    <w:pPr>
      <w:spacing w:line="240" w:lineRule="auto"/>
    </w:pPr>
    <w:rPr>
      <w:rFonts w:ascii="Calibri" w:eastAsia="PMingLiU" w:hAnsi="Calibri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1398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398"/>
    <w:rPr>
      <w:rFonts w:asciiTheme="majorHAnsi" w:eastAsiaTheme="majorEastAsia" w:hAnsiTheme="majorHAnsi" w:cstheme="majorBid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171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71B4"/>
  </w:style>
  <w:style w:type="character" w:styleId="PageNumber">
    <w:name w:val="page number"/>
    <w:basedOn w:val="DefaultParagraphFont"/>
    <w:uiPriority w:val="99"/>
    <w:semiHidden/>
    <w:unhideWhenUsed/>
    <w:rsid w:val="007171B4"/>
  </w:style>
  <w:style w:type="character" w:styleId="LineNumber">
    <w:name w:val="line number"/>
    <w:basedOn w:val="DefaultParagraphFont"/>
    <w:uiPriority w:val="99"/>
    <w:semiHidden/>
    <w:unhideWhenUsed/>
    <w:rsid w:val="007171B4"/>
  </w:style>
  <w:style w:type="paragraph" w:styleId="Header">
    <w:name w:val="header"/>
    <w:basedOn w:val="Normal"/>
    <w:link w:val="HeaderChar"/>
    <w:uiPriority w:val="99"/>
    <w:semiHidden/>
    <w:unhideWhenUsed/>
    <w:rsid w:val="00ED19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D1943"/>
    <w:rPr>
      <w:sz w:val="20"/>
      <w:szCs w:val="20"/>
    </w:rPr>
  </w:style>
  <w:style w:type="paragraph" w:styleId="NoSpacing">
    <w:name w:val="No Spacing"/>
    <w:uiPriority w:val="1"/>
    <w:qFormat/>
    <w:rsid w:val="003B7BA6"/>
    <w:pPr>
      <w:spacing w:line="360" w:lineRule="auto"/>
    </w:pPr>
    <w:rPr>
      <w:rFonts w:ascii="Times New Roman" w:eastAsia="Times New Roman" w:hAnsi="Times New Roman" w:cs="Times New Roman"/>
      <w:sz w:val="20"/>
      <w:szCs w:val="20"/>
      <w:lang w:eastAsia="en-US" w:bidi="ne-NP"/>
    </w:rPr>
  </w:style>
  <w:style w:type="character" w:customStyle="1" w:styleId="Heading1Char">
    <w:name w:val="Heading 1 Char"/>
    <w:basedOn w:val="DefaultParagraphFont"/>
    <w:link w:val="Heading1"/>
    <w:uiPriority w:val="9"/>
    <w:rsid w:val="00334025"/>
    <w:rPr>
      <w:rFonts w:ascii="Times New Roman" w:eastAsia="PMingLiU" w:hAnsi="Times New Roman" w:cs="PMingLiU"/>
      <w:b/>
      <w:bCs/>
      <w:kern w:val="36"/>
      <w:sz w:val="28"/>
      <w:szCs w:val="48"/>
    </w:rPr>
  </w:style>
  <w:style w:type="paragraph" w:customStyle="1" w:styleId="JPM22heading2">
    <w:name w:val="JPM_2.2_heading2"/>
    <w:basedOn w:val="Normal"/>
    <w:qFormat/>
    <w:rsid w:val="008C4BFD"/>
    <w:pPr>
      <w:spacing w:before="240" w:after="240" w:line="240" w:lineRule="auto"/>
    </w:pPr>
    <w:rPr>
      <w:rFonts w:ascii="Times New Roman" w:eastAsiaTheme="minorHAnsi" w:hAnsi="Times New Roman" w:cs="Times New Roman"/>
      <w:b/>
      <w:bCs/>
      <w:i/>
      <w:iCs/>
      <w:color w:val="000000" w:themeColor="text1"/>
      <w:lang w:eastAsia="en-US" w:bidi="ne-N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3719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UnresolvedMention">
    <w:name w:val="Unresolved Mention"/>
    <w:basedOn w:val="DefaultParagraphFont"/>
    <w:uiPriority w:val="99"/>
    <w:semiHidden/>
    <w:unhideWhenUsed/>
    <w:rsid w:val="00214AF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4A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2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://jaspar.genereg.net/matrix/MA0065.1/?revcomp=1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8E7F798-3322-8D4C-BC50-DA95097D1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104</Words>
  <Characters>4917</Characters>
  <Application>Microsoft Office Word</Application>
  <DocSecurity>0</DocSecurity>
  <Lines>100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C.M.T</Company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minh tam ly</dc:creator>
  <cp:lastModifiedBy>minh tam ly</cp:lastModifiedBy>
  <cp:revision>3</cp:revision>
  <dcterms:created xsi:type="dcterms:W3CDTF">2021-01-03T07:57:00Z</dcterms:created>
  <dcterms:modified xsi:type="dcterms:W3CDTF">2021-01-03T09:11:00Z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http://www.zotero.org/styles/cell-death-and-disease</vt:lpwstr>
  </property>
  <property fmtid="{D5CDD505-2E9C-101B-9397-08002B2CF9AE}" pid="7" name="Mendeley Recent Style Name 2_1">
    <vt:lpwstr>Cell Death and Disease</vt:lpwstr>
  </property>
  <property fmtid="{D5CDD505-2E9C-101B-9397-08002B2CF9AE}" pid="8" name="Mendeley Recent Style Id 3_1">
    <vt:lpwstr>http://www.zotero.org/styles/cellular-oncology</vt:lpwstr>
  </property>
  <property fmtid="{D5CDD505-2E9C-101B-9397-08002B2CF9AE}" pid="9" name="Mendeley Recent Style Name 3_1">
    <vt:lpwstr>Cellular Oncology</vt:lpwstr>
  </property>
  <property fmtid="{D5CDD505-2E9C-101B-9397-08002B2CF9AE}" pid="10" name="Mendeley Recent Style Id 4_1">
    <vt:lpwstr>http://www.zotero.org/styles/cellular-and-molecular-life-sciences</vt:lpwstr>
  </property>
  <property fmtid="{D5CDD505-2E9C-101B-9397-08002B2CF9AE}" pid="11" name="Mendeley Recent Style Name 4_1">
    <vt:lpwstr>Cellular and Molecular Life Sciences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http://www.zotero.org/styles/journal-of-biomedical-science</vt:lpwstr>
  </property>
  <property fmtid="{D5CDD505-2E9C-101B-9397-08002B2CF9AE}" pid="15" name="Mendeley Recent Style Name 6_1">
    <vt:lpwstr>Journal of Biomedical Science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35998218-a9bc-3c34-9019-791e361b6930</vt:lpwstr>
  </property>
  <property fmtid="{D5CDD505-2E9C-101B-9397-08002B2CF9AE}" pid="24" name="Mendeley Citation Style_1">
    <vt:lpwstr>http://www.zotero.org/styles/nature</vt:lpwstr>
  </property>
</Properties>
</file>