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B8E73" w14:textId="77777777" w:rsidR="00066503" w:rsidRPr="00066503" w:rsidRDefault="00066503" w:rsidP="00066503">
      <w:pPr>
        <w:spacing w:line="480" w:lineRule="auto"/>
        <w:rPr>
          <w:rFonts w:ascii="Times New Roman" w:hAnsi="Times New Roman"/>
          <w:b/>
          <w:bCs/>
          <w:sz w:val="20"/>
          <w:szCs w:val="20"/>
        </w:rPr>
      </w:pPr>
      <w:r w:rsidRPr="00066503">
        <w:rPr>
          <w:rFonts w:ascii="Times New Roman" w:hAnsi="Times New Roman"/>
          <w:b/>
          <w:bCs/>
          <w:sz w:val="20"/>
          <w:szCs w:val="20"/>
        </w:rPr>
        <w:t>3. Results and Discussion</w:t>
      </w:r>
    </w:p>
    <w:p w14:paraId="7E3489A2" w14:textId="77777777" w:rsidR="00066503" w:rsidRPr="00066503" w:rsidRDefault="00066503" w:rsidP="00066503">
      <w:pPr>
        <w:spacing w:line="480" w:lineRule="auto"/>
        <w:rPr>
          <w:rFonts w:ascii="Times New Roman" w:eastAsia="SimSun" w:hAnsi="Times New Roman"/>
          <w:sz w:val="20"/>
          <w:szCs w:val="20"/>
        </w:rPr>
      </w:pPr>
      <w:r w:rsidRPr="00066503">
        <w:rPr>
          <w:rFonts w:ascii="Times New Roman" w:eastAsia="SimSun" w:hAnsi="Times New Roman"/>
          <w:sz w:val="20"/>
          <w:szCs w:val="20"/>
        </w:rPr>
        <w:t>The optical properties of the two monochromic QDs were firstly studied. Fig. 1a and b show the photoluminescence (PL) and absorption spectra of the R-QDs and O-QDs. The FWHM of the R-QDs and O-QDs is about 20.6 and 43 nm, respectively. The positions of dotted lines indicate the PL and absorption peaks. As shown in TEM images, the R-QDs and O-QDs exhibit a cubic morphology with an average size of 13 nm and 12 nm (Fig. 1c and d), respectively. The inset HRTEM images show an interplanar distance of 0.35 nm, which can be assigned to the (111) plane of the cubic phase ZnS.</w:t>
      </w:r>
    </w:p>
    <w:p w14:paraId="409108B8"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The optical properties of QDs-silicone thin films made of the monochromic R-QDs and O-QDs with different concentrations are further tested under excitation by a 365 nm laser at 15.88 </w:t>
      </w:r>
      <w:proofErr w:type="spellStart"/>
      <w:r w:rsidRPr="00066503">
        <w:rPr>
          <w:rFonts w:ascii="Times New Roman" w:eastAsia="SimSun" w:hAnsi="Times New Roman"/>
          <w:sz w:val="20"/>
          <w:szCs w:val="20"/>
        </w:rPr>
        <w:t>mW</w:t>
      </w:r>
      <w:proofErr w:type="spellEnd"/>
      <w:r w:rsidRPr="00066503">
        <w:rPr>
          <w:rFonts w:ascii="Times New Roman" w:eastAsia="SimSun" w:hAnsi="Times New Roman"/>
          <w:sz w:val="20"/>
          <w:szCs w:val="20"/>
        </w:rPr>
        <w:t>/cm</w:t>
      </w:r>
      <w:r w:rsidRPr="00066503">
        <w:rPr>
          <w:rFonts w:ascii="Times New Roman" w:eastAsia="SimSun" w:hAnsi="Times New Roman"/>
          <w:sz w:val="20"/>
          <w:szCs w:val="20"/>
          <w:vertAlign w:val="superscript"/>
        </w:rPr>
        <w:t>2</w:t>
      </w:r>
      <w:r w:rsidRPr="00066503">
        <w:rPr>
          <w:rFonts w:ascii="Times New Roman" w:eastAsia="SimSun" w:hAnsi="Times New Roman"/>
          <w:sz w:val="20"/>
          <w:szCs w:val="20"/>
        </w:rPr>
        <w:t xml:space="preserve">. Fig. 2a and b show the concentration dependent PL spectra of the QDs and their FWHM is almost constant. Fig. 2c and d exhibit the PL intensity and absolute QE of monochromic QDs-silicone thin films with different concentrations of QDs. With the rise of concentration, the PL intensity of R-QDs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films increases until the QD concentration reaches 2 mg/mL and then decreases because of concentration quenching. </w:t>
      </w:r>
      <w:proofErr w:type="gramStart"/>
      <w:r w:rsidRPr="00066503">
        <w:rPr>
          <w:rFonts w:ascii="Times New Roman" w:eastAsia="SimSun" w:hAnsi="Times New Roman"/>
          <w:sz w:val="20"/>
          <w:szCs w:val="20"/>
        </w:rPr>
        <w:t>Similar to</w:t>
      </w:r>
      <w:proofErr w:type="gramEnd"/>
      <w:r w:rsidRPr="00066503">
        <w:rPr>
          <w:rFonts w:ascii="Times New Roman" w:eastAsia="SimSun" w:hAnsi="Times New Roman"/>
          <w:sz w:val="20"/>
          <w:szCs w:val="20"/>
        </w:rPr>
        <w:t xml:space="preserve"> the variation in PL intensity, the QE of the QDs reaches the highest value of about 85% at the same concentration. The PL intensity and QE of the O-QDs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films present a similar concentration dependent trend compared to those of the R-QDs based thin films. Differently, the PL intensity and QE of the O-QDs rise quickly till a QD concentration of 4 mg/mL and the maximum values are obtained at the concentration of 10 mg/</w:t>
      </w:r>
      <w:proofErr w:type="spellStart"/>
      <w:r w:rsidRPr="00066503">
        <w:rPr>
          <w:rFonts w:ascii="Times New Roman" w:eastAsia="SimSun" w:hAnsi="Times New Roman"/>
          <w:sz w:val="20"/>
          <w:szCs w:val="20"/>
        </w:rPr>
        <w:t>mL.</w:t>
      </w:r>
      <w:proofErr w:type="spellEnd"/>
      <w:r w:rsidRPr="00066503">
        <w:rPr>
          <w:rFonts w:ascii="Times New Roman" w:eastAsia="SimSun" w:hAnsi="Times New Roman"/>
          <w:sz w:val="20"/>
          <w:szCs w:val="20"/>
        </w:rPr>
        <w:t xml:space="preserve"> We infer that it is attributed to the larger </w:t>
      </w:r>
      <w:proofErr w:type="spellStart"/>
      <w:r w:rsidRPr="00066503">
        <w:rPr>
          <w:rFonts w:ascii="Times New Roman" w:eastAsia="SimSun" w:hAnsi="Times New Roman"/>
          <w:sz w:val="20"/>
          <w:szCs w:val="20"/>
        </w:rPr>
        <w:t>Stoke’s</w:t>
      </w:r>
      <w:proofErr w:type="spellEnd"/>
      <w:r w:rsidRPr="00066503">
        <w:rPr>
          <w:rFonts w:ascii="Times New Roman" w:eastAsia="SimSun" w:hAnsi="Times New Roman"/>
          <w:sz w:val="20"/>
          <w:szCs w:val="20"/>
        </w:rPr>
        <w:t xml:space="preserve"> shift of the O-QDs than the R-QDs. The maximum QE of the O-QDs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 is about 76%, which is at the same QD concentration for the highest PL intensity.</w:t>
      </w:r>
    </w:p>
    <w:p w14:paraId="17085CA1"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Moreover, the 2 mg/mL R-QDs and 10 mg/mL O-QDs based silicone gel films also exhibit the highest PL intensity under different exciting power, as shown in Fig. S1 a and b, respectively. At the above two concentrations, the optical properties of the monochromic QDs are effectively preserved, which weakens the PL quenching caused by the host matrix effect [28,29]. The study helps to find the suitable concentration of the monochromic QDs in silicone film.</w:t>
      </w:r>
    </w:p>
    <w:p w14:paraId="36D6418A"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To further investigate the </w:t>
      </w:r>
      <w:r w:rsidRPr="00066503">
        <w:rPr>
          <w:rFonts w:ascii="Times New Roman" w:eastAsia="SimSun" w:hAnsi="Times New Roman" w:hint="eastAsia"/>
          <w:sz w:val="20"/>
          <w:szCs w:val="20"/>
        </w:rPr>
        <w:t>concentration</w:t>
      </w:r>
      <w:r w:rsidRPr="00066503">
        <w:rPr>
          <w:rFonts w:ascii="Times New Roman" w:eastAsia="SimSun" w:hAnsi="Times New Roman"/>
          <w:sz w:val="20"/>
          <w:szCs w:val="20"/>
        </w:rPr>
        <w:t xml:space="preserve"> influence of QDs in the monochromic QDs </w:t>
      </w:r>
      <w:r w:rsidRPr="00066503">
        <w:rPr>
          <w:rFonts w:ascii="Times New Roman" w:eastAsia="SimSun" w:hAnsi="Times New Roman" w:hint="eastAsia"/>
          <w:sz w:val="20"/>
          <w:szCs w:val="20"/>
        </w:rPr>
        <w:t>b</w:t>
      </w:r>
      <w:r w:rsidRPr="00066503">
        <w:rPr>
          <w:rFonts w:ascii="Times New Roman" w:eastAsia="SimSun" w:hAnsi="Times New Roman"/>
          <w:sz w:val="20"/>
          <w:szCs w:val="20"/>
        </w:rPr>
        <w:t xml:space="preserve">ased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films, the time-resolved PL (TRPL) spectra of the thin films with different concentrations are measured and the decay curves are depicted in Figure 3. It is known that PL decay curves can be expressed with a multi-exponential function, as illustrated by </w:t>
      </w:r>
      <w:r w:rsidRPr="00066503">
        <w:rPr>
          <w:rFonts w:ascii="Times New Roman" w:eastAsia="SimSun" w:hAnsi="Times New Roman" w:hint="eastAsia"/>
          <w:sz w:val="20"/>
          <w:szCs w:val="20"/>
        </w:rPr>
        <w:t>e</w:t>
      </w:r>
      <w:r w:rsidRPr="00066503">
        <w:rPr>
          <w:rFonts w:ascii="Times New Roman" w:eastAsia="SimSun" w:hAnsi="Times New Roman"/>
          <w:sz w:val="20"/>
          <w:szCs w:val="20"/>
        </w:rPr>
        <w:t xml:space="preserve">quation 1 </w:t>
      </w:r>
      <w:r w:rsidRPr="00066503">
        <w:rPr>
          <w:rFonts w:ascii="Times New Roman" w:eastAsia="SimSun" w:hAnsi="Times New Roman" w:hint="eastAsia"/>
          <w:sz w:val="20"/>
          <w:szCs w:val="20"/>
        </w:rPr>
        <w:t>[</w:t>
      </w:r>
      <w:r w:rsidRPr="00066503">
        <w:rPr>
          <w:rFonts w:ascii="Times New Roman" w:eastAsia="SimSun" w:hAnsi="Times New Roman"/>
          <w:sz w:val="20"/>
          <w:szCs w:val="20"/>
        </w:rPr>
        <w:t>30</w:t>
      </w:r>
      <w:r w:rsidRPr="00066503">
        <w:rPr>
          <w:rFonts w:ascii="Times New Roman" w:eastAsia="SimSun" w:hAnsi="Times New Roman" w:hint="eastAsia"/>
          <w:sz w:val="20"/>
          <w:szCs w:val="20"/>
        </w:rPr>
        <w:t>]</w:t>
      </w:r>
      <w:r w:rsidRPr="00066503">
        <w:rPr>
          <w:rFonts w:ascii="Times New Roman" w:eastAsia="SimSun" w:hAnsi="Times New Roman"/>
          <w:sz w:val="20"/>
          <w:szCs w:val="20"/>
        </w:rPr>
        <w:t>,</w:t>
      </w:r>
    </w:p>
    <w:p w14:paraId="549D15AF" w14:textId="77777777" w:rsidR="00066503" w:rsidRPr="00066503" w:rsidRDefault="00066503" w:rsidP="00066503">
      <w:pPr>
        <w:spacing w:beforeLines="50" w:before="120" w:afterLines="50" w:after="120" w:line="480" w:lineRule="auto"/>
        <w:jc w:val="center"/>
        <w:rPr>
          <w:sz w:val="20"/>
          <w:szCs w:val="20"/>
        </w:rPr>
      </w:pPr>
      <w:r w:rsidRPr="00066503">
        <w:rPr>
          <w:position w:val="-28"/>
          <w:sz w:val="20"/>
          <w:szCs w:val="20"/>
        </w:rPr>
        <w:object w:dxaOrig="1600" w:dyaOrig="679" w14:anchorId="01A713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4" o:spid="_x0000_i1025" type="#_x0000_t75" style="width:94.5pt;height:38.25pt;mso-position-horizontal-relative:page;mso-position-vertical-relative:page" o:ole="">
            <v:fill o:detectmouseclick="t"/>
            <v:imagedata r:id="rId4" o:title="" embosscolor="white"/>
          </v:shape>
          <o:OLEObject Type="Embed" ProgID="Equation.KSEE3" ShapeID="对象 4" DrawAspect="Content" ObjectID="_1651506193" r:id="rId5">
            <o:FieldCodes>\* MERGEFORMAT</o:FieldCodes>
          </o:OLEObject>
        </w:object>
      </w:r>
      <w:r w:rsidRPr="00066503">
        <w:rPr>
          <w:rFonts w:hint="eastAsia"/>
          <w:sz w:val="20"/>
          <w:szCs w:val="20"/>
        </w:rPr>
        <w:t xml:space="preserve">               </w:t>
      </w:r>
      <w:r w:rsidRPr="00066503">
        <w:rPr>
          <w:rFonts w:ascii="Times New Roman" w:hAnsi="Times New Roman"/>
          <w:sz w:val="20"/>
          <w:szCs w:val="20"/>
        </w:rPr>
        <w:t xml:space="preserve">  (1)</w:t>
      </w:r>
    </w:p>
    <w:p w14:paraId="2955D083"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hint="eastAsia"/>
          <w:sz w:val="20"/>
          <w:szCs w:val="20"/>
        </w:rPr>
        <w:t xml:space="preserve">where </w:t>
      </w:r>
      <w:r w:rsidRPr="00066503">
        <w:rPr>
          <w:rFonts w:ascii="Times New Roman" w:eastAsia="SimSun" w:hAnsi="Times New Roman" w:hint="eastAsia"/>
          <w:i/>
          <w:iCs/>
          <w:sz w:val="20"/>
          <w:szCs w:val="20"/>
        </w:rPr>
        <w:t xml:space="preserve">I(t) </w:t>
      </w:r>
      <w:r w:rsidRPr="00066503">
        <w:rPr>
          <w:rFonts w:ascii="Times New Roman" w:eastAsia="SimSun" w:hAnsi="Times New Roman"/>
          <w:sz w:val="20"/>
          <w:szCs w:val="20"/>
        </w:rPr>
        <w:t xml:space="preserve">is the PL intensity at time </w:t>
      </w:r>
      <w:r w:rsidRPr="00066503">
        <w:rPr>
          <w:rFonts w:ascii="Times New Roman" w:eastAsia="SimSun" w:hAnsi="Times New Roman"/>
          <w:i/>
          <w:iCs/>
          <w:sz w:val="20"/>
          <w:szCs w:val="20"/>
        </w:rPr>
        <w:t>t</w:t>
      </w:r>
      <w:r w:rsidRPr="00066503">
        <w:rPr>
          <w:rFonts w:ascii="Times New Roman" w:eastAsia="SimSun" w:hAnsi="Times New Roman" w:hint="eastAsia"/>
          <w:sz w:val="20"/>
          <w:szCs w:val="20"/>
        </w:rPr>
        <w:t xml:space="preserve">. </w:t>
      </w:r>
      <w:r w:rsidRPr="00066503">
        <w:rPr>
          <w:rFonts w:ascii="Times New Roman" w:eastAsia="SimSun" w:hAnsi="Times New Roman"/>
          <w:i/>
          <w:iCs/>
          <w:sz w:val="20"/>
          <w:szCs w:val="20"/>
        </w:rPr>
        <w:t xml:space="preserve">Ai </w:t>
      </w:r>
      <w:r w:rsidRPr="00066503">
        <w:rPr>
          <w:rFonts w:ascii="Times New Roman" w:eastAsia="SimSun" w:hAnsi="Times New Roman"/>
          <w:sz w:val="20"/>
          <w:szCs w:val="20"/>
        </w:rPr>
        <w:t>and</w:t>
      </w:r>
      <w:r w:rsidRPr="00066503">
        <w:rPr>
          <w:rFonts w:ascii="Times New Roman" w:eastAsia="SimSun" w:hAnsi="Times New Roman"/>
          <w:i/>
          <w:iCs/>
          <w:sz w:val="20"/>
          <w:szCs w:val="20"/>
        </w:rPr>
        <w:t xml:space="preserve"> </w:t>
      </w:r>
      <w:proofErr w:type="spellStart"/>
      <w:r w:rsidRPr="00066503">
        <w:rPr>
          <w:rFonts w:ascii="Times New Roman" w:eastAsia="SimSun" w:hAnsi="Times New Roman"/>
          <w:i/>
          <w:iCs/>
          <w:sz w:val="20"/>
          <w:szCs w:val="20"/>
        </w:rPr>
        <w:t>τi</w:t>
      </w:r>
      <w:proofErr w:type="spellEnd"/>
      <w:r w:rsidRPr="00066503">
        <w:rPr>
          <w:rFonts w:ascii="Times New Roman" w:eastAsia="SimSun" w:hAnsi="Times New Roman"/>
          <w:sz w:val="20"/>
          <w:szCs w:val="20"/>
        </w:rPr>
        <w:t xml:space="preserve"> represent the relative amplitude and the excited state lifetime of each exponential component of PL decay, </w:t>
      </w:r>
      <w:r w:rsidRPr="00066503">
        <w:rPr>
          <w:rFonts w:ascii="Times New Roman" w:eastAsia="SimSun" w:hAnsi="Times New Roman"/>
          <w:i/>
          <w:iCs/>
          <w:sz w:val="20"/>
          <w:szCs w:val="20"/>
        </w:rPr>
        <w:t>n</w:t>
      </w:r>
      <w:r w:rsidRPr="00066503">
        <w:rPr>
          <w:rFonts w:ascii="Times New Roman" w:eastAsia="SimSun" w:hAnsi="Times New Roman"/>
          <w:sz w:val="20"/>
          <w:szCs w:val="20"/>
        </w:rPr>
        <w:t xml:space="preserve"> is the number of decay times. These decay curves, as shown in Fig. 3a and b, can be well fitted by a double exponential function </w:t>
      </w:r>
      <w:r w:rsidRPr="00066503">
        <w:rPr>
          <w:rFonts w:ascii="Times New Roman" w:eastAsia="SimSun" w:hAnsi="Times New Roman" w:hint="eastAsia"/>
          <w:sz w:val="20"/>
          <w:szCs w:val="20"/>
        </w:rPr>
        <w:t>according</w:t>
      </w:r>
      <w:r w:rsidRPr="00066503">
        <w:rPr>
          <w:rFonts w:ascii="Times New Roman" w:eastAsia="SimSun" w:hAnsi="Times New Roman"/>
          <w:sz w:val="20"/>
          <w:szCs w:val="20"/>
        </w:rPr>
        <w:t xml:space="preserve"> to </w:t>
      </w:r>
      <w:r w:rsidRPr="00066503">
        <w:rPr>
          <w:rFonts w:ascii="Times New Roman" w:eastAsia="SimSun" w:hAnsi="Times New Roman" w:hint="eastAsia"/>
          <w:sz w:val="20"/>
          <w:szCs w:val="20"/>
        </w:rPr>
        <w:t>e</w:t>
      </w:r>
      <w:r w:rsidRPr="00066503">
        <w:rPr>
          <w:rFonts w:ascii="Times New Roman" w:eastAsia="SimSun" w:hAnsi="Times New Roman"/>
          <w:sz w:val="20"/>
          <w:szCs w:val="20"/>
        </w:rPr>
        <w:t>quation 1</w:t>
      </w:r>
      <w:r w:rsidRPr="00066503">
        <w:rPr>
          <w:rFonts w:ascii="Times New Roman" w:eastAsia="SimSun" w:hAnsi="Times New Roman" w:hint="eastAsia"/>
          <w:sz w:val="20"/>
          <w:szCs w:val="20"/>
        </w:rPr>
        <w:t>.</w:t>
      </w:r>
      <w:r w:rsidRPr="00066503">
        <w:rPr>
          <w:rFonts w:ascii="Times New Roman" w:eastAsia="SimSun" w:hAnsi="Times New Roman"/>
          <w:sz w:val="20"/>
          <w:szCs w:val="20"/>
        </w:rPr>
        <w:t xml:space="preserve"> </w:t>
      </w:r>
    </w:p>
    <w:p w14:paraId="5C2D07AE"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The fitting parameters </w:t>
      </w:r>
      <w:r w:rsidRPr="00066503">
        <w:rPr>
          <w:rFonts w:ascii="Times New Roman" w:eastAsia="SimSun" w:hAnsi="Times New Roman"/>
          <w:i/>
          <w:iCs/>
          <w:sz w:val="20"/>
          <w:szCs w:val="20"/>
        </w:rPr>
        <w:t xml:space="preserve">Ai </w:t>
      </w:r>
      <w:r w:rsidRPr="00066503">
        <w:rPr>
          <w:rFonts w:ascii="Times New Roman" w:eastAsia="SimSun" w:hAnsi="Times New Roman"/>
          <w:sz w:val="20"/>
          <w:szCs w:val="20"/>
        </w:rPr>
        <w:t xml:space="preserve">and </w:t>
      </w:r>
      <w:proofErr w:type="spellStart"/>
      <w:r w:rsidRPr="00066503">
        <w:rPr>
          <w:rFonts w:ascii="Times New Roman" w:eastAsia="SimSun" w:hAnsi="Times New Roman"/>
          <w:i/>
          <w:iCs/>
          <w:sz w:val="20"/>
          <w:szCs w:val="20"/>
        </w:rPr>
        <w:t>τi</w:t>
      </w:r>
      <w:proofErr w:type="spellEnd"/>
      <w:r w:rsidRPr="00066503">
        <w:rPr>
          <w:rFonts w:ascii="Times New Roman" w:eastAsia="SimSun" w:hAnsi="Times New Roman"/>
          <w:sz w:val="20"/>
          <w:szCs w:val="20"/>
        </w:rPr>
        <w:t xml:space="preserve"> are listed in Table S1 and S2. The amplitude-weighted lifetimes of the R-QDs and O-QDs are selected as their lifetimes (</w:t>
      </w:r>
      <w:proofErr w:type="spellStart"/>
      <w:r w:rsidRPr="00066503">
        <w:rPr>
          <w:rFonts w:ascii="Times New Roman" w:hAnsi="Times New Roman"/>
          <w:sz w:val="20"/>
          <w:szCs w:val="20"/>
        </w:rPr>
        <w:t>τ</w:t>
      </w:r>
      <w:r w:rsidRPr="00066503">
        <w:rPr>
          <w:rFonts w:ascii="Times New Roman" w:hAnsi="Times New Roman"/>
          <w:sz w:val="20"/>
          <w:szCs w:val="20"/>
          <w:vertAlign w:val="subscript"/>
        </w:rPr>
        <w:t>ave</w:t>
      </w:r>
      <w:proofErr w:type="spellEnd"/>
      <w:r w:rsidRPr="00066503">
        <w:rPr>
          <w:rFonts w:ascii="Times New Roman" w:eastAsia="SimSun" w:hAnsi="Times New Roman"/>
          <w:sz w:val="20"/>
          <w:szCs w:val="20"/>
        </w:rPr>
        <w:t>) for further investigation. The lifetime can be calculated from the following equation 2 [31] and is listed in Table S1 and S2.</w:t>
      </w:r>
    </w:p>
    <w:p w14:paraId="468C9319" w14:textId="77777777" w:rsidR="00066503" w:rsidRPr="00066503" w:rsidRDefault="00066503" w:rsidP="00066503">
      <w:pPr>
        <w:spacing w:line="480" w:lineRule="auto"/>
        <w:jc w:val="center"/>
        <w:rPr>
          <w:rFonts w:cs="Calibri"/>
          <w:sz w:val="20"/>
          <w:szCs w:val="20"/>
        </w:rPr>
      </w:pPr>
      <w:r w:rsidRPr="00066503">
        <w:rPr>
          <w:rFonts w:hint="eastAsia"/>
          <w:position w:val="-30"/>
          <w:sz w:val="20"/>
          <w:szCs w:val="20"/>
        </w:rPr>
        <w:object w:dxaOrig="1719" w:dyaOrig="679" w14:anchorId="01A50E78">
          <v:shape id="对象 231" o:spid="_x0000_i1026" type="#_x0000_t75" style="width:86.25pt;height:33.75pt;mso-position-horizontal-relative:page;mso-position-vertical-relative:page" o:ole="">
            <v:imagedata r:id="rId6" o:title=""/>
          </v:shape>
          <o:OLEObject Type="Embed" ProgID="Equation.KSEE3" ShapeID="对象 231" DrawAspect="Content" ObjectID="_1651506194" r:id="rId7">
            <o:FieldCodes>\* MERGEFORMAT</o:FieldCodes>
          </o:OLEObject>
        </w:object>
      </w:r>
      <w:r w:rsidRPr="00066503">
        <w:rPr>
          <w:rFonts w:hint="eastAsia"/>
          <w:sz w:val="20"/>
          <w:szCs w:val="20"/>
        </w:rPr>
        <w:t xml:space="preserve">                </w:t>
      </w:r>
      <w:r w:rsidRPr="00066503">
        <w:rPr>
          <w:rFonts w:ascii="Times New Roman" w:hAnsi="Times New Roman"/>
          <w:sz w:val="20"/>
          <w:szCs w:val="20"/>
        </w:rPr>
        <w:t xml:space="preserve"> (2)</w:t>
      </w:r>
    </w:p>
    <w:p w14:paraId="19F40DB6"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Fig. 3c and d show t</w:t>
      </w:r>
      <w:r w:rsidRPr="00066503">
        <w:rPr>
          <w:rFonts w:ascii="Times New Roman" w:eastAsia="SimSun" w:hAnsi="Times New Roman" w:hint="eastAsia"/>
          <w:sz w:val="20"/>
          <w:szCs w:val="20"/>
        </w:rPr>
        <w:t>he</w:t>
      </w:r>
      <w:r w:rsidRPr="00066503">
        <w:rPr>
          <w:rFonts w:ascii="Times New Roman" w:eastAsia="SimSun" w:hAnsi="Times New Roman"/>
          <w:sz w:val="20"/>
          <w:szCs w:val="20"/>
        </w:rPr>
        <w:t xml:space="preserve"> lifetimes of the two monochromic QDs under different concentrations. Both lifetimes increase with the rise of concentrations and the rising rate becomes slower after 1 mg/mL for the R-QDs and 2 mg/m</w:t>
      </w:r>
      <w:r w:rsidRPr="00066503">
        <w:rPr>
          <w:rFonts w:ascii="Times New Roman" w:eastAsia="SimSun" w:hAnsi="Times New Roman" w:hint="eastAsia"/>
          <w:sz w:val="20"/>
          <w:szCs w:val="20"/>
        </w:rPr>
        <w:t>L</w:t>
      </w:r>
      <w:r w:rsidRPr="00066503">
        <w:rPr>
          <w:rFonts w:ascii="Times New Roman" w:eastAsia="SimSun" w:hAnsi="Times New Roman"/>
          <w:sz w:val="20"/>
          <w:szCs w:val="20"/>
        </w:rPr>
        <w:t xml:space="preserve"> for the O-QDs, respectively. It indicates that the rise of concentration reduces the distance amongst QDs thus enhances the energy transfer and self-absorption in the monochromic QDs [</w:t>
      </w:r>
      <w:r w:rsidRPr="00066503">
        <w:rPr>
          <w:rFonts w:ascii="Times New Roman" w:eastAsia="SimSun" w:hAnsi="Times New Roman" w:hint="eastAsia"/>
          <w:sz w:val="20"/>
          <w:szCs w:val="20"/>
        </w:rPr>
        <w:t>3</w:t>
      </w:r>
      <w:r w:rsidRPr="00066503">
        <w:rPr>
          <w:rFonts w:ascii="Times New Roman" w:eastAsia="SimSun" w:hAnsi="Times New Roman"/>
          <w:sz w:val="20"/>
          <w:szCs w:val="20"/>
        </w:rPr>
        <w:t>2</w:t>
      </w:r>
      <w:r w:rsidRPr="00066503">
        <w:rPr>
          <w:rFonts w:ascii="Times New Roman" w:eastAsia="SimSun" w:hAnsi="Times New Roman" w:hint="eastAsia"/>
          <w:sz w:val="20"/>
          <w:szCs w:val="20"/>
        </w:rPr>
        <w:t>,3</w:t>
      </w:r>
      <w:r w:rsidRPr="00066503">
        <w:rPr>
          <w:rFonts w:ascii="Times New Roman" w:eastAsia="SimSun" w:hAnsi="Times New Roman"/>
          <w:sz w:val="20"/>
          <w:szCs w:val="20"/>
        </w:rPr>
        <w:t>3]. Meanwhile, the increment of the lifetime in O-QDs is more obvious than that in R-QDs, suggesting more energy transfer in O-QDs. However, it appears that the energy transfer does not induce fluorescent quenching of the QDs at low concentration. On the contrary, it may have positive effect on the PL intensity and QEs, as previous shown in Fig. 2.</w:t>
      </w:r>
    </w:p>
    <w:p w14:paraId="42BEBA9C"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The optical properties of composite</w:t>
      </w:r>
      <w:r w:rsidRPr="00066503">
        <w:rPr>
          <w:rFonts w:ascii="Times New Roman" w:eastAsia="SimSun" w:hAnsi="Times New Roman" w:hint="eastAsia"/>
          <w:sz w:val="20"/>
          <w:szCs w:val="20"/>
        </w:rPr>
        <w:t>-</w:t>
      </w:r>
      <w:r w:rsidRPr="00066503">
        <w:rPr>
          <w:rFonts w:ascii="Times New Roman" w:eastAsia="SimSun" w:hAnsi="Times New Roman"/>
          <w:sz w:val="20"/>
          <w:szCs w:val="20"/>
        </w:rPr>
        <w:t xml:space="preserve">QDs with different weight ratios of </w:t>
      </w:r>
      <w:proofErr w:type="spellStart"/>
      <w:r w:rsidRPr="00066503">
        <w:rPr>
          <w:rFonts w:ascii="Times New Roman" w:eastAsia="SimSun" w:hAnsi="Times New Roman"/>
          <w:sz w:val="20"/>
          <w:szCs w:val="20"/>
        </w:rPr>
        <w:t>R-QDs:O-QDs</w:t>
      </w:r>
      <w:proofErr w:type="spellEnd"/>
      <w:r w:rsidRPr="00066503">
        <w:rPr>
          <w:rFonts w:ascii="Times New Roman" w:eastAsia="SimSun" w:hAnsi="Times New Roman"/>
          <w:sz w:val="20"/>
          <w:szCs w:val="20"/>
        </w:rPr>
        <w:t xml:space="preserve"> were further studied. The PL spectra of the composite-QDs thin films are shown in Fig. 4a. Based on the spectra, the composite-QDs PL peak intensity ratio of 631:605 (nm) is extracted in Fig. 4b. The peak intensity ratio presents a rising increment with the R-QDs percentage, which suggests the energy transfer from O-QDs to R-QDs. Fig. 4c exhibits the overlap between the R-QDs absorption spectrum and the O-QDs emission spectrum. It suggests a high chance of FRET process, in which the O-QDs acts as the donor and R-QDs as the acceptor (shown in Fig. 4d).</w:t>
      </w:r>
    </w:p>
    <w:p w14:paraId="2A09D50E"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Further study focuses on the FRET process in composite-QDs. Fig. 5a presents the effect of R-QDs (acceptor) on the emission kinetics of the O-QDs (donor). The TRPL intensity decreases with the rise of acceptor in the ﬁlm sample (analyzed at peak donor emission wavelength 605nm). Fig. 5b presents the effect of O-QDs (donor) on the emission kinetics of the R-QDs (acceptor). On the contrary, the TRPL intensity increases with the rise of the donor in the ﬁlm sample (analyzed at peak acceptor emission wavelength 631nm). The decay curves in Fig. 5a and b can be fitted with </w:t>
      </w:r>
      <w:r w:rsidRPr="00066503">
        <w:rPr>
          <w:rFonts w:ascii="Times New Roman" w:eastAsia="SimSun" w:hAnsi="Times New Roman"/>
          <w:sz w:val="20"/>
          <w:szCs w:val="20"/>
        </w:rPr>
        <w:lastRenderedPageBreak/>
        <w:t xml:space="preserve">the 2 exponentials, and the detailed amplitudes, lifetime components, and amplitude-weighted lifetimes of the QDs were listed in Table S3. The lifetime of the O-QDs sample was found to be 30.25 ns. When the acceptor R-QDs are introduced, the lifetime of the donor O-QDs decreases (Table S3) owing to the intervene of the energy-transferring channel. The lifetime of the donor becomes shorter with the rise of the acceptor concentration. On the contrary, the lifetime of the R-QDs sample was found to be 13.08 ns. When the donor O-QDs are introduced, the acceptor R-QDs present an increase in lifetime </w:t>
      </w:r>
      <w:proofErr w:type="gramStart"/>
      <w:r w:rsidRPr="00066503">
        <w:rPr>
          <w:rFonts w:ascii="Times New Roman" w:eastAsia="SimSun" w:hAnsi="Times New Roman"/>
          <w:sz w:val="20"/>
          <w:szCs w:val="20"/>
        </w:rPr>
        <w:t>as a result of</w:t>
      </w:r>
      <w:proofErr w:type="gramEnd"/>
      <w:r w:rsidRPr="00066503">
        <w:rPr>
          <w:rFonts w:ascii="Times New Roman" w:eastAsia="SimSun" w:hAnsi="Times New Roman"/>
          <w:sz w:val="20"/>
          <w:szCs w:val="20"/>
        </w:rPr>
        <w:t xml:space="preserve"> energy feeding (Table S3) [34]. The calculated results are shown in Fig. 5c, which clearly demonstrates the phenomena.</w:t>
      </w:r>
    </w:p>
    <w:p w14:paraId="563F4084"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The FRET process is also investigated by energy transfer efficiency. The efficiency of FRET can be calculated according to lifetime as illustrated by </w:t>
      </w:r>
      <w:r w:rsidRPr="00066503">
        <w:rPr>
          <w:rFonts w:ascii="Times New Roman" w:eastAsia="SimSun" w:hAnsi="Times New Roman" w:hint="eastAsia"/>
          <w:sz w:val="20"/>
          <w:szCs w:val="20"/>
        </w:rPr>
        <w:t>e</w:t>
      </w:r>
      <w:r w:rsidRPr="00066503">
        <w:rPr>
          <w:rFonts w:ascii="Times New Roman" w:eastAsia="SimSun" w:hAnsi="Times New Roman"/>
          <w:sz w:val="20"/>
          <w:szCs w:val="20"/>
        </w:rPr>
        <w:t>quation 3.</w:t>
      </w:r>
    </w:p>
    <w:p w14:paraId="539AFE44" w14:textId="77777777" w:rsidR="00066503" w:rsidRPr="00066503" w:rsidRDefault="00066503" w:rsidP="00066503">
      <w:pPr>
        <w:tabs>
          <w:tab w:val="left" w:pos="1473"/>
        </w:tabs>
        <w:spacing w:line="480" w:lineRule="auto"/>
        <w:ind w:firstLineChars="800" w:firstLine="1600"/>
        <w:jc w:val="center"/>
        <w:rPr>
          <w:sz w:val="20"/>
          <w:szCs w:val="20"/>
        </w:rPr>
      </w:pPr>
      <w:r w:rsidRPr="00066503">
        <w:rPr>
          <w:sz w:val="20"/>
          <w:szCs w:val="20"/>
        </w:rPr>
        <w:fldChar w:fldCharType="begin"/>
      </w:r>
      <w:r w:rsidRPr="00066503">
        <w:rPr>
          <w:sz w:val="20"/>
          <w:szCs w:val="20"/>
        </w:rPr>
        <w:instrText xml:space="preserve"> QUOTE </w:instrText>
      </w:r>
      <w:r w:rsidRPr="00066503">
        <w:rPr>
          <w:rFonts w:ascii="Cambria Math" w:hAnsi="Cambria Math"/>
          <w:sz w:val="20"/>
          <w:szCs w:val="20"/>
        </w:rPr>
        <w:instrText>E=1-</w:instrText>
      </w:r>
      <w:r w:rsidRPr="00066503">
        <w:rPr>
          <w:rFonts w:ascii="Cambria Math" w:hAnsi="Cambria Math"/>
          <w:sz w:val="20"/>
          <w:szCs w:val="20"/>
        </w:rPr>
        <w:instrText>τ</w:instrText>
      </w:r>
      <w:r w:rsidRPr="00066503">
        <w:rPr>
          <w:rFonts w:ascii="Cambria Math" w:hAnsi="Cambria Math"/>
          <w:sz w:val="20"/>
          <w:szCs w:val="20"/>
        </w:rPr>
        <w:instrText>DA</w:instrText>
      </w:r>
      <w:r w:rsidRPr="00066503">
        <w:rPr>
          <w:rFonts w:ascii="Cambria Math" w:hAnsi="Cambria Math"/>
          <w:sz w:val="20"/>
          <w:szCs w:val="20"/>
        </w:rPr>
        <w:instrText>τ</w:instrText>
      </w:r>
      <w:r w:rsidRPr="00066503">
        <w:rPr>
          <w:rFonts w:ascii="Cambria Math" w:hAnsi="Cambria Math"/>
          <w:sz w:val="20"/>
          <w:szCs w:val="20"/>
        </w:rPr>
        <w:instrText>D</w:instrText>
      </w:r>
      <w:r w:rsidRPr="00066503">
        <w:rPr>
          <w:sz w:val="20"/>
          <w:szCs w:val="20"/>
        </w:rPr>
        <w:instrText xml:space="preserve"> </w:instrText>
      </w:r>
      <w:r w:rsidRPr="00066503">
        <w:rPr>
          <w:sz w:val="20"/>
          <w:szCs w:val="20"/>
        </w:rPr>
        <w:fldChar w:fldCharType="end"/>
      </w:r>
      <w:r w:rsidRPr="00066503">
        <w:rPr>
          <w:position w:val="-30"/>
          <w:sz w:val="20"/>
          <w:szCs w:val="20"/>
        </w:rPr>
        <w:object w:dxaOrig="1140" w:dyaOrig="679" w14:anchorId="3428BEB4">
          <v:shape id="对象 8" o:spid="_x0000_i1027" type="#_x0000_t75" style="width:89.25pt;height:34.5pt;mso-position-horizontal-relative:page;mso-position-vertical-relative:page" o:ole="">
            <v:fill o:detectmouseclick="t"/>
            <v:imagedata r:id="rId8" o:title="" embosscolor="white"/>
          </v:shape>
          <o:OLEObject Type="Embed" ProgID="Equation.KSEE3" ShapeID="对象 8" DrawAspect="Content" ObjectID="_1651506195" r:id="rId9">
            <o:FieldCodes>\* MERGEFORMAT</o:FieldCodes>
          </o:OLEObject>
        </w:object>
      </w:r>
      <w:r w:rsidRPr="00066503">
        <w:rPr>
          <w:rFonts w:hint="eastAsia"/>
          <w:sz w:val="20"/>
          <w:szCs w:val="20"/>
        </w:rPr>
        <w:t xml:space="preserve">            </w:t>
      </w:r>
      <w:r w:rsidRPr="00066503">
        <w:rPr>
          <w:rFonts w:ascii="Times New Roman" w:eastAsia="SimSun" w:hAnsi="Times New Roman" w:hint="eastAsia"/>
          <w:sz w:val="20"/>
          <w:szCs w:val="20"/>
        </w:rPr>
        <w:t xml:space="preserve">    (</w:t>
      </w:r>
      <w:r w:rsidRPr="00066503">
        <w:rPr>
          <w:rFonts w:ascii="Times New Roman" w:eastAsia="SimSun" w:hAnsi="Times New Roman"/>
          <w:sz w:val="20"/>
          <w:szCs w:val="20"/>
        </w:rPr>
        <w:t>3</w:t>
      </w:r>
      <w:r w:rsidRPr="00066503">
        <w:rPr>
          <w:rFonts w:ascii="Times New Roman" w:eastAsia="SimSun" w:hAnsi="Times New Roman" w:hint="eastAsia"/>
          <w:sz w:val="20"/>
          <w:szCs w:val="20"/>
        </w:rPr>
        <w:t>)</w:t>
      </w:r>
    </w:p>
    <w:p w14:paraId="7C194945" w14:textId="77777777" w:rsidR="00066503" w:rsidRPr="00066503" w:rsidRDefault="00066503" w:rsidP="00066503">
      <w:pPr>
        <w:spacing w:line="480" w:lineRule="auto"/>
        <w:ind w:firstLineChars="100" w:firstLine="200"/>
        <w:rPr>
          <w:rFonts w:ascii="Times New Roman" w:eastAsia="SimSun" w:hAnsi="Times New Roman" w:hint="eastAsia"/>
          <w:sz w:val="20"/>
          <w:szCs w:val="20"/>
        </w:rPr>
      </w:pPr>
      <w:r w:rsidRPr="00066503">
        <w:rPr>
          <w:rFonts w:ascii="Times New Roman" w:eastAsia="SimSun" w:hAnsi="Times New Roman"/>
          <w:sz w:val="20"/>
          <w:szCs w:val="20"/>
        </w:rPr>
        <w:t xml:space="preserve">Where </w:t>
      </w:r>
      <w:bookmarkStart w:id="0" w:name="_Hlk31813845"/>
      <w:proofErr w:type="spellStart"/>
      <w:r w:rsidRPr="00066503">
        <w:rPr>
          <w:rFonts w:ascii="Times New Roman" w:hAnsi="Times New Roman"/>
          <w:i/>
          <w:iCs/>
          <w:sz w:val="20"/>
          <w:szCs w:val="20"/>
        </w:rPr>
        <w:t>τ</w:t>
      </w:r>
      <w:r w:rsidRPr="00066503">
        <w:rPr>
          <w:rFonts w:ascii="Times New Roman" w:hAnsi="Times New Roman"/>
          <w:i/>
          <w:iCs/>
          <w:sz w:val="20"/>
          <w:szCs w:val="20"/>
          <w:vertAlign w:val="subscript"/>
        </w:rPr>
        <w:t>DA</w:t>
      </w:r>
      <w:proofErr w:type="spellEnd"/>
      <w:r w:rsidRPr="00066503">
        <w:rPr>
          <w:rFonts w:ascii="Times New Roman" w:eastAsia="SimSun" w:hAnsi="Times New Roman"/>
          <w:sz w:val="20"/>
          <w:szCs w:val="20"/>
        </w:rPr>
        <w:t xml:space="preserve"> </w:t>
      </w:r>
      <w:bookmarkEnd w:id="0"/>
      <w:r w:rsidRPr="00066503">
        <w:rPr>
          <w:rFonts w:ascii="Times New Roman" w:eastAsia="SimSun" w:hAnsi="Times New Roman"/>
          <w:sz w:val="20"/>
          <w:szCs w:val="20"/>
        </w:rPr>
        <w:t xml:space="preserve">is </w:t>
      </w:r>
      <w:bookmarkStart w:id="1" w:name="_Hlk31813879"/>
      <w:r w:rsidRPr="00066503">
        <w:rPr>
          <w:rFonts w:ascii="Times New Roman" w:eastAsia="SimSun" w:hAnsi="Times New Roman"/>
          <w:sz w:val="20"/>
          <w:szCs w:val="20"/>
        </w:rPr>
        <w:t>the donor fluorescence lifetime in the presence of the acceptor</w:t>
      </w:r>
      <w:bookmarkEnd w:id="1"/>
      <w:r w:rsidRPr="00066503">
        <w:rPr>
          <w:rFonts w:ascii="Times New Roman" w:eastAsia="SimSun" w:hAnsi="Times New Roman"/>
          <w:sz w:val="20"/>
          <w:szCs w:val="20"/>
        </w:rPr>
        <w:t xml:space="preserve">, </w:t>
      </w:r>
      <w:proofErr w:type="spellStart"/>
      <w:r w:rsidRPr="00066503">
        <w:rPr>
          <w:rFonts w:ascii="Times New Roman" w:hAnsi="Times New Roman"/>
          <w:i/>
          <w:iCs/>
          <w:sz w:val="20"/>
          <w:szCs w:val="20"/>
        </w:rPr>
        <w:t>τ</w:t>
      </w:r>
      <w:r w:rsidRPr="00066503">
        <w:rPr>
          <w:rFonts w:ascii="Times New Roman" w:hAnsi="Times New Roman"/>
          <w:i/>
          <w:iCs/>
          <w:sz w:val="20"/>
          <w:szCs w:val="20"/>
          <w:vertAlign w:val="subscript"/>
        </w:rPr>
        <w:t>D</w:t>
      </w:r>
      <w:proofErr w:type="spellEnd"/>
      <w:r w:rsidRPr="00066503">
        <w:rPr>
          <w:rFonts w:ascii="Times New Roman" w:eastAsia="SimSun" w:hAnsi="Times New Roman"/>
          <w:sz w:val="20"/>
          <w:szCs w:val="20"/>
        </w:rPr>
        <w:t xml:space="preserve"> is the donor fluorescence lifetime in the absence of acceptor [26]. It shows that </w:t>
      </w:r>
      <w:proofErr w:type="spellStart"/>
      <w:r w:rsidRPr="00066503">
        <w:rPr>
          <w:rFonts w:ascii="Times New Roman" w:hAnsi="Times New Roman"/>
          <w:i/>
          <w:iCs/>
          <w:sz w:val="20"/>
          <w:szCs w:val="20"/>
        </w:rPr>
        <w:t>τ</w:t>
      </w:r>
      <w:r w:rsidRPr="00066503">
        <w:rPr>
          <w:rFonts w:ascii="Times New Roman" w:hAnsi="Times New Roman"/>
          <w:i/>
          <w:iCs/>
          <w:sz w:val="20"/>
          <w:szCs w:val="20"/>
          <w:vertAlign w:val="subscript"/>
        </w:rPr>
        <w:t>DA</w:t>
      </w:r>
      <w:proofErr w:type="spellEnd"/>
      <w:r w:rsidRPr="00066503">
        <w:rPr>
          <w:rFonts w:ascii="Times New Roman" w:eastAsia="SimSun" w:hAnsi="Times New Roman"/>
          <w:sz w:val="20"/>
          <w:szCs w:val="20"/>
        </w:rPr>
        <w:t xml:space="preserve"> is inversely proportional to the energy transfer efficiency. Therefore, as the acceptor-donor ratio increases, the </w:t>
      </w:r>
      <w:proofErr w:type="spellStart"/>
      <w:r w:rsidRPr="00066503">
        <w:rPr>
          <w:rFonts w:ascii="Times New Roman" w:hAnsi="Times New Roman"/>
          <w:i/>
          <w:iCs/>
          <w:sz w:val="20"/>
          <w:szCs w:val="20"/>
        </w:rPr>
        <w:t>τ</w:t>
      </w:r>
      <w:r w:rsidRPr="00066503">
        <w:rPr>
          <w:rFonts w:ascii="Times New Roman" w:hAnsi="Times New Roman"/>
          <w:i/>
          <w:iCs/>
          <w:sz w:val="20"/>
          <w:szCs w:val="20"/>
          <w:vertAlign w:val="subscript"/>
        </w:rPr>
        <w:t>DA</w:t>
      </w:r>
      <w:proofErr w:type="spellEnd"/>
      <w:r w:rsidRPr="00066503">
        <w:rPr>
          <w:rFonts w:ascii="Times New Roman" w:eastAsia="SimSun" w:hAnsi="Times New Roman"/>
          <w:sz w:val="20"/>
          <w:szCs w:val="20"/>
        </w:rPr>
        <w:t xml:space="preserve"> becomes shorter and the energy transfer efficiency increases. Larger energy transfer efficiency reflects higher impact on fluorescence. We further analyze the FRET efficiency of composite-QDs </w:t>
      </w:r>
      <w:r w:rsidRPr="00066503">
        <w:rPr>
          <w:rFonts w:ascii="Times New Roman" w:eastAsia="SimSun" w:hAnsi="Times New Roman" w:hint="eastAsia"/>
          <w:sz w:val="20"/>
          <w:szCs w:val="20"/>
        </w:rPr>
        <w:t>in</w:t>
      </w:r>
      <w:r w:rsidRPr="00066503">
        <w:rPr>
          <w:rFonts w:ascii="Times New Roman" w:eastAsia="SimSun" w:hAnsi="Times New Roman"/>
          <w:sz w:val="20"/>
          <w:szCs w:val="20"/>
        </w:rPr>
        <w:t xml:space="preserve"> F</w:t>
      </w:r>
      <w:r w:rsidRPr="00066503">
        <w:rPr>
          <w:rFonts w:ascii="Times New Roman" w:eastAsia="SimSun" w:hAnsi="Times New Roman" w:hint="eastAsia"/>
          <w:sz w:val="20"/>
          <w:szCs w:val="20"/>
        </w:rPr>
        <w:t>ig</w:t>
      </w:r>
      <w:r w:rsidRPr="00066503">
        <w:rPr>
          <w:rFonts w:ascii="Times New Roman" w:eastAsia="SimSun" w:hAnsi="Times New Roman"/>
          <w:sz w:val="20"/>
          <w:szCs w:val="20"/>
        </w:rPr>
        <w:t xml:space="preserve">. 5a. The calculated results are listed in Table 1 and the efficiency reaches </w:t>
      </w:r>
      <w:r w:rsidRPr="00066503">
        <w:rPr>
          <w:rFonts w:ascii="Times New Roman" w:eastAsia="SimSun" w:hAnsi="Times New Roman" w:hint="eastAsia"/>
          <w:sz w:val="20"/>
          <w:szCs w:val="20"/>
        </w:rPr>
        <w:t>33.</w:t>
      </w:r>
      <w:r w:rsidRPr="00066503">
        <w:rPr>
          <w:rFonts w:ascii="Times New Roman" w:eastAsia="SimSun" w:hAnsi="Times New Roman"/>
          <w:sz w:val="20"/>
          <w:szCs w:val="20"/>
        </w:rPr>
        <w:t xml:space="preserve">2% with the highest proportion of acceptor. Meanwhile, Fig. 5d exhibits the change of FRET efficiency under different ratios of donor-to-acceptor. The FRET efficiency increases </w:t>
      </w:r>
      <w:r w:rsidRPr="00066503">
        <w:rPr>
          <w:rFonts w:ascii="Times New Roman" w:eastAsia="SimSun" w:hAnsi="Times New Roman" w:hint="eastAsia"/>
          <w:sz w:val="20"/>
          <w:szCs w:val="20"/>
        </w:rPr>
        <w:t>with</w:t>
      </w:r>
      <w:r w:rsidRPr="00066503">
        <w:rPr>
          <w:rFonts w:ascii="Times New Roman" w:eastAsia="SimSun" w:hAnsi="Times New Roman"/>
          <w:sz w:val="20"/>
          <w:szCs w:val="20"/>
        </w:rPr>
        <w:t xml:space="preserve"> the rise of R-QDs (acceptor) in the composite-QDs and the increment rate of the efficiency is close </w:t>
      </w:r>
      <w:r w:rsidRPr="00066503">
        <w:rPr>
          <w:rFonts w:ascii="Times New Roman" w:eastAsia="SimSun" w:hAnsi="Times New Roman" w:hint="eastAsia"/>
          <w:sz w:val="20"/>
          <w:szCs w:val="20"/>
        </w:rPr>
        <w:t>to</w:t>
      </w:r>
      <w:r w:rsidRPr="00066503">
        <w:rPr>
          <w:rFonts w:ascii="Times New Roman" w:eastAsia="SimSun" w:hAnsi="Times New Roman"/>
          <w:sz w:val="20"/>
          <w:szCs w:val="20"/>
        </w:rPr>
        <w:t xml:space="preserve"> that of the R-QDs. It indicates that the increment of energy transfer is sensitive to the increment of the acceptor.</w:t>
      </w:r>
    </w:p>
    <w:p w14:paraId="711CE2B6" w14:textId="77777777" w:rsidR="00066503" w:rsidRPr="00066503" w:rsidRDefault="00066503" w:rsidP="00066503">
      <w:pPr>
        <w:rPr>
          <w:rFonts w:ascii="Times New Roman" w:eastAsia="SimSun" w:hAnsi="Times New Roman" w:hint="eastAsia"/>
          <w:b/>
          <w:bCs/>
          <w:sz w:val="20"/>
          <w:szCs w:val="20"/>
        </w:rPr>
      </w:pPr>
      <w:r w:rsidRPr="00066503">
        <w:rPr>
          <w:rFonts w:ascii="Times New Roman" w:eastAsia="SimSun" w:hAnsi="Times New Roman"/>
          <w:b/>
          <w:bCs/>
          <w:sz w:val="20"/>
          <w:szCs w:val="20"/>
        </w:rPr>
        <w:t xml:space="preserve">Table 1 </w:t>
      </w:r>
      <w:r w:rsidRPr="00066503">
        <w:rPr>
          <w:rFonts w:ascii="Times New Roman" w:eastAsia="SimSun" w:hAnsi="Times New Roman"/>
          <w:sz w:val="20"/>
          <w:szCs w:val="20"/>
        </w:rPr>
        <w:t xml:space="preserve">FRET efficiency of composite-QDs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films with different ratios of acceptor-to-donor.</w:t>
      </w:r>
    </w:p>
    <w:tbl>
      <w:tblPr>
        <w:tblW w:w="8437" w:type="dxa"/>
        <w:jc w:val="center"/>
        <w:tblBorders>
          <w:top w:val="single" w:sz="4" w:space="0" w:color="auto"/>
          <w:bottom w:val="single" w:sz="4" w:space="0" w:color="auto"/>
        </w:tblBorders>
        <w:tblLayout w:type="fixed"/>
        <w:tblLook w:val="0000" w:firstRow="0" w:lastRow="0" w:firstColumn="0" w:lastColumn="0" w:noHBand="0" w:noVBand="0"/>
      </w:tblPr>
      <w:tblGrid>
        <w:gridCol w:w="3043"/>
        <w:gridCol w:w="2582"/>
        <w:gridCol w:w="2812"/>
      </w:tblGrid>
      <w:tr w:rsidR="00066503" w:rsidRPr="00066503" w14:paraId="4D4A984D" w14:textId="77777777" w:rsidTr="0003307A">
        <w:trPr>
          <w:trHeight w:hRule="exact" w:val="362"/>
          <w:jc w:val="center"/>
        </w:trPr>
        <w:tc>
          <w:tcPr>
            <w:tcW w:w="3043" w:type="dxa"/>
            <w:tcBorders>
              <w:top w:val="single" w:sz="12" w:space="0" w:color="auto"/>
              <w:bottom w:val="single" w:sz="8" w:space="0" w:color="auto"/>
            </w:tcBorders>
          </w:tcPr>
          <w:p w14:paraId="7C3249B0" w14:textId="77777777" w:rsidR="00066503" w:rsidRPr="00066503" w:rsidRDefault="00066503" w:rsidP="0003307A">
            <w:pPr>
              <w:widowControl/>
              <w:jc w:val="center"/>
              <w:rPr>
                <w:rFonts w:ascii="Times New Roman" w:eastAsia="SimSun" w:hAnsi="Times New Roman"/>
                <w:b/>
                <w:bCs/>
                <w:kern w:val="0"/>
                <w:sz w:val="20"/>
                <w:szCs w:val="20"/>
                <w:lang w:bidi="ar"/>
              </w:rPr>
            </w:pPr>
            <w:proofErr w:type="spellStart"/>
            <w:r w:rsidRPr="00066503">
              <w:rPr>
                <w:rFonts w:ascii="Times New Roman" w:hAnsi="Times New Roman"/>
                <w:b/>
                <w:bCs/>
                <w:kern w:val="0"/>
                <w:sz w:val="20"/>
                <w:szCs w:val="20"/>
                <w:lang w:bidi="ar"/>
              </w:rPr>
              <w:t>R-QDs:O-QDs</w:t>
            </w:r>
            <w:proofErr w:type="spellEnd"/>
            <w:r w:rsidRPr="00066503">
              <w:rPr>
                <w:rFonts w:ascii="Times New Roman" w:hAnsi="Times New Roman"/>
                <w:b/>
                <w:bCs/>
                <w:kern w:val="0"/>
                <w:sz w:val="20"/>
                <w:szCs w:val="20"/>
                <w:lang w:bidi="ar"/>
              </w:rPr>
              <w:t xml:space="preserve"> (</w:t>
            </w:r>
            <w:proofErr w:type="spellStart"/>
            <w:proofErr w:type="gramStart"/>
            <w:r w:rsidRPr="00066503">
              <w:rPr>
                <w:rFonts w:ascii="Times New Roman" w:hAnsi="Times New Roman"/>
                <w:b/>
                <w:bCs/>
                <w:kern w:val="0"/>
                <w:sz w:val="20"/>
                <w:szCs w:val="20"/>
                <w:lang w:bidi="ar"/>
              </w:rPr>
              <w:t>acceptor:donor</w:t>
            </w:r>
            <w:proofErr w:type="spellEnd"/>
            <w:proofErr w:type="gramEnd"/>
            <w:r w:rsidRPr="00066503">
              <w:rPr>
                <w:rFonts w:ascii="Times New Roman" w:hAnsi="Times New Roman"/>
                <w:b/>
                <w:bCs/>
                <w:kern w:val="0"/>
                <w:sz w:val="20"/>
                <w:szCs w:val="20"/>
                <w:lang w:bidi="ar"/>
              </w:rPr>
              <w:t>)</w:t>
            </w:r>
          </w:p>
        </w:tc>
        <w:tc>
          <w:tcPr>
            <w:tcW w:w="2582" w:type="dxa"/>
            <w:tcBorders>
              <w:top w:val="single" w:sz="12" w:space="0" w:color="auto"/>
              <w:bottom w:val="single" w:sz="8" w:space="0" w:color="auto"/>
            </w:tcBorders>
          </w:tcPr>
          <w:p w14:paraId="3041E298" w14:textId="77777777" w:rsidR="00066503" w:rsidRPr="00066503" w:rsidRDefault="00066503" w:rsidP="0003307A">
            <w:pPr>
              <w:pStyle w:val="NormalWeb"/>
              <w:spacing w:line="240" w:lineRule="auto"/>
              <w:jc w:val="center"/>
              <w:rPr>
                <w:b/>
                <w:bCs/>
                <w:sz w:val="20"/>
                <w:szCs w:val="20"/>
                <w:lang w:bidi="ar"/>
              </w:rPr>
            </w:pPr>
            <w:proofErr w:type="spellStart"/>
            <w:r w:rsidRPr="00066503">
              <w:rPr>
                <w:b/>
                <w:bCs/>
                <w:sz w:val="20"/>
                <w:szCs w:val="20"/>
              </w:rPr>
              <w:t>τ</w:t>
            </w:r>
            <w:r w:rsidRPr="00066503">
              <w:rPr>
                <w:b/>
                <w:bCs/>
                <w:sz w:val="20"/>
                <w:szCs w:val="20"/>
                <w:vertAlign w:val="subscript"/>
              </w:rPr>
              <w:t>DA</w:t>
            </w:r>
            <w:proofErr w:type="spellEnd"/>
            <w:r w:rsidRPr="00066503">
              <w:rPr>
                <w:b/>
                <w:bCs/>
                <w:sz w:val="20"/>
                <w:szCs w:val="20"/>
              </w:rPr>
              <w:t xml:space="preserve"> </w:t>
            </w:r>
          </w:p>
          <w:p w14:paraId="6A9EAC38" w14:textId="77777777" w:rsidR="00066503" w:rsidRPr="00066503" w:rsidRDefault="00066503" w:rsidP="0003307A">
            <w:pPr>
              <w:pStyle w:val="NormalWeb"/>
              <w:spacing w:line="240" w:lineRule="auto"/>
              <w:jc w:val="center"/>
              <w:rPr>
                <w:b/>
                <w:bCs/>
                <w:sz w:val="20"/>
                <w:szCs w:val="20"/>
                <w:lang w:bidi="ar"/>
              </w:rPr>
            </w:pPr>
            <w:r w:rsidRPr="00066503">
              <w:rPr>
                <w:b/>
                <w:bCs/>
                <w:sz w:val="20"/>
                <w:szCs w:val="20"/>
                <w:lang w:bidi="ar"/>
              </w:rPr>
              <w:t>9</w:t>
            </w:r>
          </w:p>
        </w:tc>
        <w:tc>
          <w:tcPr>
            <w:tcW w:w="2812" w:type="dxa"/>
            <w:tcBorders>
              <w:top w:val="single" w:sz="12" w:space="0" w:color="auto"/>
              <w:bottom w:val="single" w:sz="8" w:space="0" w:color="auto"/>
            </w:tcBorders>
          </w:tcPr>
          <w:p w14:paraId="6441D9BA" w14:textId="77777777" w:rsidR="00066503" w:rsidRPr="00066503" w:rsidRDefault="00066503" w:rsidP="0003307A">
            <w:pPr>
              <w:pStyle w:val="NormalWeb"/>
              <w:spacing w:line="240" w:lineRule="auto"/>
              <w:jc w:val="center"/>
              <w:rPr>
                <w:b/>
                <w:bCs/>
                <w:sz w:val="20"/>
                <w:szCs w:val="20"/>
                <w:lang w:bidi="ar"/>
              </w:rPr>
            </w:pPr>
            <w:r w:rsidRPr="00066503">
              <w:rPr>
                <w:b/>
                <w:bCs/>
                <w:sz w:val="20"/>
                <w:szCs w:val="20"/>
                <w:lang w:bidi="ar"/>
              </w:rPr>
              <w:t>E</w:t>
            </w:r>
          </w:p>
        </w:tc>
      </w:tr>
      <w:tr w:rsidR="00066503" w:rsidRPr="00066503" w14:paraId="7E0DDE20" w14:textId="77777777" w:rsidTr="0003307A">
        <w:trPr>
          <w:trHeight w:val="270"/>
          <w:jc w:val="center"/>
        </w:trPr>
        <w:tc>
          <w:tcPr>
            <w:tcW w:w="3043" w:type="dxa"/>
            <w:tcBorders>
              <w:top w:val="single" w:sz="8" w:space="0" w:color="auto"/>
            </w:tcBorders>
            <w:vAlign w:val="center"/>
          </w:tcPr>
          <w:p w14:paraId="41C192BF"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Only O-QDs</w:t>
            </w:r>
          </w:p>
        </w:tc>
        <w:tc>
          <w:tcPr>
            <w:tcW w:w="2582" w:type="dxa"/>
            <w:tcBorders>
              <w:top w:val="single" w:sz="8" w:space="0" w:color="auto"/>
            </w:tcBorders>
          </w:tcPr>
          <w:p w14:paraId="3A277BE2"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30.25 (</w:t>
            </w:r>
            <w:proofErr w:type="spellStart"/>
            <w:r w:rsidRPr="00066503">
              <w:rPr>
                <w:rFonts w:ascii="Times New Roman" w:hAnsi="Times New Roman"/>
                <w:sz w:val="20"/>
                <w:szCs w:val="20"/>
              </w:rPr>
              <w:t>τ</w:t>
            </w:r>
            <w:r w:rsidRPr="00066503">
              <w:rPr>
                <w:rFonts w:ascii="Times New Roman" w:hAnsi="Times New Roman"/>
                <w:sz w:val="20"/>
                <w:szCs w:val="20"/>
                <w:vertAlign w:val="subscript"/>
              </w:rPr>
              <w:t>D</w:t>
            </w:r>
            <w:proofErr w:type="spellEnd"/>
            <w:r w:rsidRPr="00066503">
              <w:rPr>
                <w:rFonts w:ascii="Times New Roman" w:eastAsia="SimSun" w:hAnsi="Times New Roman"/>
                <w:kern w:val="0"/>
                <w:sz w:val="20"/>
                <w:szCs w:val="20"/>
                <w:lang w:bidi="ar"/>
              </w:rPr>
              <w:t>)</w:t>
            </w:r>
          </w:p>
        </w:tc>
        <w:tc>
          <w:tcPr>
            <w:tcW w:w="2812" w:type="dxa"/>
            <w:tcBorders>
              <w:top w:val="single" w:sz="8" w:space="0" w:color="auto"/>
            </w:tcBorders>
          </w:tcPr>
          <w:p w14:paraId="17C8666B"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w:t>
            </w:r>
          </w:p>
        </w:tc>
      </w:tr>
      <w:tr w:rsidR="00066503" w:rsidRPr="00066503" w14:paraId="180E1D81" w14:textId="77777777" w:rsidTr="0003307A">
        <w:trPr>
          <w:trHeight w:val="236"/>
          <w:jc w:val="center"/>
        </w:trPr>
        <w:tc>
          <w:tcPr>
            <w:tcW w:w="3043" w:type="dxa"/>
            <w:vAlign w:val="center"/>
          </w:tcPr>
          <w:p w14:paraId="750F67DC"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1:10</w:t>
            </w:r>
          </w:p>
        </w:tc>
        <w:tc>
          <w:tcPr>
            <w:tcW w:w="2582" w:type="dxa"/>
          </w:tcPr>
          <w:p w14:paraId="6B105509"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27.96</w:t>
            </w:r>
          </w:p>
        </w:tc>
        <w:tc>
          <w:tcPr>
            <w:tcW w:w="2812" w:type="dxa"/>
          </w:tcPr>
          <w:p w14:paraId="6C9B2CAF"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7.6%</w:t>
            </w:r>
          </w:p>
        </w:tc>
      </w:tr>
      <w:tr w:rsidR="00066503" w:rsidRPr="00066503" w14:paraId="5FB2C38D" w14:textId="77777777" w:rsidTr="0003307A">
        <w:trPr>
          <w:trHeight w:val="236"/>
          <w:jc w:val="center"/>
        </w:trPr>
        <w:tc>
          <w:tcPr>
            <w:tcW w:w="3043" w:type="dxa"/>
            <w:vAlign w:val="center"/>
          </w:tcPr>
          <w:p w14:paraId="708E8EF0"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1:5</w:t>
            </w:r>
          </w:p>
        </w:tc>
        <w:tc>
          <w:tcPr>
            <w:tcW w:w="2582" w:type="dxa"/>
          </w:tcPr>
          <w:p w14:paraId="280E8C6B"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27.29</w:t>
            </w:r>
          </w:p>
        </w:tc>
        <w:tc>
          <w:tcPr>
            <w:tcW w:w="2812" w:type="dxa"/>
          </w:tcPr>
          <w:p w14:paraId="512DA8D5"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9.8%</w:t>
            </w:r>
          </w:p>
        </w:tc>
      </w:tr>
      <w:tr w:rsidR="00066503" w:rsidRPr="00066503" w14:paraId="5DD2DAD1" w14:textId="77777777" w:rsidTr="0003307A">
        <w:trPr>
          <w:trHeight w:val="258"/>
          <w:jc w:val="center"/>
        </w:trPr>
        <w:tc>
          <w:tcPr>
            <w:tcW w:w="3043" w:type="dxa"/>
            <w:vAlign w:val="center"/>
          </w:tcPr>
          <w:p w14:paraId="6804DFB2"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2:5</w:t>
            </w:r>
          </w:p>
        </w:tc>
        <w:tc>
          <w:tcPr>
            <w:tcW w:w="2582" w:type="dxa"/>
          </w:tcPr>
          <w:p w14:paraId="1E06A9F3"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24.93</w:t>
            </w:r>
          </w:p>
        </w:tc>
        <w:tc>
          <w:tcPr>
            <w:tcW w:w="2812" w:type="dxa"/>
          </w:tcPr>
          <w:p w14:paraId="00B2938B"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17.6%</w:t>
            </w:r>
          </w:p>
        </w:tc>
      </w:tr>
      <w:tr w:rsidR="00066503" w:rsidRPr="00066503" w14:paraId="3C6571DE" w14:textId="77777777" w:rsidTr="0003307A">
        <w:trPr>
          <w:trHeight w:val="236"/>
          <w:jc w:val="center"/>
        </w:trPr>
        <w:tc>
          <w:tcPr>
            <w:tcW w:w="3043" w:type="dxa"/>
            <w:tcBorders>
              <w:bottom w:val="single" w:sz="12" w:space="0" w:color="auto"/>
            </w:tcBorders>
            <w:vAlign w:val="center"/>
          </w:tcPr>
          <w:p w14:paraId="7D215AEA"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4:5</w:t>
            </w:r>
          </w:p>
        </w:tc>
        <w:tc>
          <w:tcPr>
            <w:tcW w:w="2582" w:type="dxa"/>
            <w:tcBorders>
              <w:bottom w:val="single" w:sz="12" w:space="0" w:color="auto"/>
            </w:tcBorders>
          </w:tcPr>
          <w:p w14:paraId="03A9CA42"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20.2</w:t>
            </w:r>
          </w:p>
        </w:tc>
        <w:tc>
          <w:tcPr>
            <w:tcW w:w="2812" w:type="dxa"/>
            <w:tcBorders>
              <w:bottom w:val="single" w:sz="12" w:space="0" w:color="auto"/>
            </w:tcBorders>
          </w:tcPr>
          <w:p w14:paraId="23C0F436" w14:textId="77777777" w:rsidR="00066503" w:rsidRPr="00066503" w:rsidRDefault="00066503" w:rsidP="0003307A">
            <w:pPr>
              <w:widowControl/>
              <w:jc w:val="center"/>
              <w:rPr>
                <w:rFonts w:ascii="Times New Roman" w:eastAsia="SimSun" w:hAnsi="Times New Roman"/>
                <w:kern w:val="0"/>
                <w:sz w:val="20"/>
                <w:szCs w:val="20"/>
                <w:lang w:bidi="ar"/>
              </w:rPr>
            </w:pPr>
            <w:r w:rsidRPr="00066503">
              <w:rPr>
                <w:rFonts w:ascii="Times New Roman" w:eastAsia="SimSun" w:hAnsi="Times New Roman"/>
                <w:kern w:val="0"/>
                <w:sz w:val="20"/>
                <w:szCs w:val="20"/>
                <w:lang w:bidi="ar"/>
              </w:rPr>
              <w:t>33.2%</w:t>
            </w:r>
          </w:p>
        </w:tc>
      </w:tr>
    </w:tbl>
    <w:p w14:paraId="1ACE189C"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As the best continuity spectrum for LED lighting in orange-red light, the composite-QDs with the 1:10 weight ratio of </w:t>
      </w:r>
      <w:proofErr w:type="spellStart"/>
      <w:r w:rsidRPr="00066503">
        <w:rPr>
          <w:rFonts w:ascii="Times New Roman" w:eastAsia="SimSun" w:hAnsi="Times New Roman"/>
          <w:sz w:val="20"/>
          <w:szCs w:val="20"/>
        </w:rPr>
        <w:t>R-QDs:O-QDs</w:t>
      </w:r>
      <w:proofErr w:type="spellEnd"/>
      <w:r w:rsidRPr="00066503">
        <w:rPr>
          <w:rFonts w:ascii="Times New Roman" w:eastAsia="SimSun" w:hAnsi="Times New Roman"/>
          <w:sz w:val="20"/>
          <w:szCs w:val="20"/>
        </w:rPr>
        <w:t xml:space="preserve"> is selected for further study. Fig. 6a exhibits the PL spectra of the composite-QDs </w:t>
      </w:r>
      <w:proofErr w:type="gramStart"/>
      <w:r w:rsidRPr="00066503">
        <w:rPr>
          <w:rFonts w:ascii="Times New Roman" w:eastAsia="SimSun" w:hAnsi="Times New Roman"/>
          <w:sz w:val="20"/>
          <w:szCs w:val="20"/>
        </w:rPr>
        <w:t>silicone thin</w:t>
      </w:r>
      <w:proofErr w:type="gramEnd"/>
      <w:r w:rsidRPr="00066503">
        <w:rPr>
          <w:rFonts w:ascii="Times New Roman" w:eastAsia="SimSun" w:hAnsi="Times New Roman"/>
          <w:sz w:val="20"/>
          <w:szCs w:val="20"/>
        </w:rPr>
        <w:t xml:space="preserve"> films with different concentrations of composite-QDs at the same weight ratio of </w:t>
      </w:r>
      <w:proofErr w:type="spellStart"/>
      <w:r w:rsidRPr="00066503">
        <w:rPr>
          <w:rFonts w:ascii="Times New Roman" w:eastAsia="SimSun" w:hAnsi="Times New Roman"/>
          <w:sz w:val="20"/>
          <w:szCs w:val="20"/>
        </w:rPr>
        <w:t>R-QDs:O-QDs</w:t>
      </w:r>
      <w:proofErr w:type="spellEnd"/>
      <w:r w:rsidRPr="00066503">
        <w:rPr>
          <w:rFonts w:ascii="Times New Roman" w:eastAsia="SimSun" w:hAnsi="Times New Roman"/>
          <w:sz w:val="20"/>
          <w:szCs w:val="20"/>
        </w:rPr>
        <w:t xml:space="preserve"> (R:O=1:10). Besides the increase of the overall PL intensity, the proportion of the red-light (631 nm) also increases obviously with the rise of </w:t>
      </w:r>
      <w:r w:rsidRPr="00066503">
        <w:rPr>
          <w:rFonts w:ascii="Times New Roman" w:eastAsia="SimSun" w:hAnsi="Times New Roman"/>
          <w:sz w:val="20"/>
          <w:szCs w:val="20"/>
        </w:rPr>
        <w:lastRenderedPageBreak/>
        <w:t xml:space="preserve">the QD concentration, as shown in Fig. 6b. This phenomenon can be attributed to the enhanced FRET with increasing QD concentration. Moreover, the rising rate of the red light becomes slower at higher QD concentration. This could be due to the saturation of the energy transfer (ET) amongst QDs. However, the absolute QEs of the QD-silicone composite thin films exhibits a less than 5% change with different concentrations of composite-QDs, as shown in Fig. 6c. It appears that 1.0-1.5 mg/mL is the most </w:t>
      </w:r>
      <w:proofErr w:type="spellStart"/>
      <w:r w:rsidRPr="00066503">
        <w:rPr>
          <w:rFonts w:ascii="Times New Roman" w:eastAsia="SimSun" w:hAnsi="Times New Roman"/>
          <w:sz w:val="20"/>
          <w:szCs w:val="20"/>
        </w:rPr>
        <w:t>favourable</w:t>
      </w:r>
      <w:proofErr w:type="spellEnd"/>
      <w:r w:rsidRPr="00066503">
        <w:rPr>
          <w:rFonts w:ascii="Times New Roman" w:eastAsia="SimSun" w:hAnsi="Times New Roman"/>
          <w:sz w:val="20"/>
          <w:szCs w:val="20"/>
        </w:rPr>
        <w:t xml:space="preserve"> QD concentration for composite-QDs in application, which ensures high QEs with a low spectrum variation. </w:t>
      </w:r>
    </w:p>
    <w:p w14:paraId="6F92CCAB"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The </w:t>
      </w:r>
      <w:bookmarkStart w:id="2" w:name="_Hlk30111504"/>
      <w:r w:rsidRPr="00066503">
        <w:rPr>
          <w:rFonts w:ascii="Times New Roman" w:eastAsia="SimSun" w:hAnsi="Times New Roman"/>
          <w:sz w:val="20"/>
          <w:szCs w:val="20"/>
        </w:rPr>
        <w:t>TRPL decay curves of the different composite-QDs concentration thin films</w:t>
      </w:r>
      <w:bookmarkEnd w:id="2"/>
      <w:r w:rsidRPr="00066503">
        <w:rPr>
          <w:rFonts w:ascii="Times New Roman" w:eastAsia="SimSun" w:hAnsi="Times New Roman"/>
          <w:sz w:val="20"/>
          <w:szCs w:val="20"/>
        </w:rPr>
        <w:t xml:space="preserve"> are shown in Fig. S2. Table S4 lists the amplitudes, lifetime components, and amplitude-weighted lifetimes for the composite-QDs. Their FRET efficiencies are calculated and shown in Table S5. Furthermore, the changes in lifetimes and FRET efficiency with concentration are clearly shown in Fig.6d. In detail, the FRET efficiency exhibits a decrement trend from 22% to 9% with the rise of concentration. Meanwhile, the lifetime </w:t>
      </w:r>
      <w:bookmarkStart w:id="3" w:name="_Hlk31313680"/>
      <w:bookmarkStart w:id="4" w:name="OLE_LINK215"/>
      <w:bookmarkStart w:id="5" w:name="OLE_LINK216"/>
      <w:bookmarkStart w:id="6" w:name="OLE_LINK217"/>
      <w:bookmarkStart w:id="7" w:name="OLE_LINK218"/>
      <w:r w:rsidRPr="00066503">
        <w:rPr>
          <w:rFonts w:ascii="Times New Roman" w:eastAsia="SimSun" w:hAnsi="Times New Roman"/>
          <w:sz w:val="20"/>
          <w:szCs w:val="20"/>
        </w:rPr>
        <w:t>recorded at the emission wavelength</w:t>
      </w:r>
      <w:bookmarkEnd w:id="3"/>
      <w:bookmarkEnd w:id="4"/>
      <w:bookmarkEnd w:id="5"/>
      <w:bookmarkEnd w:id="6"/>
      <w:bookmarkEnd w:id="7"/>
      <w:r w:rsidRPr="00066503">
        <w:rPr>
          <w:rFonts w:ascii="Times New Roman" w:eastAsia="SimSun" w:hAnsi="Times New Roman"/>
          <w:sz w:val="20"/>
          <w:szCs w:val="20"/>
        </w:rPr>
        <w:t xml:space="preserve"> of the donor O-QDs increases with increasing concentration </w:t>
      </w:r>
      <w:bookmarkStart w:id="8" w:name="OLE_LINK219"/>
      <w:bookmarkStart w:id="9" w:name="OLE_LINK220"/>
      <w:r w:rsidRPr="00066503">
        <w:rPr>
          <w:rFonts w:ascii="Times New Roman" w:eastAsia="SimSun" w:hAnsi="Times New Roman"/>
          <w:sz w:val="20"/>
          <w:szCs w:val="20"/>
        </w:rPr>
        <w:t xml:space="preserve">(orange dots in </w:t>
      </w:r>
      <w:bookmarkStart w:id="10" w:name="_Hlk31814018"/>
      <w:r w:rsidRPr="00066503">
        <w:rPr>
          <w:rFonts w:ascii="Times New Roman" w:eastAsia="SimSun" w:hAnsi="Times New Roman"/>
          <w:sz w:val="20"/>
          <w:szCs w:val="20"/>
        </w:rPr>
        <w:t>Fig. 6d</w:t>
      </w:r>
      <w:bookmarkEnd w:id="10"/>
      <w:r w:rsidRPr="00066503">
        <w:rPr>
          <w:rFonts w:ascii="Times New Roman" w:eastAsia="SimSun" w:hAnsi="Times New Roman"/>
          <w:sz w:val="20"/>
          <w:szCs w:val="20"/>
        </w:rPr>
        <w:t>)</w:t>
      </w:r>
      <w:bookmarkEnd w:id="8"/>
      <w:bookmarkEnd w:id="9"/>
      <w:r w:rsidRPr="00066503">
        <w:rPr>
          <w:rFonts w:ascii="Times New Roman" w:eastAsia="SimSun" w:hAnsi="Times New Roman"/>
          <w:sz w:val="20"/>
          <w:szCs w:val="20"/>
        </w:rPr>
        <w:t xml:space="preserve">. This is </w:t>
      </w:r>
      <w:proofErr w:type="gramStart"/>
      <w:r w:rsidRPr="00066503">
        <w:rPr>
          <w:rFonts w:ascii="Times New Roman" w:eastAsia="SimSun" w:hAnsi="Times New Roman"/>
          <w:sz w:val="20"/>
          <w:szCs w:val="20"/>
        </w:rPr>
        <w:t>similar to</w:t>
      </w:r>
      <w:proofErr w:type="gramEnd"/>
      <w:r w:rsidRPr="00066503">
        <w:rPr>
          <w:rFonts w:ascii="Times New Roman" w:eastAsia="SimSun" w:hAnsi="Times New Roman"/>
          <w:sz w:val="20"/>
          <w:szCs w:val="20"/>
        </w:rPr>
        <w:t xml:space="preserve"> the concentration dependent lifetime of the pure O-QDs samples shown in Fig.3. It suggests the existence of the combined effect of FRET and self-absorption (like the monochrome QDs). With the rise of concentration, the enhanced self-absorption leads to the increment of the </w:t>
      </w:r>
      <w:proofErr w:type="spellStart"/>
      <w:r w:rsidRPr="00066503">
        <w:rPr>
          <w:rFonts w:ascii="Times New Roman" w:hAnsi="Times New Roman"/>
          <w:sz w:val="20"/>
          <w:szCs w:val="20"/>
        </w:rPr>
        <w:t>τ</w:t>
      </w:r>
      <w:r w:rsidRPr="00066503">
        <w:rPr>
          <w:rFonts w:ascii="Times New Roman" w:hAnsi="Times New Roman"/>
          <w:sz w:val="20"/>
          <w:szCs w:val="20"/>
          <w:vertAlign w:val="subscript"/>
        </w:rPr>
        <w:t>DA</w:t>
      </w:r>
      <w:proofErr w:type="spellEnd"/>
      <w:r w:rsidRPr="00066503">
        <w:rPr>
          <w:rFonts w:ascii="Times New Roman" w:eastAsia="SimSun" w:hAnsi="Times New Roman"/>
          <w:sz w:val="20"/>
          <w:szCs w:val="20"/>
        </w:rPr>
        <w:t xml:space="preserve"> (the donor fluorescence lifetime in the presence of the acceptor, as shown in Fig. 6d, orange dots), suggesting the inhibition of </w:t>
      </w:r>
      <w:bookmarkStart w:id="11" w:name="_Hlk31318107"/>
      <w:r w:rsidRPr="00066503">
        <w:rPr>
          <w:rFonts w:ascii="Times New Roman" w:eastAsia="SimSun" w:hAnsi="Times New Roman"/>
          <w:sz w:val="20"/>
          <w:szCs w:val="20"/>
        </w:rPr>
        <w:t>the FRET</w:t>
      </w:r>
      <w:bookmarkEnd w:id="11"/>
      <w:r w:rsidRPr="00066503">
        <w:rPr>
          <w:rFonts w:ascii="Times New Roman" w:eastAsia="SimSun" w:hAnsi="Times New Roman"/>
          <w:sz w:val="20"/>
          <w:szCs w:val="20"/>
        </w:rPr>
        <w:t xml:space="preserve"> </w:t>
      </w:r>
      <w:bookmarkStart w:id="12" w:name="_Hlk31316196"/>
      <w:r w:rsidRPr="00066503">
        <w:rPr>
          <w:rFonts w:ascii="Times New Roman" w:eastAsia="SimSun" w:hAnsi="Times New Roman"/>
          <w:sz w:val="20"/>
          <w:szCs w:val="20"/>
        </w:rPr>
        <w:t>between composite</w:t>
      </w:r>
      <w:r w:rsidRPr="00066503">
        <w:rPr>
          <w:rFonts w:ascii="Times New Roman" w:eastAsia="SimSun" w:hAnsi="Times New Roman" w:hint="eastAsia"/>
          <w:sz w:val="20"/>
          <w:szCs w:val="20"/>
        </w:rPr>
        <w:t>-</w:t>
      </w:r>
      <w:r w:rsidRPr="00066503">
        <w:rPr>
          <w:rFonts w:ascii="Times New Roman" w:eastAsia="SimSun" w:hAnsi="Times New Roman"/>
          <w:sz w:val="20"/>
          <w:szCs w:val="20"/>
        </w:rPr>
        <w:t>QDs (blue dots in Fig. 6d)</w:t>
      </w:r>
      <w:bookmarkEnd w:id="12"/>
      <w:r w:rsidRPr="00066503">
        <w:rPr>
          <w:rFonts w:ascii="Times New Roman" w:eastAsia="SimSun" w:hAnsi="Times New Roman"/>
          <w:sz w:val="20"/>
          <w:szCs w:val="20"/>
        </w:rPr>
        <w:t>. At the acceptor R-QDs emission wavelength, the reduced FRET efficiency results in smaller increment of the lifetime in high concentration (red dots in Fig. 6d). As a result, the composite-QDs show relative weak concentration dependent lifetimes and could maintain a stable QE, which benefits the application of composite-QDs in LED applications.</w:t>
      </w:r>
    </w:p>
    <w:p w14:paraId="6DC2BE92" w14:textId="77777777" w:rsidR="00066503" w:rsidRPr="00066503" w:rsidRDefault="00066503" w:rsidP="00066503">
      <w:pPr>
        <w:spacing w:line="480" w:lineRule="auto"/>
        <w:ind w:firstLineChars="100" w:firstLine="200"/>
        <w:rPr>
          <w:rFonts w:ascii="Times New Roman" w:eastAsia="SimSun" w:hAnsi="Times New Roman"/>
          <w:sz w:val="20"/>
          <w:szCs w:val="20"/>
        </w:rPr>
      </w:pPr>
      <w:bookmarkStart w:id="13" w:name="OLE_LINK186"/>
      <w:r w:rsidRPr="00066503">
        <w:rPr>
          <w:rFonts w:ascii="Times New Roman" w:eastAsia="SimSun" w:hAnsi="Times New Roman"/>
          <w:sz w:val="20"/>
          <w:szCs w:val="20"/>
        </w:rPr>
        <w:t xml:space="preserve">To study the light compensation effect of the composite-QDs in lighting application, WLEDs are fabricated by </w:t>
      </w:r>
      <w:bookmarkStart w:id="14" w:name="OLE_LINK221"/>
      <w:bookmarkStart w:id="15" w:name="OLE_LINK222"/>
      <w:r w:rsidRPr="00066503">
        <w:rPr>
          <w:rFonts w:ascii="Times New Roman" w:eastAsia="SimSun" w:hAnsi="Times New Roman"/>
          <w:sz w:val="20"/>
          <w:szCs w:val="20"/>
        </w:rPr>
        <w:t xml:space="preserve">mixing green-emitting </w:t>
      </w:r>
      <w:proofErr w:type="spellStart"/>
      <w:r w:rsidRPr="00066503">
        <w:rPr>
          <w:rFonts w:ascii="Times New Roman" w:eastAsia="SimSun" w:hAnsi="Times New Roman"/>
          <w:sz w:val="20"/>
          <w:szCs w:val="20"/>
        </w:rPr>
        <w:t>LuAG:Ce</w:t>
      </w:r>
      <w:proofErr w:type="spellEnd"/>
      <w:r w:rsidRPr="00066503">
        <w:rPr>
          <w:rFonts w:ascii="Times New Roman" w:eastAsia="SimSun" w:hAnsi="Times New Roman"/>
          <w:sz w:val="20"/>
          <w:szCs w:val="20"/>
        </w:rPr>
        <w:t xml:space="preserve"> phosphor and </w:t>
      </w:r>
      <w:bookmarkEnd w:id="14"/>
      <w:bookmarkEnd w:id="15"/>
      <w:r w:rsidRPr="00066503">
        <w:rPr>
          <w:rFonts w:ascii="Times New Roman" w:eastAsia="SimSun" w:hAnsi="Times New Roman"/>
          <w:sz w:val="20"/>
          <w:szCs w:val="20"/>
        </w:rPr>
        <w:t xml:space="preserve">O-QDs, R-QDs or composite-QDs (R:O=1:10) and packaging the mixture on top of 450 nm emitting </w:t>
      </w:r>
      <w:proofErr w:type="spellStart"/>
      <w:r w:rsidRPr="00066503">
        <w:rPr>
          <w:rFonts w:ascii="Times New Roman" w:eastAsia="SimSun" w:hAnsi="Times New Roman"/>
          <w:sz w:val="20"/>
          <w:szCs w:val="20"/>
        </w:rPr>
        <w:t>GaN</w:t>
      </w:r>
      <w:proofErr w:type="spellEnd"/>
      <w:r w:rsidRPr="00066503">
        <w:rPr>
          <w:rFonts w:ascii="Times New Roman" w:eastAsia="SimSun" w:hAnsi="Times New Roman"/>
          <w:sz w:val="20"/>
          <w:szCs w:val="20"/>
        </w:rPr>
        <w:t xml:space="preserve"> chips. </w:t>
      </w:r>
      <w:bookmarkStart w:id="16" w:name="OLE_LINK187"/>
      <w:r w:rsidRPr="00066503">
        <w:rPr>
          <w:rFonts w:ascii="Times New Roman" w:eastAsia="SimSun" w:hAnsi="Times New Roman"/>
          <w:sz w:val="20"/>
          <w:szCs w:val="20"/>
        </w:rPr>
        <w:t>Under a driving current of 40 mA, the excitation-luminescence (EL) spectra of the as-prepared WLEDs are illustrated in Fig. 7.</w:t>
      </w:r>
      <w:bookmarkEnd w:id="13"/>
      <w:bookmarkEnd w:id="16"/>
      <w:r w:rsidRPr="00066503">
        <w:rPr>
          <w:rFonts w:ascii="Times New Roman" w:eastAsia="SimSun" w:hAnsi="Times New Roman"/>
          <w:sz w:val="20"/>
          <w:szCs w:val="20"/>
        </w:rPr>
        <w:t xml:space="preserve"> The correlated color temperature (CCT) and </w:t>
      </w:r>
      <w:bookmarkStart w:id="17" w:name="_Hlk31815657"/>
      <w:r w:rsidRPr="00066503">
        <w:rPr>
          <w:rFonts w:ascii="Times New Roman" w:eastAsia="SimSun" w:hAnsi="Times New Roman"/>
          <w:sz w:val="20"/>
          <w:szCs w:val="20"/>
        </w:rPr>
        <w:t>color coordinates</w:t>
      </w:r>
      <w:bookmarkEnd w:id="17"/>
      <w:r w:rsidRPr="00066503">
        <w:rPr>
          <w:rFonts w:ascii="Times New Roman" w:eastAsia="SimSun" w:hAnsi="Times New Roman"/>
          <w:sz w:val="20"/>
          <w:szCs w:val="20"/>
        </w:rPr>
        <w:t xml:space="preserve"> of the WLEDs are shown in Fig. S3 and Table S6. The four WLEDs have almost the same spectra in blue-green light region but different in the orange-red light region. Besides, the </w:t>
      </w:r>
      <w:proofErr w:type="spellStart"/>
      <w:proofErr w:type="gramStart"/>
      <w:r w:rsidRPr="00066503">
        <w:rPr>
          <w:rFonts w:ascii="Times New Roman" w:eastAsia="SimSun" w:hAnsi="Times New Roman"/>
          <w:sz w:val="20"/>
          <w:szCs w:val="20"/>
        </w:rPr>
        <w:t>LuAG:Ce</w:t>
      </w:r>
      <w:proofErr w:type="spellEnd"/>
      <w:proofErr w:type="gramEnd"/>
      <w:r w:rsidRPr="00066503">
        <w:rPr>
          <w:rFonts w:ascii="Times New Roman" w:eastAsia="SimSun" w:hAnsi="Times New Roman"/>
          <w:sz w:val="20"/>
          <w:szCs w:val="20"/>
        </w:rPr>
        <w:t xml:space="preserve"> (only) based WLED shows the lowest color rendering index (CRI) of 48.8 due to the loss of red-orange light region. On the contrary, the composite-QDs based WLED exhibits a broader and flat spectrum in the orange-red light region and the highest CRI of 92.1. Compared to the composite-QDs, </w:t>
      </w:r>
      <w:bookmarkStart w:id="18" w:name="OLE_LINK337"/>
      <w:bookmarkStart w:id="19" w:name="OLE_LINK338"/>
      <w:r w:rsidRPr="00066503">
        <w:rPr>
          <w:rFonts w:ascii="Times New Roman" w:eastAsia="SimSun" w:hAnsi="Times New Roman"/>
          <w:sz w:val="20"/>
          <w:szCs w:val="20"/>
        </w:rPr>
        <w:t xml:space="preserve">the </w:t>
      </w:r>
      <w:proofErr w:type="spellStart"/>
      <w:proofErr w:type="gramStart"/>
      <w:r w:rsidRPr="00066503">
        <w:rPr>
          <w:rFonts w:ascii="Times New Roman" w:eastAsia="SimSun" w:hAnsi="Times New Roman"/>
          <w:sz w:val="20"/>
          <w:szCs w:val="20"/>
        </w:rPr>
        <w:t>LuAG:Ce</w:t>
      </w:r>
      <w:proofErr w:type="spellEnd"/>
      <w:proofErr w:type="gramEnd"/>
      <w:r w:rsidRPr="00066503">
        <w:rPr>
          <w:rFonts w:ascii="Times New Roman" w:eastAsia="SimSun" w:hAnsi="Times New Roman"/>
          <w:sz w:val="20"/>
          <w:szCs w:val="20"/>
        </w:rPr>
        <w:t xml:space="preserve"> (only</w:t>
      </w:r>
      <w:bookmarkEnd w:id="18"/>
      <w:bookmarkEnd w:id="19"/>
      <w:r w:rsidRPr="00066503">
        <w:rPr>
          <w:rFonts w:ascii="Times New Roman" w:eastAsia="SimSun" w:hAnsi="Times New Roman"/>
          <w:sz w:val="20"/>
          <w:szCs w:val="20"/>
        </w:rPr>
        <w:t xml:space="preserve">) and R-QDs based WLEDs present obvious light gap in the </w:t>
      </w:r>
      <w:r w:rsidRPr="00066503">
        <w:rPr>
          <w:rFonts w:ascii="Times New Roman" w:eastAsia="SimSun" w:hAnsi="Times New Roman"/>
          <w:sz w:val="20"/>
          <w:szCs w:val="20"/>
        </w:rPr>
        <w:lastRenderedPageBreak/>
        <w:t>orange light region and show great differences in CCT and color coordinates. Although the O-QDs based WLED has the similar CCT and color coordinates with the composite-QDs based WLED, it lacks the red light and thus presents a much lower CRI than that of the composite-QDs. It indicates the promising ability of composite</w:t>
      </w:r>
      <w:r w:rsidRPr="00066503">
        <w:rPr>
          <w:rFonts w:ascii="Times New Roman" w:eastAsia="SimSun" w:hAnsi="Times New Roman" w:hint="eastAsia"/>
          <w:sz w:val="20"/>
          <w:szCs w:val="20"/>
        </w:rPr>
        <w:t>-</w:t>
      </w:r>
      <w:r w:rsidRPr="00066503">
        <w:rPr>
          <w:rFonts w:ascii="Times New Roman" w:eastAsia="SimSun" w:hAnsi="Times New Roman"/>
          <w:sz w:val="20"/>
          <w:szCs w:val="20"/>
        </w:rPr>
        <w:t>QDs in enhancing the color quality of WLED.</w:t>
      </w:r>
    </w:p>
    <w:p w14:paraId="6315CA04"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Style w:val="fontstyle01"/>
          <w:color w:val="auto"/>
        </w:rPr>
        <w:t>To further evaluate the experimental results, th</w:t>
      </w:r>
      <w:r w:rsidRPr="00066503">
        <w:rPr>
          <w:rFonts w:ascii="Times New Roman" w:eastAsia="SimSun" w:hAnsi="Times New Roman"/>
          <w:sz w:val="20"/>
          <w:szCs w:val="20"/>
        </w:rPr>
        <w:t xml:space="preserve">e </w:t>
      </w:r>
      <w:r w:rsidRPr="00066503">
        <w:rPr>
          <w:rStyle w:val="fontstyle01"/>
          <w:color w:val="auto"/>
        </w:rPr>
        <w:t>luminous efficacy of</w:t>
      </w:r>
      <w:r w:rsidRPr="00066503">
        <w:rPr>
          <w:rFonts w:ascii="TimesNewRoman" w:hAnsi="TimesNewRoman"/>
          <w:sz w:val="20"/>
          <w:szCs w:val="20"/>
        </w:rPr>
        <w:t xml:space="preserve"> </w:t>
      </w:r>
      <w:r w:rsidRPr="00066503">
        <w:rPr>
          <w:rStyle w:val="fontstyle01"/>
          <w:color w:val="auto"/>
        </w:rPr>
        <w:t>radiation (LER) was calculated according to the following formula:</w:t>
      </w:r>
    </w:p>
    <w:p w14:paraId="55F3F9B5" w14:textId="77777777" w:rsidR="00066503" w:rsidRPr="00066503" w:rsidRDefault="00066503" w:rsidP="00066503">
      <w:pPr>
        <w:widowControl/>
        <w:jc w:val="center"/>
        <w:rPr>
          <w:rFonts w:ascii="Times New Roman" w:hAnsi="Times New Roman"/>
          <w:sz w:val="18"/>
          <w:szCs w:val="18"/>
        </w:rPr>
      </w:pPr>
      <w:r w:rsidRPr="00066503">
        <w:rPr>
          <w:rFonts w:ascii="Times New Roman" w:eastAsia="SimSun" w:hAnsi="Times New Roman" w:hint="eastAsia"/>
          <w:position w:val="-38"/>
          <w:sz w:val="18"/>
          <w:szCs w:val="18"/>
        </w:rPr>
        <w:object w:dxaOrig="3000" w:dyaOrig="879" w14:anchorId="1A28CBB5">
          <v:shape id="_x0000_i1028" type="#_x0000_t75" alt="" style="width:150pt;height:44.25pt;mso-position-horizontal-relative:page;mso-position-vertical-relative:page" o:ole="">
            <v:fill o:detectmouseclick="t"/>
            <v:imagedata r:id="rId10" o:title=""/>
          </v:shape>
          <o:OLEObject Type="Embed" ProgID="Equation.KSEE3" ShapeID="_x0000_i1028" DrawAspect="Content" ObjectID="_1651506196" r:id="rId11">
            <o:FieldCodes>\* MERGEFORMAT</o:FieldCodes>
          </o:OLEObject>
        </w:object>
      </w:r>
      <w:r w:rsidRPr="00066503">
        <w:rPr>
          <w:rFonts w:ascii="Times New Roman" w:eastAsia="SimSun" w:hAnsi="Times New Roman"/>
          <w:sz w:val="18"/>
          <w:szCs w:val="18"/>
        </w:rPr>
        <w:t xml:space="preserve">         (4)</w:t>
      </w:r>
    </w:p>
    <w:p w14:paraId="0BBF7112"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Style w:val="fontstyle01"/>
          <w:color w:val="auto"/>
        </w:rPr>
        <w:t xml:space="preserve">where 683 </w:t>
      </w:r>
      <w:proofErr w:type="spellStart"/>
      <w:r w:rsidRPr="00066503">
        <w:rPr>
          <w:rStyle w:val="fontstyle01"/>
          <w:color w:val="auto"/>
        </w:rPr>
        <w:t>lm</w:t>
      </w:r>
      <w:proofErr w:type="spellEnd"/>
      <w:r w:rsidRPr="00066503">
        <w:rPr>
          <w:rStyle w:val="fontstyle01"/>
          <w:color w:val="auto"/>
        </w:rPr>
        <w:t>/</w:t>
      </w:r>
      <w:proofErr w:type="spellStart"/>
      <w:r w:rsidRPr="00066503">
        <w:rPr>
          <w:rFonts w:ascii="Times New Roman" w:hAnsi="Times New Roman"/>
          <w:sz w:val="20"/>
          <w:szCs w:val="20"/>
        </w:rPr>
        <w:t>W</w:t>
      </w:r>
      <w:r w:rsidRPr="00066503">
        <w:rPr>
          <w:rFonts w:ascii="Times New Roman" w:hAnsi="Times New Roman"/>
          <w:sz w:val="20"/>
          <w:szCs w:val="20"/>
          <w:vertAlign w:val="subscript"/>
        </w:rPr>
        <w:t>opt</w:t>
      </w:r>
      <w:proofErr w:type="spellEnd"/>
      <w:r w:rsidRPr="00066503">
        <w:rPr>
          <w:rStyle w:val="fontstyle01"/>
          <w:color w:val="auto"/>
        </w:rPr>
        <w:t xml:space="preserve"> is a normalization factor. </w:t>
      </w:r>
      <w:proofErr w:type="spellStart"/>
      <w:r w:rsidRPr="00066503">
        <w:rPr>
          <w:rFonts w:ascii="Times New Roman" w:hAnsi="Times New Roman"/>
          <w:i/>
          <w:iCs/>
          <w:sz w:val="20"/>
          <w:szCs w:val="20"/>
        </w:rPr>
        <w:t>W</w:t>
      </w:r>
      <w:r w:rsidRPr="00066503">
        <w:rPr>
          <w:rFonts w:ascii="Times New Roman" w:hAnsi="Times New Roman"/>
          <w:i/>
          <w:iCs/>
          <w:sz w:val="20"/>
          <w:szCs w:val="20"/>
          <w:vertAlign w:val="subscript"/>
        </w:rPr>
        <w:t>opt</w:t>
      </w:r>
      <w:proofErr w:type="spellEnd"/>
      <w:r w:rsidRPr="00066503">
        <w:rPr>
          <w:rStyle w:val="fontstyle01"/>
          <w:color w:val="auto"/>
        </w:rPr>
        <w:t xml:space="preserve">, </w:t>
      </w:r>
      <w:r w:rsidRPr="00066503">
        <w:rPr>
          <w:rStyle w:val="fontstyle21"/>
          <w:color w:val="auto"/>
        </w:rPr>
        <w:t>V</w:t>
      </w:r>
      <w:r w:rsidRPr="00066503">
        <w:rPr>
          <w:rStyle w:val="fontstyle01"/>
          <w:i/>
          <w:iCs/>
          <w:color w:val="auto"/>
        </w:rPr>
        <w:t>(λ)</w:t>
      </w:r>
      <w:r w:rsidRPr="00066503">
        <w:rPr>
          <w:rStyle w:val="fontstyle01"/>
          <w:color w:val="auto"/>
        </w:rPr>
        <w:t xml:space="preserve"> and </w:t>
      </w:r>
      <w:r w:rsidRPr="00066503">
        <w:rPr>
          <w:rStyle w:val="fontstyle21"/>
          <w:color w:val="auto"/>
        </w:rPr>
        <w:t>P</w:t>
      </w:r>
      <w:r w:rsidRPr="00066503">
        <w:rPr>
          <w:rStyle w:val="fontstyle01"/>
          <w:i/>
          <w:iCs/>
          <w:color w:val="auto"/>
        </w:rPr>
        <w:t xml:space="preserve">(λ) </w:t>
      </w:r>
      <w:r w:rsidRPr="00066503">
        <w:rPr>
          <w:rStyle w:val="fontstyle01"/>
          <w:color w:val="auto"/>
        </w:rPr>
        <w:t xml:space="preserve">are optical power, the human eye sensitivity </w:t>
      </w:r>
      <w:proofErr w:type="gramStart"/>
      <w:r w:rsidRPr="00066503">
        <w:rPr>
          <w:rStyle w:val="fontstyle01"/>
          <w:color w:val="auto"/>
        </w:rPr>
        <w:t>function</w:t>
      </w:r>
      <w:proofErr w:type="gramEnd"/>
      <w:r w:rsidRPr="00066503">
        <w:rPr>
          <w:rStyle w:val="fontstyle01"/>
          <w:color w:val="auto"/>
        </w:rPr>
        <w:t xml:space="preserve"> and</w:t>
      </w:r>
      <w:r w:rsidRPr="00066503">
        <w:rPr>
          <w:rFonts w:ascii="TimesNewRoman" w:hAnsi="TimesNewRoman"/>
          <w:sz w:val="20"/>
          <w:szCs w:val="20"/>
        </w:rPr>
        <w:t xml:space="preserve"> </w:t>
      </w:r>
      <w:r w:rsidRPr="00066503">
        <w:rPr>
          <w:rStyle w:val="fontstyle01"/>
          <w:color w:val="auto"/>
        </w:rPr>
        <w:t>the spectral power density of the light source</w:t>
      </w:r>
      <w:r w:rsidRPr="00066503">
        <w:rPr>
          <w:rStyle w:val="fontstyle01"/>
          <w:rFonts w:hint="eastAsia"/>
          <w:color w:val="auto"/>
        </w:rPr>
        <w:t>,</w:t>
      </w:r>
      <w:r w:rsidRPr="00066503">
        <w:rPr>
          <w:rStyle w:val="fontstyle01"/>
          <w:color w:val="auto"/>
        </w:rPr>
        <w:t xml:space="preserve"> respectively </w:t>
      </w:r>
      <w:r w:rsidRPr="00066503">
        <w:rPr>
          <w:rFonts w:ascii="Times New Roman" w:eastAsia="SimSun" w:hAnsi="Times New Roman"/>
          <w:sz w:val="20"/>
          <w:szCs w:val="20"/>
        </w:rPr>
        <w:t>[35,36].</w:t>
      </w:r>
      <w:r w:rsidRPr="00066503">
        <w:rPr>
          <w:rStyle w:val="Header"/>
        </w:rPr>
        <w:t xml:space="preserve"> </w:t>
      </w:r>
    </w:p>
    <w:p w14:paraId="4A616A9F" w14:textId="77777777" w:rsidR="00066503" w:rsidRPr="00066503" w:rsidRDefault="00066503" w:rsidP="00066503">
      <w:pPr>
        <w:spacing w:line="480" w:lineRule="auto"/>
        <w:ind w:firstLineChars="100" w:firstLine="200"/>
        <w:rPr>
          <w:rFonts w:ascii="Times New Roman" w:eastAsia="SimSun" w:hAnsi="Times New Roman"/>
          <w:sz w:val="20"/>
          <w:szCs w:val="20"/>
        </w:rPr>
      </w:pPr>
      <w:r w:rsidRPr="00066503">
        <w:rPr>
          <w:rFonts w:ascii="Times New Roman" w:eastAsia="SimSun" w:hAnsi="Times New Roman"/>
          <w:sz w:val="20"/>
          <w:szCs w:val="20"/>
        </w:rPr>
        <w:t xml:space="preserve">The LER results are summarized in Table S6 and </w:t>
      </w:r>
      <w:proofErr w:type="gramStart"/>
      <w:r w:rsidRPr="00066503">
        <w:rPr>
          <w:rFonts w:ascii="Times New Roman" w:eastAsia="SimSun" w:hAnsi="Times New Roman"/>
          <w:sz w:val="20"/>
          <w:szCs w:val="20"/>
        </w:rPr>
        <w:t>similar to</w:t>
      </w:r>
      <w:proofErr w:type="gramEnd"/>
      <w:r w:rsidRPr="00066503">
        <w:rPr>
          <w:rFonts w:ascii="Times New Roman" w:eastAsia="SimSun" w:hAnsi="Times New Roman"/>
          <w:sz w:val="20"/>
          <w:szCs w:val="20"/>
        </w:rPr>
        <w:t xml:space="preserve"> previous reports</w:t>
      </w:r>
      <w:r w:rsidRPr="00066503">
        <w:rPr>
          <w:rStyle w:val="fontstyle01"/>
          <w:color w:val="auto"/>
        </w:rPr>
        <w:t xml:space="preserve"> [37,38,39].</w:t>
      </w:r>
      <w:r w:rsidRPr="00066503">
        <w:rPr>
          <w:rFonts w:ascii="Times New Roman" w:eastAsia="SimSun" w:hAnsi="Times New Roman"/>
          <w:sz w:val="20"/>
          <w:szCs w:val="20"/>
        </w:rPr>
        <w:t xml:space="preserve"> According to the results, the LER of the composite-QDs based WLED (sample d) is higher than that of the R-QDs one (sample c) and lower than the O-QDs one (sample b) for the reason that human eyes are more sensitive to the orange light than the red light.</w:t>
      </w:r>
    </w:p>
    <w:p w14:paraId="00192C32" w14:textId="77777777" w:rsidR="00E95803" w:rsidRPr="00066503" w:rsidRDefault="00E95803"/>
    <w:sectPr w:rsidR="00E95803" w:rsidRPr="000665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503"/>
    <w:rsid w:val="0006650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66D70"/>
  <w15:chartTrackingRefBased/>
  <w15:docId w15:val="{DC4BBDC5-BC43-419B-AB31-9AD273E95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503"/>
    <w:pPr>
      <w:widowControl w:val="0"/>
      <w:spacing w:after="0" w:line="240" w:lineRule="auto"/>
      <w:jc w:val="both"/>
    </w:pPr>
    <w:rPr>
      <w:rFonts w:ascii="DengXian" w:eastAsia="DengXian" w:hAnsi="DengXian"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650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66503"/>
    <w:rPr>
      <w:rFonts w:ascii="DengXian" w:eastAsia="DengXian" w:hAnsi="DengXian" w:cs="Times New Roman"/>
      <w:kern w:val="2"/>
      <w:sz w:val="18"/>
      <w:szCs w:val="18"/>
      <w:lang w:eastAsia="zh-CN"/>
    </w:rPr>
  </w:style>
  <w:style w:type="paragraph" w:styleId="NormalWeb">
    <w:name w:val="Normal (Web)"/>
    <w:basedOn w:val="Normal"/>
    <w:rsid w:val="00066503"/>
    <w:pPr>
      <w:widowControl/>
      <w:spacing w:before="100" w:beforeAutospacing="1" w:after="100" w:afterAutospacing="1" w:line="259" w:lineRule="auto"/>
      <w:jc w:val="left"/>
    </w:pPr>
    <w:rPr>
      <w:rFonts w:ascii="Times New Roman" w:eastAsia="SimSun" w:hAnsi="Times New Roman"/>
      <w:kern w:val="0"/>
      <w:sz w:val="24"/>
    </w:rPr>
  </w:style>
  <w:style w:type="character" w:customStyle="1" w:styleId="fontstyle01">
    <w:name w:val="fontstyle01"/>
    <w:rsid w:val="00066503"/>
    <w:rPr>
      <w:rFonts w:ascii="TimesNewRoman" w:hAnsi="TimesNewRoman" w:hint="default"/>
      <w:b w:val="0"/>
      <w:bCs w:val="0"/>
      <w:i w:val="0"/>
      <w:iCs w:val="0"/>
      <w:color w:val="000000"/>
      <w:sz w:val="20"/>
      <w:szCs w:val="20"/>
    </w:rPr>
  </w:style>
  <w:style w:type="character" w:customStyle="1" w:styleId="fontstyle21">
    <w:name w:val="fontstyle21"/>
    <w:rsid w:val="00066503"/>
    <w:rPr>
      <w:rFonts w:ascii="TimesNewRoman" w:hAnsi="TimesNewRoman" w:hint="default"/>
      <w:b w:val="0"/>
      <w:bCs w:val="0"/>
      <w:i/>
      <w:i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1825</Words>
  <Characters>10404</Characters>
  <Application>Microsoft Office Word</Application>
  <DocSecurity>0</DocSecurity>
  <Lines>86</Lines>
  <Paragraphs>24</Paragraphs>
  <ScaleCrop>false</ScaleCrop>
  <Company/>
  <LinksUpToDate>false</LinksUpToDate>
  <CharactersWithSpaces>12205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2020-05-20T22:55:00Z</dcterms:created>
  <dcterms:modified xsi:type="dcterms:W3CDTF">2020-05-20T22:56:00Z</dcterms:modified>
</cp:coreProperties>
</file>