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A04D9" w14:textId="20B2F9A8" w:rsidR="0056710D" w:rsidRPr="00927EF5" w:rsidRDefault="00F12770" w:rsidP="0056710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27EF5">
        <w:rPr>
          <w:rFonts w:ascii="Times New Roman" w:hAnsi="Times New Roman"/>
          <w:b/>
          <w:sz w:val="24"/>
          <w:szCs w:val="24"/>
        </w:rPr>
        <w:t>G</w:t>
      </w:r>
      <w:r w:rsidR="0056710D" w:rsidRPr="00927EF5">
        <w:rPr>
          <w:rFonts w:ascii="Times New Roman" w:hAnsi="Times New Roman"/>
          <w:b/>
          <w:sz w:val="24"/>
          <w:szCs w:val="24"/>
        </w:rPr>
        <w:t xml:space="preserve">alectin-3 in the gut-liver axis </w:t>
      </w:r>
      <w:r w:rsidRPr="00927EF5">
        <w:rPr>
          <w:rFonts w:ascii="Times New Roman" w:hAnsi="Times New Roman"/>
          <w:b/>
          <w:sz w:val="24"/>
          <w:szCs w:val="24"/>
        </w:rPr>
        <w:t xml:space="preserve">regulates autistic-like </w:t>
      </w:r>
      <w:r w:rsidR="0056710D" w:rsidRPr="00927EF5">
        <w:rPr>
          <w:rFonts w:ascii="Times New Roman" w:hAnsi="Times New Roman"/>
          <w:b/>
          <w:sz w:val="24"/>
          <w:szCs w:val="24"/>
        </w:rPr>
        <w:t>behaviors</w:t>
      </w:r>
      <w:r w:rsidR="00891022" w:rsidRPr="00927EF5">
        <w:rPr>
          <w:rFonts w:ascii="Times New Roman" w:hAnsi="Times New Roman"/>
          <w:b/>
          <w:sz w:val="24"/>
          <w:szCs w:val="24"/>
        </w:rPr>
        <w:t xml:space="preserve"> </w:t>
      </w:r>
      <w:r w:rsidR="00927EF5" w:rsidRPr="00927EF5">
        <w:rPr>
          <w:rFonts w:ascii="Times New Roman" w:hAnsi="Times New Roman"/>
          <w:b/>
          <w:sz w:val="24"/>
          <w:szCs w:val="24"/>
        </w:rPr>
        <w:t>by mechanism associated with cerebral Shank-3+ cell niches</w:t>
      </w:r>
      <w:r w:rsidR="00927EF5">
        <w:rPr>
          <w:rFonts w:ascii="Times New Roman" w:hAnsi="Times New Roman"/>
          <w:b/>
          <w:sz w:val="24"/>
          <w:szCs w:val="24"/>
        </w:rPr>
        <w:t xml:space="preserve"> </w:t>
      </w:r>
      <w:r w:rsidR="00891022" w:rsidRPr="00927EF5">
        <w:rPr>
          <w:rFonts w:ascii="Times New Roman" w:hAnsi="Times New Roman"/>
          <w:b/>
          <w:sz w:val="24"/>
          <w:szCs w:val="24"/>
        </w:rPr>
        <w:t>in BALB/c mice</w:t>
      </w:r>
      <w:r w:rsidR="00E869CA" w:rsidRPr="00927EF5">
        <w:rPr>
          <w:rFonts w:ascii="Times New Roman" w:hAnsi="Times New Roman"/>
          <w:b/>
          <w:sz w:val="24"/>
          <w:szCs w:val="24"/>
        </w:rPr>
        <w:t xml:space="preserve"> </w:t>
      </w:r>
    </w:p>
    <w:p w14:paraId="3278F48A" w14:textId="77777777" w:rsidR="0056710D" w:rsidRPr="00786C14" w:rsidRDefault="0056710D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654A27B3" w14:textId="1597F312" w:rsidR="0056710D" w:rsidRPr="001D04FE" w:rsidRDefault="0056710D" w:rsidP="00BB7B98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55114F">
        <w:rPr>
          <w:rFonts w:ascii="Times New Roman" w:hAnsi="Times New Roman"/>
          <w:bCs/>
          <w:sz w:val="24"/>
          <w:szCs w:val="24"/>
          <w:lang w:val="pt-BR"/>
        </w:rPr>
        <w:t>Lemos FS</w:t>
      </w:r>
      <w:r w:rsidRPr="0055114F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1</w:t>
      </w:r>
      <w:r w:rsidRPr="0055114F">
        <w:rPr>
          <w:rFonts w:ascii="Times New Roman" w:hAnsi="Times New Roman"/>
          <w:bCs/>
          <w:sz w:val="24"/>
          <w:szCs w:val="24"/>
          <w:lang w:val="pt-BR"/>
        </w:rPr>
        <w:t xml:space="preserve">; </w:t>
      </w:r>
      <w:proofErr w:type="spellStart"/>
      <w:r w:rsidRPr="0055114F">
        <w:rPr>
          <w:rFonts w:ascii="Times New Roman" w:hAnsi="Times New Roman"/>
          <w:bCs/>
          <w:sz w:val="24"/>
          <w:szCs w:val="24"/>
          <w:lang w:val="pt-BR"/>
        </w:rPr>
        <w:t>Prins</w:t>
      </w:r>
      <w:proofErr w:type="spellEnd"/>
      <w:r w:rsidRPr="0055114F">
        <w:rPr>
          <w:rFonts w:ascii="Times New Roman" w:hAnsi="Times New Roman"/>
          <w:bCs/>
          <w:sz w:val="24"/>
          <w:szCs w:val="24"/>
          <w:lang w:val="pt-BR"/>
        </w:rPr>
        <w:t xml:space="preserve"> CA</w:t>
      </w:r>
      <w:r w:rsidRPr="0055114F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2</w:t>
      </w:r>
      <w:r w:rsidRPr="0055114F">
        <w:rPr>
          <w:rFonts w:ascii="Times New Roman" w:hAnsi="Times New Roman"/>
          <w:bCs/>
          <w:sz w:val="24"/>
          <w:szCs w:val="24"/>
          <w:lang w:val="pt-BR"/>
        </w:rPr>
        <w:t>; Carpi-Santos R</w:t>
      </w:r>
      <w:r w:rsidRPr="0055114F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3</w:t>
      </w:r>
      <w:r w:rsidRPr="00E804A5">
        <w:rPr>
          <w:rFonts w:ascii="Times New Roman" w:hAnsi="Times New Roman"/>
          <w:bCs/>
          <w:sz w:val="24"/>
          <w:szCs w:val="24"/>
          <w:lang w:val="pt-BR"/>
        </w:rPr>
        <w:t>;</w:t>
      </w:r>
      <w:r w:rsidR="0013574D" w:rsidRPr="00E804A5">
        <w:rPr>
          <w:rFonts w:ascii="Times New Roman" w:hAnsi="Times New Roman"/>
          <w:sz w:val="24"/>
          <w:szCs w:val="24"/>
          <w:lang w:val="pt-BR"/>
        </w:rPr>
        <w:t xml:space="preserve"> </w:t>
      </w:r>
      <w:proofErr w:type="spellStart"/>
      <w:r w:rsidR="0013574D" w:rsidRPr="00E804A5">
        <w:rPr>
          <w:rFonts w:ascii="Times New Roman" w:hAnsi="Times New Roman"/>
          <w:sz w:val="24"/>
          <w:szCs w:val="24"/>
          <w:lang w:val="pt-BR"/>
        </w:rPr>
        <w:t>Waclawiak</w:t>
      </w:r>
      <w:proofErr w:type="spellEnd"/>
      <w:r w:rsidR="0013574D" w:rsidRPr="00E804A5">
        <w:rPr>
          <w:rFonts w:ascii="Times New Roman" w:hAnsi="Times New Roman"/>
          <w:sz w:val="24"/>
          <w:szCs w:val="24"/>
          <w:lang w:val="pt-BR"/>
        </w:rPr>
        <w:t xml:space="preserve"> I</w:t>
      </w:r>
      <w:r w:rsidR="00E804A5" w:rsidRPr="00E804A5">
        <w:rPr>
          <w:rFonts w:ascii="Times New Roman" w:hAnsi="Times New Roman"/>
          <w:sz w:val="24"/>
          <w:szCs w:val="24"/>
          <w:vertAlign w:val="superscript"/>
          <w:lang w:val="pt-BR"/>
        </w:rPr>
        <w:t>4</w:t>
      </w:r>
      <w:r w:rsidR="0013574D" w:rsidRPr="00E804A5">
        <w:rPr>
          <w:rFonts w:ascii="Times New Roman" w:hAnsi="Times New Roman"/>
          <w:sz w:val="24"/>
          <w:szCs w:val="24"/>
          <w:lang w:val="pt-BR"/>
        </w:rPr>
        <w:t xml:space="preserve">; </w:t>
      </w:r>
      <w:r w:rsidRPr="00E804A5">
        <w:rPr>
          <w:rFonts w:ascii="Times New Roman" w:hAnsi="Times New Roman"/>
          <w:bCs/>
          <w:sz w:val="24"/>
          <w:szCs w:val="24"/>
          <w:lang w:val="pt-BR"/>
        </w:rPr>
        <w:t xml:space="preserve">Santos </w:t>
      </w:r>
      <w:r w:rsidR="00E804A5" w:rsidRPr="00E804A5">
        <w:rPr>
          <w:rFonts w:ascii="Times New Roman" w:hAnsi="Times New Roman"/>
          <w:bCs/>
          <w:sz w:val="24"/>
          <w:szCs w:val="24"/>
          <w:lang w:val="pt-BR"/>
        </w:rPr>
        <w:t>SN</w:t>
      </w:r>
      <w:r w:rsidR="00E804A5" w:rsidRPr="00E804A5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5</w:t>
      </w:r>
      <w:r w:rsidRPr="00E804A5">
        <w:rPr>
          <w:rFonts w:ascii="Times New Roman" w:hAnsi="Times New Roman"/>
          <w:bCs/>
          <w:sz w:val="24"/>
          <w:szCs w:val="24"/>
          <w:lang w:val="pt-BR"/>
        </w:rPr>
        <w:t xml:space="preserve">; Bernardes </w:t>
      </w:r>
      <w:r w:rsidR="00E804A5" w:rsidRPr="00E804A5">
        <w:rPr>
          <w:rFonts w:ascii="Times New Roman" w:hAnsi="Times New Roman"/>
          <w:bCs/>
          <w:sz w:val="24"/>
          <w:szCs w:val="24"/>
          <w:lang w:val="pt-BR"/>
        </w:rPr>
        <w:t>ES</w:t>
      </w:r>
      <w:r w:rsidR="00E804A5" w:rsidRPr="00E804A5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5</w:t>
      </w:r>
      <w:r w:rsidRPr="00E804A5">
        <w:rPr>
          <w:rFonts w:ascii="Times New Roman" w:hAnsi="Times New Roman"/>
          <w:bCs/>
          <w:sz w:val="24"/>
          <w:szCs w:val="24"/>
          <w:lang w:val="pt-BR"/>
        </w:rPr>
        <w:t xml:space="preserve">; Peça </w:t>
      </w:r>
      <w:r w:rsidR="00E804A5" w:rsidRPr="00E804A5">
        <w:rPr>
          <w:rFonts w:ascii="Times New Roman" w:hAnsi="Times New Roman"/>
          <w:bCs/>
          <w:sz w:val="24"/>
          <w:szCs w:val="24"/>
          <w:lang w:val="pt-BR"/>
        </w:rPr>
        <w:t>J</w:t>
      </w:r>
      <w:r w:rsidR="00E804A5" w:rsidRPr="00E804A5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6</w:t>
      </w:r>
      <w:r w:rsidRPr="00E804A5">
        <w:rPr>
          <w:rFonts w:ascii="Times New Roman" w:hAnsi="Times New Roman"/>
          <w:bCs/>
          <w:sz w:val="24"/>
          <w:szCs w:val="24"/>
          <w:lang w:val="pt-BR"/>
        </w:rPr>
        <w:t>; Martinez AMB</w:t>
      </w:r>
      <w:r w:rsidRPr="00E804A5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2</w:t>
      </w:r>
      <w:r w:rsidRPr="00E804A5">
        <w:rPr>
          <w:rFonts w:ascii="Times New Roman" w:hAnsi="Times New Roman"/>
          <w:bCs/>
          <w:sz w:val="24"/>
          <w:szCs w:val="24"/>
          <w:lang w:val="pt-BR"/>
        </w:rPr>
        <w:t>;</w:t>
      </w:r>
      <w:r w:rsidR="0013574D" w:rsidRPr="00E804A5">
        <w:rPr>
          <w:rFonts w:ascii="Times New Roman" w:hAnsi="Times New Roman"/>
          <w:bCs/>
          <w:sz w:val="24"/>
          <w:szCs w:val="24"/>
          <w:lang w:val="pt-BR"/>
        </w:rPr>
        <w:t xml:space="preserve"> Benjamim </w:t>
      </w:r>
      <w:r w:rsidR="00BB7B98" w:rsidRPr="00E804A5">
        <w:rPr>
          <w:rFonts w:ascii="Times New Roman" w:hAnsi="Times New Roman"/>
          <w:bCs/>
          <w:sz w:val="24"/>
          <w:szCs w:val="24"/>
          <w:lang w:val="pt-BR"/>
        </w:rPr>
        <w:t>CF</w:t>
      </w:r>
      <w:r w:rsidR="00BB7B98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4</w:t>
      </w:r>
      <w:r w:rsidR="0013574D" w:rsidRPr="00E804A5">
        <w:rPr>
          <w:rFonts w:ascii="Times New Roman" w:hAnsi="Times New Roman"/>
          <w:bCs/>
          <w:sz w:val="24"/>
          <w:szCs w:val="24"/>
          <w:lang w:val="pt-BR"/>
        </w:rPr>
        <w:t>;</w:t>
      </w:r>
      <w:r w:rsidR="0013574D">
        <w:rPr>
          <w:rFonts w:ascii="Times New Roman" w:hAnsi="Times New Roman"/>
          <w:bCs/>
          <w:sz w:val="24"/>
          <w:szCs w:val="24"/>
          <w:lang w:val="pt-BR"/>
        </w:rPr>
        <w:t xml:space="preserve"> </w:t>
      </w:r>
      <w:proofErr w:type="spellStart"/>
      <w:r w:rsidRPr="0055114F">
        <w:rPr>
          <w:rFonts w:ascii="Times New Roman" w:hAnsi="Times New Roman"/>
          <w:bCs/>
          <w:sz w:val="24"/>
          <w:szCs w:val="24"/>
          <w:lang w:val="pt-BR"/>
        </w:rPr>
        <w:t>Luisetto</w:t>
      </w:r>
      <w:proofErr w:type="spellEnd"/>
      <w:r w:rsidRPr="0055114F">
        <w:rPr>
          <w:rFonts w:ascii="Times New Roman" w:hAnsi="Times New Roman"/>
          <w:bCs/>
          <w:sz w:val="24"/>
          <w:szCs w:val="24"/>
          <w:lang w:val="pt-BR"/>
        </w:rPr>
        <w:t xml:space="preserve"> </w:t>
      </w:r>
      <w:r w:rsidR="00BB7B98" w:rsidRPr="0055114F">
        <w:rPr>
          <w:rFonts w:ascii="Times New Roman" w:hAnsi="Times New Roman"/>
          <w:bCs/>
          <w:sz w:val="24"/>
          <w:szCs w:val="24"/>
          <w:lang w:val="pt-BR"/>
        </w:rPr>
        <w:t>R</w:t>
      </w:r>
      <w:r w:rsidR="00BB7B98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7</w:t>
      </w:r>
      <w:r w:rsidRPr="0055114F">
        <w:rPr>
          <w:rFonts w:ascii="Times New Roman" w:hAnsi="Times New Roman"/>
          <w:bCs/>
          <w:sz w:val="24"/>
          <w:szCs w:val="24"/>
          <w:lang w:val="pt-BR"/>
        </w:rPr>
        <w:t>; Mel</w:t>
      </w:r>
      <w:r>
        <w:rPr>
          <w:rFonts w:ascii="Times New Roman" w:hAnsi="Times New Roman"/>
          <w:bCs/>
          <w:sz w:val="24"/>
          <w:szCs w:val="24"/>
          <w:lang w:val="pt-BR"/>
        </w:rPr>
        <w:t>l</w:t>
      </w:r>
      <w:r w:rsidRPr="0055114F">
        <w:rPr>
          <w:rFonts w:ascii="Times New Roman" w:hAnsi="Times New Roman"/>
          <w:bCs/>
          <w:sz w:val="24"/>
          <w:szCs w:val="24"/>
          <w:lang w:val="pt-BR"/>
        </w:rPr>
        <w:t xml:space="preserve">o-Coelho </w:t>
      </w:r>
      <w:r w:rsidR="00BB7B98" w:rsidRPr="0055114F">
        <w:rPr>
          <w:rFonts w:ascii="Times New Roman" w:hAnsi="Times New Roman"/>
          <w:bCs/>
          <w:sz w:val="24"/>
          <w:szCs w:val="24"/>
          <w:lang w:val="pt-BR"/>
        </w:rPr>
        <w:t>V</w:t>
      </w:r>
      <w:r w:rsidR="00BB7B98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8</w:t>
      </w:r>
      <w:r w:rsidRPr="0055114F">
        <w:rPr>
          <w:rFonts w:ascii="Times New Roman" w:hAnsi="Times New Roman"/>
          <w:bCs/>
          <w:sz w:val="24"/>
          <w:szCs w:val="24"/>
          <w:lang w:val="pt-BR"/>
        </w:rPr>
        <w:t xml:space="preserve">; </w:t>
      </w:r>
      <w:proofErr w:type="spellStart"/>
      <w:r>
        <w:rPr>
          <w:rFonts w:ascii="Times New Roman" w:hAnsi="Times New Roman"/>
          <w:bCs/>
          <w:sz w:val="24"/>
          <w:szCs w:val="24"/>
          <w:lang w:val="pt-BR"/>
        </w:rPr>
        <w:t>Chammas</w:t>
      </w:r>
      <w:proofErr w:type="spellEnd"/>
      <w:r>
        <w:rPr>
          <w:rFonts w:ascii="Times New Roman" w:hAnsi="Times New Roman"/>
          <w:bCs/>
          <w:sz w:val="24"/>
          <w:szCs w:val="24"/>
          <w:lang w:val="pt-BR"/>
        </w:rPr>
        <w:t xml:space="preserve"> </w:t>
      </w:r>
      <w:r w:rsidR="00BB7B98">
        <w:rPr>
          <w:rFonts w:ascii="Times New Roman" w:hAnsi="Times New Roman"/>
          <w:bCs/>
          <w:sz w:val="24"/>
          <w:szCs w:val="24"/>
          <w:lang w:val="pt-BR"/>
        </w:rPr>
        <w:t>R</w:t>
      </w:r>
      <w:r w:rsidR="00BB7B98">
        <w:rPr>
          <w:rFonts w:ascii="Times New Roman" w:hAnsi="Times New Roman"/>
          <w:bCs/>
          <w:sz w:val="24"/>
          <w:szCs w:val="24"/>
          <w:vertAlign w:val="superscript"/>
          <w:lang w:val="pt-BR"/>
        </w:rPr>
        <w:t>9</w:t>
      </w:r>
      <w:r w:rsidR="00BB7B98">
        <w:rPr>
          <w:rFonts w:ascii="Times New Roman" w:hAnsi="Times New Roman"/>
          <w:bCs/>
          <w:sz w:val="24"/>
          <w:szCs w:val="24"/>
          <w:lang w:val="pt-BR"/>
        </w:rPr>
        <w:t>;</w:t>
      </w:r>
      <w:r>
        <w:rPr>
          <w:rFonts w:ascii="Times New Roman" w:hAnsi="Times New Roman"/>
          <w:bCs/>
          <w:sz w:val="24"/>
          <w:szCs w:val="24"/>
          <w:lang w:val="pt-BR"/>
        </w:rPr>
        <w:t xml:space="preserve"> </w:t>
      </w:r>
      <w:r w:rsidRPr="001D04FE">
        <w:rPr>
          <w:rFonts w:ascii="Times New Roman" w:hAnsi="Times New Roman"/>
          <w:bCs/>
          <w:sz w:val="24"/>
          <w:szCs w:val="24"/>
        </w:rPr>
        <w:t>Oliveira FL</w:t>
      </w:r>
      <w:r w:rsidRPr="001D04FE">
        <w:rPr>
          <w:rFonts w:ascii="Times New Roman" w:hAnsi="Times New Roman"/>
          <w:bCs/>
          <w:sz w:val="24"/>
          <w:szCs w:val="24"/>
          <w:vertAlign w:val="superscript"/>
        </w:rPr>
        <w:t>1</w:t>
      </w:r>
    </w:p>
    <w:p w14:paraId="68E1E880" w14:textId="77777777" w:rsidR="0056710D" w:rsidRPr="001D04FE" w:rsidRDefault="0056710D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3F3A10DC" w14:textId="77777777" w:rsidR="00F15C91" w:rsidRDefault="00F15C91" w:rsidP="0056710D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38C8B832" w14:textId="77777777" w:rsidR="00F15C91" w:rsidRDefault="00F15C91" w:rsidP="0056710D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030E5242" w14:textId="77777777" w:rsidR="00F15C91" w:rsidRDefault="00F15C91" w:rsidP="0056710D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7080339A" w14:textId="77777777" w:rsidR="00F15C91" w:rsidRDefault="00F15C91" w:rsidP="0056710D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567DF4B1" w14:textId="77777777" w:rsidR="00F15C91" w:rsidRDefault="00F15C91" w:rsidP="0056710D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3B483322" w14:textId="27198324" w:rsidR="006428BF" w:rsidRDefault="006428BF" w:rsidP="0056710D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18C8B088" w14:textId="7D76E2FB" w:rsidR="001C6156" w:rsidRDefault="001C6156" w:rsidP="0056710D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3DBD11FE" wp14:editId="312F5E4E">
            <wp:extent cx="5378450" cy="42367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450" cy="423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8799F2" w14:textId="54EEAB9F" w:rsidR="001C6156" w:rsidRDefault="001C6156" w:rsidP="0056710D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633AD717" w14:textId="51080F1B" w:rsidR="001C6156" w:rsidRDefault="001C6156" w:rsidP="0064438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Figure 1: </w:t>
      </w:r>
      <w:r w:rsidRPr="001C6156">
        <w:rPr>
          <w:rFonts w:ascii="Times New Roman" w:hAnsi="Times New Roman"/>
          <w:bCs/>
          <w:sz w:val="24"/>
          <w:szCs w:val="24"/>
        </w:rPr>
        <w:t xml:space="preserve">Photomicrographs of small intestine obtained from control (A) and milk-treated mice (B). Representative images of the liver of control (C) and milk-treated mice (D). </w:t>
      </w:r>
      <w:r w:rsidRPr="001C6156">
        <w:rPr>
          <w:rFonts w:ascii="Times New Roman" w:hAnsi="Times New Roman"/>
          <w:sz w:val="24"/>
          <w:szCs w:val="24"/>
        </w:rPr>
        <w:t xml:space="preserve">Data are representative of three independent analysis. n=3 mice per group. </w:t>
      </w:r>
      <w:r w:rsidRPr="001C6156">
        <w:rPr>
          <w:rFonts w:ascii="Times New Roman" w:hAnsi="Times New Roman"/>
          <w:bCs/>
          <w:sz w:val="24"/>
          <w:szCs w:val="24"/>
        </w:rPr>
        <w:t>Magnification 200x (A and B) and 400x (C and D).</w:t>
      </w:r>
    </w:p>
    <w:p w14:paraId="3D3850EE" w14:textId="3485974C" w:rsidR="001C6156" w:rsidRDefault="001C6156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040A1A7A" w14:textId="12A661F6" w:rsidR="001C6156" w:rsidRDefault="001C6156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1408D138" w14:textId="314F0352" w:rsidR="001C6156" w:rsidRDefault="001C6156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3F3F408C" w14:textId="789C19F1" w:rsidR="001C6156" w:rsidRDefault="001C6156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179C1FA6" w14:textId="5B76E8C3" w:rsidR="001C6156" w:rsidRDefault="001C6156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7BCC6949" w14:textId="6BF01DA9" w:rsidR="001C6156" w:rsidRDefault="001C6156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04287F83" w14:textId="33C0B3E2" w:rsidR="001C6156" w:rsidRDefault="001C6156" w:rsidP="0056710D">
      <w:pPr>
        <w:spacing w:after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 wp14:anchorId="2ACD4EF0" wp14:editId="7A0E390A">
            <wp:extent cx="5422900" cy="4057650"/>
            <wp:effectExtent l="0" t="0" r="635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405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C1ADDC" w14:textId="5B3792B5" w:rsidR="00644386" w:rsidRDefault="00644386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p w14:paraId="7DCDE713" w14:textId="574EB2A4" w:rsidR="00644386" w:rsidRDefault="00644386" w:rsidP="00644386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Figure 2: </w:t>
      </w:r>
      <w:r w:rsidRPr="001C6156">
        <w:rPr>
          <w:rFonts w:ascii="Times New Roman" w:hAnsi="Times New Roman"/>
          <w:bCs/>
          <w:sz w:val="24"/>
          <w:szCs w:val="24"/>
        </w:rPr>
        <w:t xml:space="preserve">Photomicrographs of </w:t>
      </w:r>
      <w:r>
        <w:rPr>
          <w:rFonts w:ascii="Times New Roman" w:hAnsi="Times New Roman"/>
          <w:bCs/>
          <w:sz w:val="24"/>
          <w:szCs w:val="24"/>
        </w:rPr>
        <w:t xml:space="preserve">the cerebellum </w:t>
      </w:r>
      <w:r w:rsidRPr="001C6156">
        <w:rPr>
          <w:rFonts w:ascii="Times New Roman" w:hAnsi="Times New Roman"/>
          <w:bCs/>
          <w:sz w:val="24"/>
          <w:szCs w:val="24"/>
        </w:rPr>
        <w:t xml:space="preserve">obtained from control (A) and milk-treated mice (B). Representative images of </w:t>
      </w:r>
      <w:r>
        <w:rPr>
          <w:rFonts w:ascii="Times New Roman" w:hAnsi="Times New Roman"/>
          <w:bCs/>
          <w:sz w:val="24"/>
          <w:szCs w:val="24"/>
        </w:rPr>
        <w:t xml:space="preserve">cerebral cortex </w:t>
      </w:r>
      <w:r w:rsidRPr="001C6156">
        <w:rPr>
          <w:rFonts w:ascii="Times New Roman" w:hAnsi="Times New Roman"/>
          <w:bCs/>
          <w:sz w:val="24"/>
          <w:szCs w:val="24"/>
        </w:rPr>
        <w:t>of control (C) and milk-</w:t>
      </w:r>
      <w:r>
        <w:rPr>
          <w:rFonts w:ascii="Times New Roman" w:hAnsi="Times New Roman"/>
          <w:bCs/>
          <w:sz w:val="24"/>
          <w:szCs w:val="24"/>
        </w:rPr>
        <w:t xml:space="preserve">supplemented </w:t>
      </w:r>
      <w:r w:rsidRPr="001C6156">
        <w:rPr>
          <w:rFonts w:ascii="Times New Roman" w:hAnsi="Times New Roman"/>
          <w:bCs/>
          <w:sz w:val="24"/>
          <w:szCs w:val="24"/>
        </w:rPr>
        <w:t xml:space="preserve">mice (D). </w:t>
      </w:r>
      <w:r w:rsidRPr="001C6156">
        <w:rPr>
          <w:rFonts w:ascii="Times New Roman" w:hAnsi="Times New Roman"/>
          <w:sz w:val="24"/>
          <w:szCs w:val="24"/>
        </w:rPr>
        <w:t xml:space="preserve">Data are representative of three independent analysis. n=3 mice per group. </w:t>
      </w:r>
      <w:r w:rsidRPr="001C6156">
        <w:rPr>
          <w:rFonts w:ascii="Times New Roman" w:hAnsi="Times New Roman"/>
          <w:bCs/>
          <w:sz w:val="24"/>
          <w:szCs w:val="24"/>
        </w:rPr>
        <w:t>Magnification 200x (A and B) and 400x (C and D).</w:t>
      </w:r>
    </w:p>
    <w:p w14:paraId="7E041606" w14:textId="77777777" w:rsidR="00644386" w:rsidRPr="001C6156" w:rsidRDefault="00644386" w:rsidP="0056710D">
      <w:pPr>
        <w:spacing w:after="0"/>
        <w:rPr>
          <w:rFonts w:ascii="Times New Roman" w:hAnsi="Times New Roman"/>
          <w:bCs/>
          <w:sz w:val="24"/>
          <w:szCs w:val="24"/>
        </w:rPr>
      </w:pPr>
    </w:p>
    <w:sectPr w:rsidR="00644386" w:rsidRPr="001C6156" w:rsidSect="009868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1033A1"/>
    <w:multiLevelType w:val="hybridMultilevel"/>
    <w:tmpl w:val="334C37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525FDD"/>
    <w:multiLevelType w:val="multilevel"/>
    <w:tmpl w:val="D2489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B93BB2"/>
    <w:multiLevelType w:val="multilevel"/>
    <w:tmpl w:val="B0D66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62227F"/>
    <w:multiLevelType w:val="multilevel"/>
    <w:tmpl w:val="2048D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C1416F"/>
    <w:multiLevelType w:val="multilevel"/>
    <w:tmpl w:val="18A6D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9E48A4"/>
    <w:rsid w:val="00002B0B"/>
    <w:rsid w:val="000071C8"/>
    <w:rsid w:val="000076E6"/>
    <w:rsid w:val="00011C2A"/>
    <w:rsid w:val="00012F5C"/>
    <w:rsid w:val="00014B3A"/>
    <w:rsid w:val="00015703"/>
    <w:rsid w:val="0001599B"/>
    <w:rsid w:val="00015AB2"/>
    <w:rsid w:val="0002318E"/>
    <w:rsid w:val="00023C69"/>
    <w:rsid w:val="00024B0A"/>
    <w:rsid w:val="00025C0E"/>
    <w:rsid w:val="00026B7B"/>
    <w:rsid w:val="00027EB0"/>
    <w:rsid w:val="00030A5E"/>
    <w:rsid w:val="00031110"/>
    <w:rsid w:val="00031FA6"/>
    <w:rsid w:val="00033639"/>
    <w:rsid w:val="000336CC"/>
    <w:rsid w:val="00033772"/>
    <w:rsid w:val="00037F47"/>
    <w:rsid w:val="00040D19"/>
    <w:rsid w:val="00043435"/>
    <w:rsid w:val="00043A44"/>
    <w:rsid w:val="00043CAF"/>
    <w:rsid w:val="00044991"/>
    <w:rsid w:val="00046545"/>
    <w:rsid w:val="0004674A"/>
    <w:rsid w:val="00046C3F"/>
    <w:rsid w:val="000477EE"/>
    <w:rsid w:val="000479C9"/>
    <w:rsid w:val="00053A11"/>
    <w:rsid w:val="00053F2E"/>
    <w:rsid w:val="00054512"/>
    <w:rsid w:val="00056F4A"/>
    <w:rsid w:val="00064B73"/>
    <w:rsid w:val="000655B5"/>
    <w:rsid w:val="00066F76"/>
    <w:rsid w:val="00067EB2"/>
    <w:rsid w:val="00080C17"/>
    <w:rsid w:val="000813B8"/>
    <w:rsid w:val="00081820"/>
    <w:rsid w:val="00082255"/>
    <w:rsid w:val="00085392"/>
    <w:rsid w:val="00091BE2"/>
    <w:rsid w:val="00094392"/>
    <w:rsid w:val="000961AC"/>
    <w:rsid w:val="000964D3"/>
    <w:rsid w:val="0009672D"/>
    <w:rsid w:val="00097760"/>
    <w:rsid w:val="000A0AEB"/>
    <w:rsid w:val="000A60CA"/>
    <w:rsid w:val="000A6869"/>
    <w:rsid w:val="000A7ACB"/>
    <w:rsid w:val="000B0C4F"/>
    <w:rsid w:val="000B16AB"/>
    <w:rsid w:val="000B4A68"/>
    <w:rsid w:val="000B4D6A"/>
    <w:rsid w:val="000B7A1A"/>
    <w:rsid w:val="000C0161"/>
    <w:rsid w:val="000C12DF"/>
    <w:rsid w:val="000C3A15"/>
    <w:rsid w:val="000D0352"/>
    <w:rsid w:val="000D0365"/>
    <w:rsid w:val="000D3E17"/>
    <w:rsid w:val="000E09AF"/>
    <w:rsid w:val="000E2850"/>
    <w:rsid w:val="000E28B8"/>
    <w:rsid w:val="000E2C12"/>
    <w:rsid w:val="000E4861"/>
    <w:rsid w:val="000F23BF"/>
    <w:rsid w:val="000F2BF0"/>
    <w:rsid w:val="000F3449"/>
    <w:rsid w:val="000F3AFD"/>
    <w:rsid w:val="000F4724"/>
    <w:rsid w:val="000F6A34"/>
    <w:rsid w:val="00103076"/>
    <w:rsid w:val="0010462A"/>
    <w:rsid w:val="00107862"/>
    <w:rsid w:val="00107AF0"/>
    <w:rsid w:val="00110C24"/>
    <w:rsid w:val="001114B8"/>
    <w:rsid w:val="00112878"/>
    <w:rsid w:val="00115AA8"/>
    <w:rsid w:val="0012174A"/>
    <w:rsid w:val="00121A9F"/>
    <w:rsid w:val="00124A15"/>
    <w:rsid w:val="00130B23"/>
    <w:rsid w:val="0013425D"/>
    <w:rsid w:val="0013574D"/>
    <w:rsid w:val="00135C06"/>
    <w:rsid w:val="0014037A"/>
    <w:rsid w:val="0014537C"/>
    <w:rsid w:val="00145F9B"/>
    <w:rsid w:val="0015261C"/>
    <w:rsid w:val="0015359A"/>
    <w:rsid w:val="00154E4D"/>
    <w:rsid w:val="00162729"/>
    <w:rsid w:val="00164D8B"/>
    <w:rsid w:val="001656F9"/>
    <w:rsid w:val="00166386"/>
    <w:rsid w:val="0017111A"/>
    <w:rsid w:val="00171C56"/>
    <w:rsid w:val="00172035"/>
    <w:rsid w:val="00172DCF"/>
    <w:rsid w:val="001732B6"/>
    <w:rsid w:val="00177C13"/>
    <w:rsid w:val="00180062"/>
    <w:rsid w:val="00180DD7"/>
    <w:rsid w:val="00181F3E"/>
    <w:rsid w:val="00184F21"/>
    <w:rsid w:val="00186C9F"/>
    <w:rsid w:val="00187CDA"/>
    <w:rsid w:val="00190856"/>
    <w:rsid w:val="001A5516"/>
    <w:rsid w:val="001A658A"/>
    <w:rsid w:val="001A7E0B"/>
    <w:rsid w:val="001B22CC"/>
    <w:rsid w:val="001B3D91"/>
    <w:rsid w:val="001C08AE"/>
    <w:rsid w:val="001C2050"/>
    <w:rsid w:val="001C6156"/>
    <w:rsid w:val="001D04FE"/>
    <w:rsid w:val="001D11A0"/>
    <w:rsid w:val="001D2D24"/>
    <w:rsid w:val="001D36AE"/>
    <w:rsid w:val="001D3DDF"/>
    <w:rsid w:val="001E3329"/>
    <w:rsid w:val="001E5298"/>
    <w:rsid w:val="001E72D3"/>
    <w:rsid w:val="001F595B"/>
    <w:rsid w:val="00200EBA"/>
    <w:rsid w:val="00201D45"/>
    <w:rsid w:val="00203E72"/>
    <w:rsid w:val="0020488E"/>
    <w:rsid w:val="00206C86"/>
    <w:rsid w:val="002104A3"/>
    <w:rsid w:val="002113BA"/>
    <w:rsid w:val="00212A4E"/>
    <w:rsid w:val="00220069"/>
    <w:rsid w:val="002209A6"/>
    <w:rsid w:val="002247F8"/>
    <w:rsid w:val="0022525F"/>
    <w:rsid w:val="0022579B"/>
    <w:rsid w:val="00230EE1"/>
    <w:rsid w:val="0023159A"/>
    <w:rsid w:val="0023237B"/>
    <w:rsid w:val="00235D02"/>
    <w:rsid w:val="00236F5F"/>
    <w:rsid w:val="0024021C"/>
    <w:rsid w:val="0024023C"/>
    <w:rsid w:val="002405EC"/>
    <w:rsid w:val="00240C45"/>
    <w:rsid w:val="002417D3"/>
    <w:rsid w:val="002431DC"/>
    <w:rsid w:val="00243810"/>
    <w:rsid w:val="00243F73"/>
    <w:rsid w:val="002503D3"/>
    <w:rsid w:val="00250C19"/>
    <w:rsid w:val="00252E99"/>
    <w:rsid w:val="00254270"/>
    <w:rsid w:val="00254BAB"/>
    <w:rsid w:val="00257672"/>
    <w:rsid w:val="0026001C"/>
    <w:rsid w:val="0026099E"/>
    <w:rsid w:val="0026224A"/>
    <w:rsid w:val="00263311"/>
    <w:rsid w:val="002634F8"/>
    <w:rsid w:val="00267912"/>
    <w:rsid w:val="00270727"/>
    <w:rsid w:val="00271285"/>
    <w:rsid w:val="002712E8"/>
    <w:rsid w:val="002750F2"/>
    <w:rsid w:val="002759E5"/>
    <w:rsid w:val="00276993"/>
    <w:rsid w:val="0027712F"/>
    <w:rsid w:val="002800D6"/>
    <w:rsid w:val="002806B6"/>
    <w:rsid w:val="0028091C"/>
    <w:rsid w:val="002840D1"/>
    <w:rsid w:val="0029259A"/>
    <w:rsid w:val="00295E33"/>
    <w:rsid w:val="002968D1"/>
    <w:rsid w:val="00297B70"/>
    <w:rsid w:val="002A0274"/>
    <w:rsid w:val="002A064B"/>
    <w:rsid w:val="002A10F5"/>
    <w:rsid w:val="002A19CC"/>
    <w:rsid w:val="002A3CA4"/>
    <w:rsid w:val="002A4326"/>
    <w:rsid w:val="002A49EB"/>
    <w:rsid w:val="002A4F5B"/>
    <w:rsid w:val="002A50D8"/>
    <w:rsid w:val="002A5CD9"/>
    <w:rsid w:val="002A6CA2"/>
    <w:rsid w:val="002B1315"/>
    <w:rsid w:val="002B325C"/>
    <w:rsid w:val="002B4883"/>
    <w:rsid w:val="002B63FA"/>
    <w:rsid w:val="002B7D2D"/>
    <w:rsid w:val="002C30EE"/>
    <w:rsid w:val="002C4149"/>
    <w:rsid w:val="002C50FD"/>
    <w:rsid w:val="002C5F56"/>
    <w:rsid w:val="002C683D"/>
    <w:rsid w:val="002D1964"/>
    <w:rsid w:val="002D1C39"/>
    <w:rsid w:val="002D3105"/>
    <w:rsid w:val="002D3E84"/>
    <w:rsid w:val="002D42E9"/>
    <w:rsid w:val="002D4ADC"/>
    <w:rsid w:val="002D4C8F"/>
    <w:rsid w:val="002D5697"/>
    <w:rsid w:val="002D6279"/>
    <w:rsid w:val="002E1A6D"/>
    <w:rsid w:val="002E4CE3"/>
    <w:rsid w:val="002F4942"/>
    <w:rsid w:val="002F54A6"/>
    <w:rsid w:val="002F54F5"/>
    <w:rsid w:val="002F63FE"/>
    <w:rsid w:val="002F727F"/>
    <w:rsid w:val="00300D1F"/>
    <w:rsid w:val="003050BA"/>
    <w:rsid w:val="00305A7B"/>
    <w:rsid w:val="00310F08"/>
    <w:rsid w:val="00311C9E"/>
    <w:rsid w:val="00311F50"/>
    <w:rsid w:val="00316628"/>
    <w:rsid w:val="00320396"/>
    <w:rsid w:val="0032361E"/>
    <w:rsid w:val="00330189"/>
    <w:rsid w:val="00330736"/>
    <w:rsid w:val="00331F25"/>
    <w:rsid w:val="003370A2"/>
    <w:rsid w:val="00337628"/>
    <w:rsid w:val="00337BC3"/>
    <w:rsid w:val="00337DA5"/>
    <w:rsid w:val="00347FCF"/>
    <w:rsid w:val="0035395A"/>
    <w:rsid w:val="00356759"/>
    <w:rsid w:val="0035793F"/>
    <w:rsid w:val="003634A2"/>
    <w:rsid w:val="003636F7"/>
    <w:rsid w:val="00364CEA"/>
    <w:rsid w:val="003650C7"/>
    <w:rsid w:val="0037301E"/>
    <w:rsid w:val="00373CFC"/>
    <w:rsid w:val="00374BBE"/>
    <w:rsid w:val="00377305"/>
    <w:rsid w:val="00377EE1"/>
    <w:rsid w:val="00380AFD"/>
    <w:rsid w:val="00384258"/>
    <w:rsid w:val="00385BF3"/>
    <w:rsid w:val="00390F08"/>
    <w:rsid w:val="00394E65"/>
    <w:rsid w:val="00396945"/>
    <w:rsid w:val="003974F7"/>
    <w:rsid w:val="003A1839"/>
    <w:rsid w:val="003A6896"/>
    <w:rsid w:val="003A6CD6"/>
    <w:rsid w:val="003B2D14"/>
    <w:rsid w:val="003B4DD1"/>
    <w:rsid w:val="003B5848"/>
    <w:rsid w:val="003B66B5"/>
    <w:rsid w:val="003C11E0"/>
    <w:rsid w:val="003C1204"/>
    <w:rsid w:val="003C160C"/>
    <w:rsid w:val="003C21D7"/>
    <w:rsid w:val="003C6038"/>
    <w:rsid w:val="003C77A7"/>
    <w:rsid w:val="003D1474"/>
    <w:rsid w:val="003D20AA"/>
    <w:rsid w:val="003D3CB3"/>
    <w:rsid w:val="003D3FEC"/>
    <w:rsid w:val="003D4585"/>
    <w:rsid w:val="003D722D"/>
    <w:rsid w:val="003E57A9"/>
    <w:rsid w:val="003F0ED0"/>
    <w:rsid w:val="003F69F2"/>
    <w:rsid w:val="003F7BA9"/>
    <w:rsid w:val="00400FF7"/>
    <w:rsid w:val="00401B09"/>
    <w:rsid w:val="004046E5"/>
    <w:rsid w:val="004051E8"/>
    <w:rsid w:val="004107DA"/>
    <w:rsid w:val="00410A55"/>
    <w:rsid w:val="00410DC3"/>
    <w:rsid w:val="0041273B"/>
    <w:rsid w:val="00413BE7"/>
    <w:rsid w:val="004140ED"/>
    <w:rsid w:val="00415491"/>
    <w:rsid w:val="00415608"/>
    <w:rsid w:val="0041617E"/>
    <w:rsid w:val="00417A5B"/>
    <w:rsid w:val="0042112F"/>
    <w:rsid w:val="0042313B"/>
    <w:rsid w:val="004251A1"/>
    <w:rsid w:val="00426A1B"/>
    <w:rsid w:val="00426EF9"/>
    <w:rsid w:val="0042742C"/>
    <w:rsid w:val="00436B9C"/>
    <w:rsid w:val="00443D24"/>
    <w:rsid w:val="00444B70"/>
    <w:rsid w:val="00447882"/>
    <w:rsid w:val="004515B4"/>
    <w:rsid w:val="00452176"/>
    <w:rsid w:val="00454C2A"/>
    <w:rsid w:val="004556B8"/>
    <w:rsid w:val="00456373"/>
    <w:rsid w:val="0045670D"/>
    <w:rsid w:val="00456933"/>
    <w:rsid w:val="004600D3"/>
    <w:rsid w:val="00460673"/>
    <w:rsid w:val="00462C84"/>
    <w:rsid w:val="00465486"/>
    <w:rsid w:val="00465558"/>
    <w:rsid w:val="00466CF7"/>
    <w:rsid w:val="00467FA8"/>
    <w:rsid w:val="004746D4"/>
    <w:rsid w:val="0047575E"/>
    <w:rsid w:val="004762CB"/>
    <w:rsid w:val="00477D8C"/>
    <w:rsid w:val="00480C40"/>
    <w:rsid w:val="004863B5"/>
    <w:rsid w:val="00492738"/>
    <w:rsid w:val="0049437D"/>
    <w:rsid w:val="004950E0"/>
    <w:rsid w:val="004962E3"/>
    <w:rsid w:val="00496A35"/>
    <w:rsid w:val="004A3E04"/>
    <w:rsid w:val="004A4530"/>
    <w:rsid w:val="004B1F30"/>
    <w:rsid w:val="004B67F8"/>
    <w:rsid w:val="004B74C3"/>
    <w:rsid w:val="004B756B"/>
    <w:rsid w:val="004B7769"/>
    <w:rsid w:val="004C0B37"/>
    <w:rsid w:val="004C13A7"/>
    <w:rsid w:val="004C295A"/>
    <w:rsid w:val="004C2FB7"/>
    <w:rsid w:val="004C36A9"/>
    <w:rsid w:val="004C598C"/>
    <w:rsid w:val="004D1034"/>
    <w:rsid w:val="004D28DE"/>
    <w:rsid w:val="004D3D44"/>
    <w:rsid w:val="004D3E87"/>
    <w:rsid w:val="004D5018"/>
    <w:rsid w:val="004D674A"/>
    <w:rsid w:val="004E50EC"/>
    <w:rsid w:val="004E6AAB"/>
    <w:rsid w:val="004F2525"/>
    <w:rsid w:val="004F346E"/>
    <w:rsid w:val="004F646E"/>
    <w:rsid w:val="005005E4"/>
    <w:rsid w:val="0050199A"/>
    <w:rsid w:val="00505785"/>
    <w:rsid w:val="005070A5"/>
    <w:rsid w:val="005114A2"/>
    <w:rsid w:val="00512461"/>
    <w:rsid w:val="00514C2C"/>
    <w:rsid w:val="00514EE3"/>
    <w:rsid w:val="00515199"/>
    <w:rsid w:val="005158F3"/>
    <w:rsid w:val="00516FA2"/>
    <w:rsid w:val="00517611"/>
    <w:rsid w:val="00520D21"/>
    <w:rsid w:val="005212A2"/>
    <w:rsid w:val="00525564"/>
    <w:rsid w:val="005268B4"/>
    <w:rsid w:val="00530645"/>
    <w:rsid w:val="00530A80"/>
    <w:rsid w:val="00533DFB"/>
    <w:rsid w:val="005377D4"/>
    <w:rsid w:val="00544D0E"/>
    <w:rsid w:val="00546C3C"/>
    <w:rsid w:val="0055114F"/>
    <w:rsid w:val="005539EE"/>
    <w:rsid w:val="0055538B"/>
    <w:rsid w:val="0055587C"/>
    <w:rsid w:val="00555E87"/>
    <w:rsid w:val="00557BAF"/>
    <w:rsid w:val="00560F69"/>
    <w:rsid w:val="0056321E"/>
    <w:rsid w:val="00564425"/>
    <w:rsid w:val="005648E2"/>
    <w:rsid w:val="005653B9"/>
    <w:rsid w:val="00566550"/>
    <w:rsid w:val="00566CE8"/>
    <w:rsid w:val="0056710D"/>
    <w:rsid w:val="00570604"/>
    <w:rsid w:val="00571EDF"/>
    <w:rsid w:val="0057221D"/>
    <w:rsid w:val="00573D12"/>
    <w:rsid w:val="00573D84"/>
    <w:rsid w:val="005745AB"/>
    <w:rsid w:val="005775B5"/>
    <w:rsid w:val="005802A7"/>
    <w:rsid w:val="00581159"/>
    <w:rsid w:val="005837C7"/>
    <w:rsid w:val="005A5D5B"/>
    <w:rsid w:val="005A6038"/>
    <w:rsid w:val="005A6579"/>
    <w:rsid w:val="005A732A"/>
    <w:rsid w:val="005A78F3"/>
    <w:rsid w:val="005B0814"/>
    <w:rsid w:val="005B5A95"/>
    <w:rsid w:val="005B5FEE"/>
    <w:rsid w:val="005B72FC"/>
    <w:rsid w:val="005C0874"/>
    <w:rsid w:val="005C146A"/>
    <w:rsid w:val="005C1FA3"/>
    <w:rsid w:val="005C43A8"/>
    <w:rsid w:val="005C455B"/>
    <w:rsid w:val="005D1105"/>
    <w:rsid w:val="005D49EC"/>
    <w:rsid w:val="005D62E7"/>
    <w:rsid w:val="005E1CE0"/>
    <w:rsid w:val="005E40BF"/>
    <w:rsid w:val="005E4432"/>
    <w:rsid w:val="005E4436"/>
    <w:rsid w:val="005E543D"/>
    <w:rsid w:val="005E5743"/>
    <w:rsid w:val="005F0798"/>
    <w:rsid w:val="005F25A6"/>
    <w:rsid w:val="005F311F"/>
    <w:rsid w:val="005F3410"/>
    <w:rsid w:val="005F4DE1"/>
    <w:rsid w:val="005F632D"/>
    <w:rsid w:val="005F77FD"/>
    <w:rsid w:val="00603973"/>
    <w:rsid w:val="00615F92"/>
    <w:rsid w:val="00617DE4"/>
    <w:rsid w:val="00621892"/>
    <w:rsid w:val="00624D91"/>
    <w:rsid w:val="00625FDE"/>
    <w:rsid w:val="006323CE"/>
    <w:rsid w:val="00633785"/>
    <w:rsid w:val="0063436E"/>
    <w:rsid w:val="006346BD"/>
    <w:rsid w:val="006369B9"/>
    <w:rsid w:val="00640C07"/>
    <w:rsid w:val="006428BF"/>
    <w:rsid w:val="00643955"/>
    <w:rsid w:val="00644386"/>
    <w:rsid w:val="0064439B"/>
    <w:rsid w:val="00647925"/>
    <w:rsid w:val="00656DBC"/>
    <w:rsid w:val="006609BA"/>
    <w:rsid w:val="00661259"/>
    <w:rsid w:val="00661BCF"/>
    <w:rsid w:val="00663F30"/>
    <w:rsid w:val="00663F8B"/>
    <w:rsid w:val="00664815"/>
    <w:rsid w:val="00665127"/>
    <w:rsid w:val="006672CF"/>
    <w:rsid w:val="006676B5"/>
    <w:rsid w:val="00670BEA"/>
    <w:rsid w:val="0067221D"/>
    <w:rsid w:val="00676FB4"/>
    <w:rsid w:val="0067764F"/>
    <w:rsid w:val="00680A64"/>
    <w:rsid w:val="006833BC"/>
    <w:rsid w:val="00687C64"/>
    <w:rsid w:val="0069067C"/>
    <w:rsid w:val="006949EE"/>
    <w:rsid w:val="00695C13"/>
    <w:rsid w:val="006A1904"/>
    <w:rsid w:val="006A26BD"/>
    <w:rsid w:val="006A2DBF"/>
    <w:rsid w:val="006A45EF"/>
    <w:rsid w:val="006A4A5C"/>
    <w:rsid w:val="006A5199"/>
    <w:rsid w:val="006A719F"/>
    <w:rsid w:val="006B1DC9"/>
    <w:rsid w:val="006B2C5F"/>
    <w:rsid w:val="006B392F"/>
    <w:rsid w:val="006B6049"/>
    <w:rsid w:val="006B629E"/>
    <w:rsid w:val="006B6FD1"/>
    <w:rsid w:val="006C19EA"/>
    <w:rsid w:val="006C2124"/>
    <w:rsid w:val="006C2131"/>
    <w:rsid w:val="006C2C66"/>
    <w:rsid w:val="006C476C"/>
    <w:rsid w:val="006C5862"/>
    <w:rsid w:val="006C602B"/>
    <w:rsid w:val="006C6E43"/>
    <w:rsid w:val="006D17CB"/>
    <w:rsid w:val="006D38DE"/>
    <w:rsid w:val="006D3CAF"/>
    <w:rsid w:val="006D7006"/>
    <w:rsid w:val="006E5357"/>
    <w:rsid w:val="006F0D06"/>
    <w:rsid w:val="006F1D29"/>
    <w:rsid w:val="006F349D"/>
    <w:rsid w:val="006F5B11"/>
    <w:rsid w:val="006F7DC9"/>
    <w:rsid w:val="00700134"/>
    <w:rsid w:val="00702359"/>
    <w:rsid w:val="007042F6"/>
    <w:rsid w:val="00704E9B"/>
    <w:rsid w:val="007069B0"/>
    <w:rsid w:val="00707BAF"/>
    <w:rsid w:val="007205EC"/>
    <w:rsid w:val="00722C73"/>
    <w:rsid w:val="00724567"/>
    <w:rsid w:val="0072696B"/>
    <w:rsid w:val="00726EA3"/>
    <w:rsid w:val="00727026"/>
    <w:rsid w:val="0073194C"/>
    <w:rsid w:val="00733B44"/>
    <w:rsid w:val="00734072"/>
    <w:rsid w:val="00742B79"/>
    <w:rsid w:val="00747A90"/>
    <w:rsid w:val="00752983"/>
    <w:rsid w:val="00753520"/>
    <w:rsid w:val="00753736"/>
    <w:rsid w:val="00753C8C"/>
    <w:rsid w:val="0076093D"/>
    <w:rsid w:val="00760AD0"/>
    <w:rsid w:val="00761147"/>
    <w:rsid w:val="00761325"/>
    <w:rsid w:val="00761F84"/>
    <w:rsid w:val="0076217D"/>
    <w:rsid w:val="00763AF5"/>
    <w:rsid w:val="00766A6E"/>
    <w:rsid w:val="00767926"/>
    <w:rsid w:val="00772F5A"/>
    <w:rsid w:val="00773F9C"/>
    <w:rsid w:val="00774DEA"/>
    <w:rsid w:val="0078530A"/>
    <w:rsid w:val="00786C14"/>
    <w:rsid w:val="0078723E"/>
    <w:rsid w:val="007919EB"/>
    <w:rsid w:val="00791C2B"/>
    <w:rsid w:val="0079352C"/>
    <w:rsid w:val="00793F66"/>
    <w:rsid w:val="0079778A"/>
    <w:rsid w:val="007A0C41"/>
    <w:rsid w:val="007A1880"/>
    <w:rsid w:val="007A6A62"/>
    <w:rsid w:val="007A7C2E"/>
    <w:rsid w:val="007B07E8"/>
    <w:rsid w:val="007B207C"/>
    <w:rsid w:val="007B4485"/>
    <w:rsid w:val="007B6A37"/>
    <w:rsid w:val="007C1D7C"/>
    <w:rsid w:val="007C356C"/>
    <w:rsid w:val="007C617D"/>
    <w:rsid w:val="007C6793"/>
    <w:rsid w:val="007C6B48"/>
    <w:rsid w:val="007E27EA"/>
    <w:rsid w:val="007E3CA5"/>
    <w:rsid w:val="007E4991"/>
    <w:rsid w:val="007E4B1F"/>
    <w:rsid w:val="007F5E00"/>
    <w:rsid w:val="007F62CB"/>
    <w:rsid w:val="007F7512"/>
    <w:rsid w:val="00801FC0"/>
    <w:rsid w:val="00802674"/>
    <w:rsid w:val="00805E9F"/>
    <w:rsid w:val="008100C1"/>
    <w:rsid w:val="008117BC"/>
    <w:rsid w:val="00814C08"/>
    <w:rsid w:val="00816CEA"/>
    <w:rsid w:val="00821122"/>
    <w:rsid w:val="00826A4E"/>
    <w:rsid w:val="00831C5F"/>
    <w:rsid w:val="008320CF"/>
    <w:rsid w:val="00832E4D"/>
    <w:rsid w:val="00833A39"/>
    <w:rsid w:val="008351FF"/>
    <w:rsid w:val="00836C0F"/>
    <w:rsid w:val="0084432B"/>
    <w:rsid w:val="008450F6"/>
    <w:rsid w:val="00851CFA"/>
    <w:rsid w:val="00856969"/>
    <w:rsid w:val="00856A97"/>
    <w:rsid w:val="008615D1"/>
    <w:rsid w:val="008615FA"/>
    <w:rsid w:val="008626F4"/>
    <w:rsid w:val="00862A4D"/>
    <w:rsid w:val="00871DBF"/>
    <w:rsid w:val="008730D1"/>
    <w:rsid w:val="00874300"/>
    <w:rsid w:val="008779E5"/>
    <w:rsid w:val="00882966"/>
    <w:rsid w:val="00883874"/>
    <w:rsid w:val="008849AD"/>
    <w:rsid w:val="00885BA2"/>
    <w:rsid w:val="00885BB6"/>
    <w:rsid w:val="008906B2"/>
    <w:rsid w:val="008909BF"/>
    <w:rsid w:val="00891022"/>
    <w:rsid w:val="008915E5"/>
    <w:rsid w:val="00893495"/>
    <w:rsid w:val="008941E8"/>
    <w:rsid w:val="00897564"/>
    <w:rsid w:val="0089787E"/>
    <w:rsid w:val="008A0250"/>
    <w:rsid w:val="008A2895"/>
    <w:rsid w:val="008A383B"/>
    <w:rsid w:val="008A534D"/>
    <w:rsid w:val="008A65B9"/>
    <w:rsid w:val="008B1649"/>
    <w:rsid w:val="008B2755"/>
    <w:rsid w:val="008B364D"/>
    <w:rsid w:val="008B4525"/>
    <w:rsid w:val="008B467E"/>
    <w:rsid w:val="008B5BEA"/>
    <w:rsid w:val="008B7CE8"/>
    <w:rsid w:val="008C30CE"/>
    <w:rsid w:val="008D3FBA"/>
    <w:rsid w:val="008D5704"/>
    <w:rsid w:val="008E0A2A"/>
    <w:rsid w:val="008E0B3C"/>
    <w:rsid w:val="008E0EBE"/>
    <w:rsid w:val="008E1A36"/>
    <w:rsid w:val="008F1D7C"/>
    <w:rsid w:val="008F1F4A"/>
    <w:rsid w:val="008F2D43"/>
    <w:rsid w:val="008F575B"/>
    <w:rsid w:val="0090281D"/>
    <w:rsid w:val="009050E0"/>
    <w:rsid w:val="009102A3"/>
    <w:rsid w:val="0091081C"/>
    <w:rsid w:val="00910FE6"/>
    <w:rsid w:val="00911623"/>
    <w:rsid w:val="00915286"/>
    <w:rsid w:val="00922CF9"/>
    <w:rsid w:val="009245CD"/>
    <w:rsid w:val="0092691F"/>
    <w:rsid w:val="00927EF5"/>
    <w:rsid w:val="00930699"/>
    <w:rsid w:val="00932028"/>
    <w:rsid w:val="0093349F"/>
    <w:rsid w:val="0093452A"/>
    <w:rsid w:val="00935F5C"/>
    <w:rsid w:val="00936521"/>
    <w:rsid w:val="00943B11"/>
    <w:rsid w:val="00943CCF"/>
    <w:rsid w:val="00945F12"/>
    <w:rsid w:val="009513EC"/>
    <w:rsid w:val="00954D44"/>
    <w:rsid w:val="00957238"/>
    <w:rsid w:val="00962A09"/>
    <w:rsid w:val="009637D1"/>
    <w:rsid w:val="00963A49"/>
    <w:rsid w:val="00964831"/>
    <w:rsid w:val="00965F9D"/>
    <w:rsid w:val="00970594"/>
    <w:rsid w:val="009711B8"/>
    <w:rsid w:val="009725EB"/>
    <w:rsid w:val="00975404"/>
    <w:rsid w:val="009759AB"/>
    <w:rsid w:val="00976CD5"/>
    <w:rsid w:val="00977B13"/>
    <w:rsid w:val="00980C08"/>
    <w:rsid w:val="0098116F"/>
    <w:rsid w:val="0098146B"/>
    <w:rsid w:val="009847F4"/>
    <w:rsid w:val="0098506D"/>
    <w:rsid w:val="00985263"/>
    <w:rsid w:val="009868B8"/>
    <w:rsid w:val="009869C2"/>
    <w:rsid w:val="00991860"/>
    <w:rsid w:val="00992416"/>
    <w:rsid w:val="00993B49"/>
    <w:rsid w:val="009955E6"/>
    <w:rsid w:val="009A4EB7"/>
    <w:rsid w:val="009A5439"/>
    <w:rsid w:val="009A6BC4"/>
    <w:rsid w:val="009B3BB0"/>
    <w:rsid w:val="009B52EA"/>
    <w:rsid w:val="009B57F5"/>
    <w:rsid w:val="009B6C29"/>
    <w:rsid w:val="009B6C6F"/>
    <w:rsid w:val="009C010A"/>
    <w:rsid w:val="009C4197"/>
    <w:rsid w:val="009C42B6"/>
    <w:rsid w:val="009C7F6F"/>
    <w:rsid w:val="009D05DA"/>
    <w:rsid w:val="009D1CE4"/>
    <w:rsid w:val="009D2F17"/>
    <w:rsid w:val="009D3A3B"/>
    <w:rsid w:val="009D6264"/>
    <w:rsid w:val="009D7E66"/>
    <w:rsid w:val="009E1B29"/>
    <w:rsid w:val="009E2430"/>
    <w:rsid w:val="009E2874"/>
    <w:rsid w:val="009E3EB0"/>
    <w:rsid w:val="009E48A4"/>
    <w:rsid w:val="009E5880"/>
    <w:rsid w:val="009E5C0E"/>
    <w:rsid w:val="009E6A07"/>
    <w:rsid w:val="009E793E"/>
    <w:rsid w:val="009E7C54"/>
    <w:rsid w:val="009F0B79"/>
    <w:rsid w:val="009F468C"/>
    <w:rsid w:val="009F4D54"/>
    <w:rsid w:val="00A01E4F"/>
    <w:rsid w:val="00A07EA0"/>
    <w:rsid w:val="00A14B43"/>
    <w:rsid w:val="00A20A17"/>
    <w:rsid w:val="00A20CCD"/>
    <w:rsid w:val="00A2136F"/>
    <w:rsid w:val="00A23F53"/>
    <w:rsid w:val="00A24D50"/>
    <w:rsid w:val="00A26295"/>
    <w:rsid w:val="00A27ACA"/>
    <w:rsid w:val="00A3181C"/>
    <w:rsid w:val="00A330F4"/>
    <w:rsid w:val="00A3335B"/>
    <w:rsid w:val="00A34042"/>
    <w:rsid w:val="00A34D29"/>
    <w:rsid w:val="00A35413"/>
    <w:rsid w:val="00A4355E"/>
    <w:rsid w:val="00A4359B"/>
    <w:rsid w:val="00A43964"/>
    <w:rsid w:val="00A45E15"/>
    <w:rsid w:val="00A4707C"/>
    <w:rsid w:val="00A50D43"/>
    <w:rsid w:val="00A50F0A"/>
    <w:rsid w:val="00A529B3"/>
    <w:rsid w:val="00A52C9E"/>
    <w:rsid w:val="00A54705"/>
    <w:rsid w:val="00A551DB"/>
    <w:rsid w:val="00A55D2F"/>
    <w:rsid w:val="00A57D01"/>
    <w:rsid w:val="00A6502A"/>
    <w:rsid w:val="00A664CF"/>
    <w:rsid w:val="00A676F1"/>
    <w:rsid w:val="00A70A56"/>
    <w:rsid w:val="00A727A8"/>
    <w:rsid w:val="00A73898"/>
    <w:rsid w:val="00A73F48"/>
    <w:rsid w:val="00A80BF9"/>
    <w:rsid w:val="00A832C2"/>
    <w:rsid w:val="00A836EC"/>
    <w:rsid w:val="00A83D04"/>
    <w:rsid w:val="00A87890"/>
    <w:rsid w:val="00A878F1"/>
    <w:rsid w:val="00A879F8"/>
    <w:rsid w:val="00A9446D"/>
    <w:rsid w:val="00A95418"/>
    <w:rsid w:val="00A95BBB"/>
    <w:rsid w:val="00A9648B"/>
    <w:rsid w:val="00A97E48"/>
    <w:rsid w:val="00AB29B3"/>
    <w:rsid w:val="00AB596A"/>
    <w:rsid w:val="00AB7FDD"/>
    <w:rsid w:val="00AC04FC"/>
    <w:rsid w:val="00AC0C52"/>
    <w:rsid w:val="00AC116A"/>
    <w:rsid w:val="00AC4B77"/>
    <w:rsid w:val="00AC71D5"/>
    <w:rsid w:val="00AE4BDE"/>
    <w:rsid w:val="00AE596B"/>
    <w:rsid w:val="00AE7AD1"/>
    <w:rsid w:val="00AF1E90"/>
    <w:rsid w:val="00AF1F90"/>
    <w:rsid w:val="00AF2180"/>
    <w:rsid w:val="00AF3C00"/>
    <w:rsid w:val="00AF4827"/>
    <w:rsid w:val="00AF715B"/>
    <w:rsid w:val="00AF7F2D"/>
    <w:rsid w:val="00B06DDE"/>
    <w:rsid w:val="00B1157E"/>
    <w:rsid w:val="00B13327"/>
    <w:rsid w:val="00B133AB"/>
    <w:rsid w:val="00B14D1E"/>
    <w:rsid w:val="00B16BED"/>
    <w:rsid w:val="00B174A0"/>
    <w:rsid w:val="00B210D7"/>
    <w:rsid w:val="00B2117B"/>
    <w:rsid w:val="00B215FD"/>
    <w:rsid w:val="00B24EE2"/>
    <w:rsid w:val="00B24F52"/>
    <w:rsid w:val="00B260A1"/>
    <w:rsid w:val="00B27ED2"/>
    <w:rsid w:val="00B30F36"/>
    <w:rsid w:val="00B3668F"/>
    <w:rsid w:val="00B372F8"/>
    <w:rsid w:val="00B377CC"/>
    <w:rsid w:val="00B4013D"/>
    <w:rsid w:val="00B41D51"/>
    <w:rsid w:val="00B42767"/>
    <w:rsid w:val="00B441B7"/>
    <w:rsid w:val="00B4513E"/>
    <w:rsid w:val="00B45439"/>
    <w:rsid w:val="00B51D9C"/>
    <w:rsid w:val="00B52653"/>
    <w:rsid w:val="00B54184"/>
    <w:rsid w:val="00B55030"/>
    <w:rsid w:val="00B559C9"/>
    <w:rsid w:val="00B56D97"/>
    <w:rsid w:val="00B64DF1"/>
    <w:rsid w:val="00B65CF3"/>
    <w:rsid w:val="00B661B4"/>
    <w:rsid w:val="00B72354"/>
    <w:rsid w:val="00B72547"/>
    <w:rsid w:val="00B72EED"/>
    <w:rsid w:val="00B74E8F"/>
    <w:rsid w:val="00B8541D"/>
    <w:rsid w:val="00B857C7"/>
    <w:rsid w:val="00B85B4C"/>
    <w:rsid w:val="00B85D88"/>
    <w:rsid w:val="00B87739"/>
    <w:rsid w:val="00B92E0D"/>
    <w:rsid w:val="00B941C6"/>
    <w:rsid w:val="00B945CC"/>
    <w:rsid w:val="00B953C2"/>
    <w:rsid w:val="00BA1BFF"/>
    <w:rsid w:val="00BA363D"/>
    <w:rsid w:val="00BA4A72"/>
    <w:rsid w:val="00BA53AA"/>
    <w:rsid w:val="00BA60AC"/>
    <w:rsid w:val="00BB1575"/>
    <w:rsid w:val="00BB1AB8"/>
    <w:rsid w:val="00BB2A8C"/>
    <w:rsid w:val="00BB443C"/>
    <w:rsid w:val="00BB54C9"/>
    <w:rsid w:val="00BB62D2"/>
    <w:rsid w:val="00BB7B98"/>
    <w:rsid w:val="00BC00A0"/>
    <w:rsid w:val="00BC0103"/>
    <w:rsid w:val="00BC3048"/>
    <w:rsid w:val="00BC4C6C"/>
    <w:rsid w:val="00BC775D"/>
    <w:rsid w:val="00BD0C86"/>
    <w:rsid w:val="00BD5286"/>
    <w:rsid w:val="00BD7A6D"/>
    <w:rsid w:val="00BE1F7F"/>
    <w:rsid w:val="00BE4D71"/>
    <w:rsid w:val="00BE5510"/>
    <w:rsid w:val="00BE7B35"/>
    <w:rsid w:val="00BF3512"/>
    <w:rsid w:val="00BF38F2"/>
    <w:rsid w:val="00C010EE"/>
    <w:rsid w:val="00C02FC2"/>
    <w:rsid w:val="00C0328F"/>
    <w:rsid w:val="00C03521"/>
    <w:rsid w:val="00C05AFB"/>
    <w:rsid w:val="00C065BF"/>
    <w:rsid w:val="00C11D1F"/>
    <w:rsid w:val="00C163AF"/>
    <w:rsid w:val="00C2260E"/>
    <w:rsid w:val="00C22817"/>
    <w:rsid w:val="00C24B7A"/>
    <w:rsid w:val="00C27220"/>
    <w:rsid w:val="00C27A9E"/>
    <w:rsid w:val="00C34C61"/>
    <w:rsid w:val="00C352D5"/>
    <w:rsid w:val="00C35506"/>
    <w:rsid w:val="00C36A13"/>
    <w:rsid w:val="00C36C85"/>
    <w:rsid w:val="00C41885"/>
    <w:rsid w:val="00C44562"/>
    <w:rsid w:val="00C447E2"/>
    <w:rsid w:val="00C44E0C"/>
    <w:rsid w:val="00C46392"/>
    <w:rsid w:val="00C465FE"/>
    <w:rsid w:val="00C46E6D"/>
    <w:rsid w:val="00C50E02"/>
    <w:rsid w:val="00C57DF1"/>
    <w:rsid w:val="00C608E5"/>
    <w:rsid w:val="00C60B34"/>
    <w:rsid w:val="00C60EE0"/>
    <w:rsid w:val="00C62D0C"/>
    <w:rsid w:val="00C65155"/>
    <w:rsid w:val="00C6550D"/>
    <w:rsid w:val="00C73579"/>
    <w:rsid w:val="00C7454E"/>
    <w:rsid w:val="00C74F87"/>
    <w:rsid w:val="00C779EC"/>
    <w:rsid w:val="00C80DDC"/>
    <w:rsid w:val="00C83DCB"/>
    <w:rsid w:val="00C84648"/>
    <w:rsid w:val="00C850B4"/>
    <w:rsid w:val="00C85829"/>
    <w:rsid w:val="00C85C5F"/>
    <w:rsid w:val="00C97148"/>
    <w:rsid w:val="00CA3EE3"/>
    <w:rsid w:val="00CA49F2"/>
    <w:rsid w:val="00CA5C60"/>
    <w:rsid w:val="00CB2430"/>
    <w:rsid w:val="00CB6177"/>
    <w:rsid w:val="00CB7D5B"/>
    <w:rsid w:val="00CC04BF"/>
    <w:rsid w:val="00CC1D52"/>
    <w:rsid w:val="00CC2A47"/>
    <w:rsid w:val="00CC3150"/>
    <w:rsid w:val="00CC3BF9"/>
    <w:rsid w:val="00CC7A20"/>
    <w:rsid w:val="00CC7D46"/>
    <w:rsid w:val="00CC7ECD"/>
    <w:rsid w:val="00CD0299"/>
    <w:rsid w:val="00CD1E43"/>
    <w:rsid w:val="00CD2794"/>
    <w:rsid w:val="00CD5955"/>
    <w:rsid w:val="00CD637B"/>
    <w:rsid w:val="00CD6C4D"/>
    <w:rsid w:val="00CD7832"/>
    <w:rsid w:val="00CE2406"/>
    <w:rsid w:val="00CE435D"/>
    <w:rsid w:val="00CE4BAC"/>
    <w:rsid w:val="00CE5322"/>
    <w:rsid w:val="00CF5BB7"/>
    <w:rsid w:val="00D022F8"/>
    <w:rsid w:val="00D04B0E"/>
    <w:rsid w:val="00D04B43"/>
    <w:rsid w:val="00D06A57"/>
    <w:rsid w:val="00D073BC"/>
    <w:rsid w:val="00D13C4D"/>
    <w:rsid w:val="00D20C65"/>
    <w:rsid w:val="00D20CF8"/>
    <w:rsid w:val="00D268A7"/>
    <w:rsid w:val="00D301C1"/>
    <w:rsid w:val="00D31A7F"/>
    <w:rsid w:val="00D32650"/>
    <w:rsid w:val="00D3269F"/>
    <w:rsid w:val="00D3331D"/>
    <w:rsid w:val="00D36DF6"/>
    <w:rsid w:val="00D36F21"/>
    <w:rsid w:val="00D45E65"/>
    <w:rsid w:val="00D46794"/>
    <w:rsid w:val="00D51C9A"/>
    <w:rsid w:val="00D52C6E"/>
    <w:rsid w:val="00D54D18"/>
    <w:rsid w:val="00D55AE1"/>
    <w:rsid w:val="00D56B2E"/>
    <w:rsid w:val="00D5781A"/>
    <w:rsid w:val="00D6423D"/>
    <w:rsid w:val="00D64CFF"/>
    <w:rsid w:val="00D65264"/>
    <w:rsid w:val="00D72F20"/>
    <w:rsid w:val="00D773DE"/>
    <w:rsid w:val="00D77570"/>
    <w:rsid w:val="00D77657"/>
    <w:rsid w:val="00D813C9"/>
    <w:rsid w:val="00D825C2"/>
    <w:rsid w:val="00D834D7"/>
    <w:rsid w:val="00D86085"/>
    <w:rsid w:val="00D87144"/>
    <w:rsid w:val="00D87ADE"/>
    <w:rsid w:val="00D90772"/>
    <w:rsid w:val="00D91F9E"/>
    <w:rsid w:val="00D93479"/>
    <w:rsid w:val="00D9347A"/>
    <w:rsid w:val="00D974AC"/>
    <w:rsid w:val="00D97D95"/>
    <w:rsid w:val="00DA0171"/>
    <w:rsid w:val="00DA1075"/>
    <w:rsid w:val="00DA1955"/>
    <w:rsid w:val="00DA3429"/>
    <w:rsid w:val="00DA62B0"/>
    <w:rsid w:val="00DA672A"/>
    <w:rsid w:val="00DB2601"/>
    <w:rsid w:val="00DB3472"/>
    <w:rsid w:val="00DB5254"/>
    <w:rsid w:val="00DB7A5D"/>
    <w:rsid w:val="00DC7480"/>
    <w:rsid w:val="00DD5F85"/>
    <w:rsid w:val="00DE451B"/>
    <w:rsid w:val="00DE45A3"/>
    <w:rsid w:val="00DF0043"/>
    <w:rsid w:val="00DF01E0"/>
    <w:rsid w:val="00DF22A0"/>
    <w:rsid w:val="00DF66FA"/>
    <w:rsid w:val="00E009A8"/>
    <w:rsid w:val="00E00F11"/>
    <w:rsid w:val="00E01D75"/>
    <w:rsid w:val="00E04673"/>
    <w:rsid w:val="00E049F9"/>
    <w:rsid w:val="00E056D3"/>
    <w:rsid w:val="00E10806"/>
    <w:rsid w:val="00E13B62"/>
    <w:rsid w:val="00E15442"/>
    <w:rsid w:val="00E15C1F"/>
    <w:rsid w:val="00E15D00"/>
    <w:rsid w:val="00E15F30"/>
    <w:rsid w:val="00E16D0B"/>
    <w:rsid w:val="00E2141D"/>
    <w:rsid w:val="00E22C6A"/>
    <w:rsid w:val="00E231AF"/>
    <w:rsid w:val="00E23DAE"/>
    <w:rsid w:val="00E24993"/>
    <w:rsid w:val="00E3076E"/>
    <w:rsid w:val="00E312B0"/>
    <w:rsid w:val="00E31EC8"/>
    <w:rsid w:val="00E33E1F"/>
    <w:rsid w:val="00E35FD4"/>
    <w:rsid w:val="00E3697D"/>
    <w:rsid w:val="00E40F73"/>
    <w:rsid w:val="00E42B4F"/>
    <w:rsid w:val="00E43F88"/>
    <w:rsid w:val="00E445D6"/>
    <w:rsid w:val="00E44DF0"/>
    <w:rsid w:val="00E473B0"/>
    <w:rsid w:val="00E47DF3"/>
    <w:rsid w:val="00E5006F"/>
    <w:rsid w:val="00E502EB"/>
    <w:rsid w:val="00E51B16"/>
    <w:rsid w:val="00E569FC"/>
    <w:rsid w:val="00E56B71"/>
    <w:rsid w:val="00E605B4"/>
    <w:rsid w:val="00E60F6C"/>
    <w:rsid w:val="00E6315F"/>
    <w:rsid w:val="00E649DB"/>
    <w:rsid w:val="00E72CC1"/>
    <w:rsid w:val="00E804A5"/>
    <w:rsid w:val="00E81D86"/>
    <w:rsid w:val="00E81E8D"/>
    <w:rsid w:val="00E82DE3"/>
    <w:rsid w:val="00E84164"/>
    <w:rsid w:val="00E84181"/>
    <w:rsid w:val="00E84298"/>
    <w:rsid w:val="00E84F2F"/>
    <w:rsid w:val="00E85069"/>
    <w:rsid w:val="00E8510A"/>
    <w:rsid w:val="00E869CA"/>
    <w:rsid w:val="00E87FBB"/>
    <w:rsid w:val="00E91145"/>
    <w:rsid w:val="00E934B7"/>
    <w:rsid w:val="00E9367F"/>
    <w:rsid w:val="00E97CE3"/>
    <w:rsid w:val="00EA06B6"/>
    <w:rsid w:val="00EA6A95"/>
    <w:rsid w:val="00EB0482"/>
    <w:rsid w:val="00EB2371"/>
    <w:rsid w:val="00EB500C"/>
    <w:rsid w:val="00EC2EE2"/>
    <w:rsid w:val="00EC5CC5"/>
    <w:rsid w:val="00EC662B"/>
    <w:rsid w:val="00EC6D08"/>
    <w:rsid w:val="00EC7446"/>
    <w:rsid w:val="00EC7869"/>
    <w:rsid w:val="00ED0415"/>
    <w:rsid w:val="00ED24C4"/>
    <w:rsid w:val="00ED2736"/>
    <w:rsid w:val="00ED41E7"/>
    <w:rsid w:val="00ED69F0"/>
    <w:rsid w:val="00EE3646"/>
    <w:rsid w:val="00EE6639"/>
    <w:rsid w:val="00EE70FB"/>
    <w:rsid w:val="00EF153C"/>
    <w:rsid w:val="00EF527A"/>
    <w:rsid w:val="00EF593F"/>
    <w:rsid w:val="00EF6809"/>
    <w:rsid w:val="00F028B7"/>
    <w:rsid w:val="00F05480"/>
    <w:rsid w:val="00F054FB"/>
    <w:rsid w:val="00F05614"/>
    <w:rsid w:val="00F10963"/>
    <w:rsid w:val="00F11C64"/>
    <w:rsid w:val="00F120DD"/>
    <w:rsid w:val="00F1213E"/>
    <w:rsid w:val="00F125D7"/>
    <w:rsid w:val="00F12770"/>
    <w:rsid w:val="00F140BE"/>
    <w:rsid w:val="00F15554"/>
    <w:rsid w:val="00F15C91"/>
    <w:rsid w:val="00F16ACC"/>
    <w:rsid w:val="00F2081F"/>
    <w:rsid w:val="00F2090D"/>
    <w:rsid w:val="00F212E7"/>
    <w:rsid w:val="00F22082"/>
    <w:rsid w:val="00F2378F"/>
    <w:rsid w:val="00F2391A"/>
    <w:rsid w:val="00F25910"/>
    <w:rsid w:val="00F25C36"/>
    <w:rsid w:val="00F25E27"/>
    <w:rsid w:val="00F27719"/>
    <w:rsid w:val="00F33BB3"/>
    <w:rsid w:val="00F34360"/>
    <w:rsid w:val="00F34BBF"/>
    <w:rsid w:val="00F353DD"/>
    <w:rsid w:val="00F36FB5"/>
    <w:rsid w:val="00F425EA"/>
    <w:rsid w:val="00F428EC"/>
    <w:rsid w:val="00F44257"/>
    <w:rsid w:val="00F553BD"/>
    <w:rsid w:val="00F56537"/>
    <w:rsid w:val="00F56899"/>
    <w:rsid w:val="00F57037"/>
    <w:rsid w:val="00F6057D"/>
    <w:rsid w:val="00F6188C"/>
    <w:rsid w:val="00F63D45"/>
    <w:rsid w:val="00F64FB7"/>
    <w:rsid w:val="00F70D86"/>
    <w:rsid w:val="00F718FC"/>
    <w:rsid w:val="00F7241B"/>
    <w:rsid w:val="00F76DE8"/>
    <w:rsid w:val="00F77B9B"/>
    <w:rsid w:val="00F8019A"/>
    <w:rsid w:val="00F83594"/>
    <w:rsid w:val="00F85FAA"/>
    <w:rsid w:val="00F87874"/>
    <w:rsid w:val="00F90897"/>
    <w:rsid w:val="00F94ADF"/>
    <w:rsid w:val="00F94E87"/>
    <w:rsid w:val="00F969BB"/>
    <w:rsid w:val="00FA1771"/>
    <w:rsid w:val="00FA2C3C"/>
    <w:rsid w:val="00FA3817"/>
    <w:rsid w:val="00FA4563"/>
    <w:rsid w:val="00FA4C43"/>
    <w:rsid w:val="00FA613C"/>
    <w:rsid w:val="00FA6BE6"/>
    <w:rsid w:val="00FB05CB"/>
    <w:rsid w:val="00FB0BC2"/>
    <w:rsid w:val="00FB7D80"/>
    <w:rsid w:val="00FC0737"/>
    <w:rsid w:val="00FC358A"/>
    <w:rsid w:val="00FC45C7"/>
    <w:rsid w:val="00FC7506"/>
    <w:rsid w:val="00FD0CCE"/>
    <w:rsid w:val="00FD1E2D"/>
    <w:rsid w:val="00FD4A1D"/>
    <w:rsid w:val="00FD535A"/>
    <w:rsid w:val="00FD7605"/>
    <w:rsid w:val="00FE11F4"/>
    <w:rsid w:val="00FE4F2A"/>
    <w:rsid w:val="00FE5A70"/>
    <w:rsid w:val="00FE760B"/>
    <w:rsid w:val="00FF25A0"/>
    <w:rsid w:val="00FF67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B9099"/>
  <w15:docId w15:val="{FE90696B-50D6-41D5-8BC1-D862937C4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19A"/>
    <w:pPr>
      <w:spacing w:after="160" w:line="259" w:lineRule="auto"/>
    </w:pPr>
    <w:rPr>
      <w:sz w:val="22"/>
      <w:szCs w:val="22"/>
      <w:lang w:val="en-US" w:eastAsia="en-US"/>
    </w:rPr>
  </w:style>
  <w:style w:type="paragraph" w:styleId="Ttulo1">
    <w:name w:val="heading 1"/>
    <w:basedOn w:val="Normal"/>
    <w:link w:val="Ttulo1Char"/>
    <w:uiPriority w:val="9"/>
    <w:qFormat/>
    <w:rsid w:val="00760A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7430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3DD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634A2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D1E4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Bibliografia">
    <w:name w:val="Bibliography"/>
    <w:basedOn w:val="Normal"/>
    <w:next w:val="Normal"/>
    <w:uiPriority w:val="37"/>
    <w:unhideWhenUsed/>
    <w:rsid w:val="009E48A4"/>
    <w:pPr>
      <w:spacing w:after="0" w:line="240" w:lineRule="auto"/>
      <w:ind w:left="720" w:hanging="720"/>
    </w:pPr>
  </w:style>
  <w:style w:type="paragraph" w:styleId="NormalWeb">
    <w:name w:val="Normal (Web)"/>
    <w:basedOn w:val="Normal"/>
    <w:link w:val="NormalWebChar"/>
    <w:uiPriority w:val="99"/>
    <w:unhideWhenUsed/>
    <w:rsid w:val="006906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hlt">
    <w:name w:val="hlt"/>
    <w:basedOn w:val="Fontepargpadro"/>
    <w:rsid w:val="0042112F"/>
  </w:style>
  <w:style w:type="paragraph" w:customStyle="1" w:styleId="Ttulo10">
    <w:name w:val="Título1"/>
    <w:basedOn w:val="Normal"/>
    <w:rsid w:val="00A73F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A73F48"/>
    <w:rPr>
      <w:color w:val="0000FF"/>
      <w:u w:val="single"/>
    </w:rPr>
  </w:style>
  <w:style w:type="paragraph" w:customStyle="1" w:styleId="desc">
    <w:name w:val="desc"/>
    <w:basedOn w:val="Normal"/>
    <w:rsid w:val="00A73F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tails">
    <w:name w:val="details"/>
    <w:basedOn w:val="Normal"/>
    <w:rsid w:val="00A73F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jrnl">
    <w:name w:val="jrnl"/>
    <w:basedOn w:val="Fontepargpadro"/>
    <w:rsid w:val="00A73F48"/>
  </w:style>
  <w:style w:type="character" w:customStyle="1" w:styleId="mixed-citation">
    <w:name w:val="mixed-citation"/>
    <w:basedOn w:val="Fontepargpadro"/>
    <w:rsid w:val="0024021C"/>
  </w:style>
  <w:style w:type="character" w:customStyle="1" w:styleId="ref-title">
    <w:name w:val="ref-title"/>
    <w:basedOn w:val="Fontepargpadro"/>
    <w:rsid w:val="0024021C"/>
  </w:style>
  <w:style w:type="character" w:customStyle="1" w:styleId="ref-journal">
    <w:name w:val="ref-journal"/>
    <w:basedOn w:val="Fontepargpadro"/>
    <w:rsid w:val="0024021C"/>
  </w:style>
  <w:style w:type="character" w:customStyle="1" w:styleId="ref-vol">
    <w:name w:val="ref-vol"/>
    <w:basedOn w:val="Fontepargpadro"/>
    <w:rsid w:val="0024021C"/>
  </w:style>
  <w:style w:type="character" w:customStyle="1" w:styleId="Ttulo1Char">
    <w:name w:val="Título 1 Char"/>
    <w:link w:val="Ttulo1"/>
    <w:uiPriority w:val="9"/>
    <w:rsid w:val="00760AD0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ighlight">
    <w:name w:val="highlight"/>
    <w:basedOn w:val="Fontepargpadro"/>
    <w:rsid w:val="00760AD0"/>
  </w:style>
  <w:style w:type="paragraph" w:styleId="Textodebalo">
    <w:name w:val="Balloon Text"/>
    <w:basedOn w:val="Normal"/>
    <w:link w:val="TextodebaloChar"/>
    <w:uiPriority w:val="99"/>
    <w:semiHidden/>
    <w:unhideWhenUsed/>
    <w:rsid w:val="0004499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044991"/>
    <w:rPr>
      <w:rFonts w:ascii="Tahoma" w:hAnsi="Tahoma" w:cs="Tahoma"/>
      <w:sz w:val="16"/>
      <w:szCs w:val="16"/>
      <w:lang w:val="en-US"/>
    </w:rPr>
  </w:style>
  <w:style w:type="character" w:styleId="Refdecomentrio">
    <w:name w:val="annotation reference"/>
    <w:uiPriority w:val="99"/>
    <w:semiHidden/>
    <w:unhideWhenUsed/>
    <w:rsid w:val="002D196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D196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2D1964"/>
    <w:rPr>
      <w:sz w:val="20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D1964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D1964"/>
    <w:rPr>
      <w:b/>
      <w:bCs/>
      <w:sz w:val="20"/>
      <w:szCs w:val="20"/>
      <w:lang w:val="en-US"/>
    </w:rPr>
  </w:style>
  <w:style w:type="paragraph" w:customStyle="1" w:styleId="Ttulo20">
    <w:name w:val="Título2"/>
    <w:basedOn w:val="Normal"/>
    <w:rsid w:val="002E4CE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MenoPendente1">
    <w:name w:val="Menção Pendente1"/>
    <w:uiPriority w:val="99"/>
    <w:semiHidden/>
    <w:unhideWhenUsed/>
    <w:rsid w:val="001656F9"/>
    <w:rPr>
      <w:color w:val="605E5C"/>
      <w:shd w:val="clear" w:color="auto" w:fill="E1DFDD"/>
    </w:rPr>
  </w:style>
  <w:style w:type="character" w:customStyle="1" w:styleId="st">
    <w:name w:val="st"/>
    <w:basedOn w:val="Fontepargpadro"/>
    <w:rsid w:val="00BC4C6C"/>
  </w:style>
  <w:style w:type="character" w:styleId="nfase">
    <w:name w:val="Emphasis"/>
    <w:uiPriority w:val="20"/>
    <w:qFormat/>
    <w:rsid w:val="00BC4C6C"/>
    <w:rPr>
      <w:i/>
      <w:iCs/>
    </w:rPr>
  </w:style>
  <w:style w:type="paragraph" w:customStyle="1" w:styleId="SemEspaamento1">
    <w:name w:val="Sem Espaçamento1"/>
    <w:uiPriority w:val="1"/>
    <w:qFormat/>
    <w:rsid w:val="00786C14"/>
    <w:rPr>
      <w:sz w:val="22"/>
      <w:szCs w:val="22"/>
      <w:lang w:eastAsia="en-US"/>
    </w:rPr>
  </w:style>
  <w:style w:type="paragraph" w:customStyle="1" w:styleId="Ttulo30">
    <w:name w:val="Título3"/>
    <w:basedOn w:val="Normal"/>
    <w:rsid w:val="006039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 w:eastAsia="pt-BR"/>
    </w:rPr>
  </w:style>
  <w:style w:type="character" w:styleId="HiperlinkVisitado">
    <w:name w:val="FollowedHyperlink"/>
    <w:uiPriority w:val="99"/>
    <w:semiHidden/>
    <w:unhideWhenUsed/>
    <w:rsid w:val="00670BEA"/>
    <w:rPr>
      <w:color w:val="954F72"/>
      <w:u w:val="single"/>
    </w:rPr>
  </w:style>
  <w:style w:type="character" w:customStyle="1" w:styleId="Ttulo4Char">
    <w:name w:val="Título 4 Char"/>
    <w:link w:val="Ttulo4"/>
    <w:uiPriority w:val="9"/>
    <w:semiHidden/>
    <w:rsid w:val="003634A2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styleId="Nmerodelinha">
    <w:name w:val="line number"/>
    <w:basedOn w:val="Fontepargpadro"/>
    <w:uiPriority w:val="99"/>
    <w:semiHidden/>
    <w:unhideWhenUsed/>
    <w:rsid w:val="006C2131"/>
  </w:style>
  <w:style w:type="character" w:customStyle="1" w:styleId="Ttulo2Char">
    <w:name w:val="Título 2 Char"/>
    <w:link w:val="Ttulo2"/>
    <w:uiPriority w:val="9"/>
    <w:semiHidden/>
    <w:rsid w:val="00874300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paragraph" w:styleId="PargrafodaLista">
    <w:name w:val="List Paragraph"/>
    <w:basedOn w:val="Normal"/>
    <w:uiPriority w:val="34"/>
    <w:qFormat/>
    <w:rsid w:val="00E10806"/>
    <w:pPr>
      <w:ind w:left="720"/>
      <w:contextualSpacing/>
    </w:pPr>
  </w:style>
  <w:style w:type="character" w:customStyle="1" w:styleId="authors-list-item">
    <w:name w:val="authors-list-item"/>
    <w:basedOn w:val="Fontepargpadro"/>
    <w:rsid w:val="00B24EE2"/>
  </w:style>
  <w:style w:type="character" w:customStyle="1" w:styleId="author-sup-separator">
    <w:name w:val="author-sup-separator"/>
    <w:basedOn w:val="Fontepargpadro"/>
    <w:rsid w:val="00B24EE2"/>
  </w:style>
  <w:style w:type="character" w:customStyle="1" w:styleId="comma">
    <w:name w:val="comma"/>
    <w:basedOn w:val="Fontepargpadro"/>
    <w:rsid w:val="00B24EE2"/>
  </w:style>
  <w:style w:type="character" w:customStyle="1" w:styleId="identifier">
    <w:name w:val="identifier"/>
    <w:basedOn w:val="Fontepargpadro"/>
    <w:rsid w:val="00B24EE2"/>
  </w:style>
  <w:style w:type="character" w:customStyle="1" w:styleId="id-label">
    <w:name w:val="id-label"/>
    <w:basedOn w:val="Fontepargpadro"/>
    <w:rsid w:val="00B24EE2"/>
  </w:style>
  <w:style w:type="character" w:styleId="Forte">
    <w:name w:val="Strong"/>
    <w:basedOn w:val="Fontepargpadro"/>
    <w:uiPriority w:val="22"/>
    <w:qFormat/>
    <w:rsid w:val="00B24EE2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B24EE2"/>
    <w:pPr>
      <w:spacing w:after="0"/>
      <w:jc w:val="center"/>
    </w:pPr>
    <w:rPr>
      <w:rFonts w:cs="Calibri"/>
      <w:noProof/>
    </w:rPr>
  </w:style>
  <w:style w:type="character" w:customStyle="1" w:styleId="NormalWebChar">
    <w:name w:val="Normal (Web) Char"/>
    <w:basedOn w:val="Fontepargpadro"/>
    <w:link w:val="NormalWeb"/>
    <w:uiPriority w:val="99"/>
    <w:rsid w:val="00B24EE2"/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B24EE2"/>
    <w:rPr>
      <w:rFonts w:ascii="Times New Roman" w:eastAsia="Times New Roman" w:hAnsi="Times New Roman" w:cs="Calibri"/>
      <w:noProof/>
      <w:sz w:val="22"/>
      <w:szCs w:val="22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B24EE2"/>
    <w:pPr>
      <w:spacing w:line="240" w:lineRule="auto"/>
      <w:jc w:val="both"/>
    </w:pPr>
    <w:rPr>
      <w:rFonts w:cs="Calibri"/>
      <w:noProof/>
    </w:rPr>
  </w:style>
  <w:style w:type="character" w:customStyle="1" w:styleId="EndNoteBibliographyChar">
    <w:name w:val="EndNote Bibliography Char"/>
    <w:basedOn w:val="NormalWebChar"/>
    <w:link w:val="EndNoteBibliography"/>
    <w:rsid w:val="00B24EE2"/>
    <w:rPr>
      <w:rFonts w:ascii="Times New Roman" w:eastAsia="Times New Roman" w:hAnsi="Times New Roman" w:cs="Calibri"/>
      <w:noProof/>
      <w:sz w:val="22"/>
      <w:szCs w:val="22"/>
      <w:lang w:val="en-US" w:eastAsia="en-US"/>
    </w:rPr>
  </w:style>
  <w:style w:type="character" w:customStyle="1" w:styleId="e24kjd">
    <w:name w:val="e24kjd"/>
    <w:basedOn w:val="Fontepargpadro"/>
    <w:rsid w:val="00FF25A0"/>
  </w:style>
  <w:style w:type="character" w:customStyle="1" w:styleId="Ttulo5Char">
    <w:name w:val="Título 5 Char"/>
    <w:basedOn w:val="Fontepargpadro"/>
    <w:link w:val="Ttulo5"/>
    <w:uiPriority w:val="9"/>
    <w:semiHidden/>
    <w:rsid w:val="00CD1E43"/>
    <w:rPr>
      <w:rFonts w:asciiTheme="majorHAnsi" w:eastAsiaTheme="majorEastAsia" w:hAnsiTheme="majorHAnsi" w:cstheme="majorBidi"/>
      <w:color w:val="365F91" w:themeColor="accent1" w:themeShade="BF"/>
      <w:sz w:val="22"/>
      <w:szCs w:val="22"/>
      <w:lang w:val="en-US" w:eastAsia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D3DD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DA1075"/>
    <w:rPr>
      <w:color w:val="605E5C"/>
      <w:shd w:val="clear" w:color="auto" w:fill="E1DFDD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7872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78723E"/>
    <w:rPr>
      <w:rFonts w:ascii="Courier New" w:eastAsia="Times New Roman" w:hAnsi="Courier New" w:cs="Courier New"/>
    </w:rPr>
  </w:style>
  <w:style w:type="paragraph" w:customStyle="1" w:styleId="SemEspaamento2">
    <w:name w:val="Sem Espaçamento2"/>
    <w:uiPriority w:val="1"/>
    <w:qFormat/>
    <w:rsid w:val="00F2391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3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51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78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6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5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6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6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38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0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1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8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74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6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1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33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6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7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1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91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8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5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4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1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1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8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68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0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7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8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51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90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0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3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5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7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3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8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7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2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7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6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63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3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9596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9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2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5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5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1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60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6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4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80707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41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05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3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1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12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86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6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7BBA1-7C4A-45F0-B337-99CF780AE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152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973</CharactersWithSpaces>
  <SharedDoc>false</SharedDoc>
  <HLinks>
    <vt:vector size="528" baseType="variant">
      <vt:variant>
        <vt:i4>983127</vt:i4>
      </vt:variant>
      <vt:variant>
        <vt:i4>261</vt:i4>
      </vt:variant>
      <vt:variant>
        <vt:i4>0</vt:i4>
      </vt:variant>
      <vt:variant>
        <vt:i4>5</vt:i4>
      </vt:variant>
      <vt:variant>
        <vt:lpwstr>https://www.ncbi.nlm.nih.gov/pubmed/24365182</vt:lpwstr>
      </vt:variant>
      <vt:variant>
        <vt:lpwstr/>
      </vt:variant>
      <vt:variant>
        <vt:i4>131160</vt:i4>
      </vt:variant>
      <vt:variant>
        <vt:i4>258</vt:i4>
      </vt:variant>
      <vt:variant>
        <vt:i4>0</vt:i4>
      </vt:variant>
      <vt:variant>
        <vt:i4>5</vt:i4>
      </vt:variant>
      <vt:variant>
        <vt:lpwstr>https://www.ncbi.nlm.nih.gov/pubmed/31323609</vt:lpwstr>
      </vt:variant>
      <vt:variant>
        <vt:lpwstr/>
      </vt:variant>
      <vt:variant>
        <vt:i4>262239</vt:i4>
      </vt:variant>
      <vt:variant>
        <vt:i4>255</vt:i4>
      </vt:variant>
      <vt:variant>
        <vt:i4>0</vt:i4>
      </vt:variant>
      <vt:variant>
        <vt:i4>5</vt:i4>
      </vt:variant>
      <vt:variant>
        <vt:lpwstr>https://www.ncbi.nlm.nih.gov/pubmed/27640900</vt:lpwstr>
      </vt:variant>
      <vt:variant>
        <vt:lpwstr/>
      </vt:variant>
      <vt:variant>
        <vt:i4>655450</vt:i4>
      </vt:variant>
      <vt:variant>
        <vt:i4>252</vt:i4>
      </vt:variant>
      <vt:variant>
        <vt:i4>0</vt:i4>
      </vt:variant>
      <vt:variant>
        <vt:i4>5</vt:i4>
      </vt:variant>
      <vt:variant>
        <vt:lpwstr>https://www.ncbi.nlm.nih.gov/pubmed/26027949</vt:lpwstr>
      </vt:variant>
      <vt:variant>
        <vt:lpwstr/>
      </vt:variant>
      <vt:variant>
        <vt:i4>393300</vt:i4>
      </vt:variant>
      <vt:variant>
        <vt:i4>249</vt:i4>
      </vt:variant>
      <vt:variant>
        <vt:i4>0</vt:i4>
      </vt:variant>
      <vt:variant>
        <vt:i4>5</vt:i4>
      </vt:variant>
      <vt:variant>
        <vt:lpwstr>https://www.ncbi.nlm.nih.gov/pubmed/30098544</vt:lpwstr>
      </vt:variant>
      <vt:variant>
        <vt:lpwstr/>
      </vt:variant>
      <vt:variant>
        <vt:i4>589913</vt:i4>
      </vt:variant>
      <vt:variant>
        <vt:i4>246</vt:i4>
      </vt:variant>
      <vt:variant>
        <vt:i4>0</vt:i4>
      </vt:variant>
      <vt:variant>
        <vt:i4>5</vt:i4>
      </vt:variant>
      <vt:variant>
        <vt:lpwstr>https://www.ncbi.nlm.nih.gov/pubmed/12161033</vt:lpwstr>
      </vt:variant>
      <vt:variant>
        <vt:lpwstr/>
      </vt:variant>
      <vt:variant>
        <vt:i4>589918</vt:i4>
      </vt:variant>
      <vt:variant>
        <vt:i4>243</vt:i4>
      </vt:variant>
      <vt:variant>
        <vt:i4>0</vt:i4>
      </vt:variant>
      <vt:variant>
        <vt:i4>5</vt:i4>
      </vt:variant>
      <vt:variant>
        <vt:lpwstr>https://www.ncbi.nlm.nih.gov/pubmed/24333575</vt:lpwstr>
      </vt:variant>
      <vt:variant>
        <vt:lpwstr/>
      </vt:variant>
      <vt:variant>
        <vt:i4>92</vt:i4>
      </vt:variant>
      <vt:variant>
        <vt:i4>240</vt:i4>
      </vt:variant>
      <vt:variant>
        <vt:i4>0</vt:i4>
      </vt:variant>
      <vt:variant>
        <vt:i4>5</vt:i4>
      </vt:variant>
      <vt:variant>
        <vt:lpwstr>https://www.ncbi.nlm.nih.gov/pubmed/16635259</vt:lpwstr>
      </vt:variant>
      <vt:variant>
        <vt:lpwstr/>
      </vt:variant>
      <vt:variant>
        <vt:i4>720978</vt:i4>
      </vt:variant>
      <vt:variant>
        <vt:i4>237</vt:i4>
      </vt:variant>
      <vt:variant>
        <vt:i4>0</vt:i4>
      </vt:variant>
      <vt:variant>
        <vt:i4>5</vt:i4>
      </vt:variant>
      <vt:variant>
        <vt:lpwstr>https://www.ncbi.nlm.nih.gov/pubmed/31379506</vt:lpwstr>
      </vt:variant>
      <vt:variant>
        <vt:lpwstr/>
      </vt:variant>
      <vt:variant>
        <vt:i4>589909</vt:i4>
      </vt:variant>
      <vt:variant>
        <vt:i4>234</vt:i4>
      </vt:variant>
      <vt:variant>
        <vt:i4>0</vt:i4>
      </vt:variant>
      <vt:variant>
        <vt:i4>5</vt:i4>
      </vt:variant>
      <vt:variant>
        <vt:lpwstr>https://www.ncbi.nlm.nih.gov/pubmed/29867038</vt:lpwstr>
      </vt:variant>
      <vt:variant>
        <vt:lpwstr/>
      </vt:variant>
      <vt:variant>
        <vt:i4>196689</vt:i4>
      </vt:variant>
      <vt:variant>
        <vt:i4>231</vt:i4>
      </vt:variant>
      <vt:variant>
        <vt:i4>0</vt:i4>
      </vt:variant>
      <vt:variant>
        <vt:i4>5</vt:i4>
      </vt:variant>
      <vt:variant>
        <vt:lpwstr>https://www.ncbi.nlm.nih.gov/pubmed/31857069</vt:lpwstr>
      </vt:variant>
      <vt:variant>
        <vt:lpwstr/>
      </vt:variant>
      <vt:variant>
        <vt:i4>589912</vt:i4>
      </vt:variant>
      <vt:variant>
        <vt:i4>228</vt:i4>
      </vt:variant>
      <vt:variant>
        <vt:i4>0</vt:i4>
      </vt:variant>
      <vt:variant>
        <vt:i4>5</vt:i4>
      </vt:variant>
      <vt:variant>
        <vt:lpwstr>https://www.ncbi.nlm.nih.gov/pubmed/21423165</vt:lpwstr>
      </vt:variant>
      <vt:variant>
        <vt:lpwstr/>
      </vt:variant>
      <vt:variant>
        <vt:i4>524368</vt:i4>
      </vt:variant>
      <vt:variant>
        <vt:i4>225</vt:i4>
      </vt:variant>
      <vt:variant>
        <vt:i4>0</vt:i4>
      </vt:variant>
      <vt:variant>
        <vt:i4>5</vt:i4>
      </vt:variant>
      <vt:variant>
        <vt:lpwstr>https://www.ncbi.nlm.nih.gov/pubmed/31061091</vt:lpwstr>
      </vt:variant>
      <vt:variant>
        <vt:lpwstr/>
      </vt:variant>
      <vt:variant>
        <vt:i4>852048</vt:i4>
      </vt:variant>
      <vt:variant>
        <vt:i4>222</vt:i4>
      </vt:variant>
      <vt:variant>
        <vt:i4>0</vt:i4>
      </vt:variant>
      <vt:variant>
        <vt:i4>5</vt:i4>
      </vt:variant>
      <vt:variant>
        <vt:lpwstr>https://www.ncbi.nlm.nih.gov/pubmed/18068825</vt:lpwstr>
      </vt:variant>
      <vt:variant>
        <vt:lpwstr/>
      </vt:variant>
      <vt:variant>
        <vt:i4>3735654</vt:i4>
      </vt:variant>
      <vt:variant>
        <vt:i4>219</vt:i4>
      </vt:variant>
      <vt:variant>
        <vt:i4>0</vt:i4>
      </vt:variant>
      <vt:variant>
        <vt:i4>5</vt:i4>
      </vt:variant>
      <vt:variant>
        <vt:lpwstr>https://www.ncbi.nlm.nih.gov/pubmed/8869369</vt:lpwstr>
      </vt:variant>
      <vt:variant>
        <vt:lpwstr/>
      </vt:variant>
      <vt:variant>
        <vt:i4>786519</vt:i4>
      </vt:variant>
      <vt:variant>
        <vt:i4>216</vt:i4>
      </vt:variant>
      <vt:variant>
        <vt:i4>0</vt:i4>
      </vt:variant>
      <vt:variant>
        <vt:i4>5</vt:i4>
      </vt:variant>
      <vt:variant>
        <vt:lpwstr>https://www.ncbi.nlm.nih.gov/pubmed/19580685</vt:lpwstr>
      </vt:variant>
      <vt:variant>
        <vt:lpwstr/>
      </vt:variant>
      <vt:variant>
        <vt:i4>327760</vt:i4>
      </vt:variant>
      <vt:variant>
        <vt:i4>213</vt:i4>
      </vt:variant>
      <vt:variant>
        <vt:i4>0</vt:i4>
      </vt:variant>
      <vt:variant>
        <vt:i4>5</vt:i4>
      </vt:variant>
      <vt:variant>
        <vt:lpwstr>https://www.ncbi.nlm.nih.gov/pubmed/29619162</vt:lpwstr>
      </vt:variant>
      <vt:variant>
        <vt:lpwstr/>
      </vt:variant>
      <vt:variant>
        <vt:i4>852059</vt:i4>
      </vt:variant>
      <vt:variant>
        <vt:i4>210</vt:i4>
      </vt:variant>
      <vt:variant>
        <vt:i4>0</vt:i4>
      </vt:variant>
      <vt:variant>
        <vt:i4>5</vt:i4>
      </vt:variant>
      <vt:variant>
        <vt:lpwstr>https://www.ncbi.nlm.nih.gov/pubmed/16356646</vt:lpwstr>
      </vt:variant>
      <vt:variant>
        <vt:lpwstr/>
      </vt:variant>
      <vt:variant>
        <vt:i4>89</vt:i4>
      </vt:variant>
      <vt:variant>
        <vt:i4>207</vt:i4>
      </vt:variant>
      <vt:variant>
        <vt:i4>0</vt:i4>
      </vt:variant>
      <vt:variant>
        <vt:i4>5</vt:i4>
      </vt:variant>
      <vt:variant>
        <vt:lpwstr>https://www.ncbi.nlm.nih.gov/pubmed/26989707</vt:lpwstr>
      </vt:variant>
      <vt:variant>
        <vt:lpwstr/>
      </vt:variant>
      <vt:variant>
        <vt:i4>917593</vt:i4>
      </vt:variant>
      <vt:variant>
        <vt:i4>204</vt:i4>
      </vt:variant>
      <vt:variant>
        <vt:i4>0</vt:i4>
      </vt:variant>
      <vt:variant>
        <vt:i4>5</vt:i4>
      </vt:variant>
      <vt:variant>
        <vt:lpwstr>https://www.ncbi.nlm.nih.gov/pubmed/26403076</vt:lpwstr>
      </vt:variant>
      <vt:variant>
        <vt:lpwstr/>
      </vt:variant>
      <vt:variant>
        <vt:i4>88</vt:i4>
      </vt:variant>
      <vt:variant>
        <vt:i4>201</vt:i4>
      </vt:variant>
      <vt:variant>
        <vt:i4>0</vt:i4>
      </vt:variant>
      <vt:variant>
        <vt:i4>5</vt:i4>
      </vt:variant>
      <vt:variant>
        <vt:lpwstr>https://www.ncbi.nlm.nih.gov/pubmed/15741748</vt:lpwstr>
      </vt:variant>
      <vt:variant>
        <vt:lpwstr/>
      </vt:variant>
      <vt:variant>
        <vt:i4>458837</vt:i4>
      </vt:variant>
      <vt:variant>
        <vt:i4>198</vt:i4>
      </vt:variant>
      <vt:variant>
        <vt:i4>0</vt:i4>
      </vt:variant>
      <vt:variant>
        <vt:i4>5</vt:i4>
      </vt:variant>
      <vt:variant>
        <vt:lpwstr>https://www.ncbi.nlm.nih.gov/pubmed/21882363</vt:lpwstr>
      </vt:variant>
      <vt:variant>
        <vt:lpwstr/>
      </vt:variant>
      <vt:variant>
        <vt:i4>393304</vt:i4>
      </vt:variant>
      <vt:variant>
        <vt:i4>195</vt:i4>
      </vt:variant>
      <vt:variant>
        <vt:i4>0</vt:i4>
      </vt:variant>
      <vt:variant>
        <vt:i4>5</vt:i4>
      </vt:variant>
      <vt:variant>
        <vt:lpwstr>https://www.ncbi.nlm.nih.gov/pubmed/19174472</vt:lpwstr>
      </vt:variant>
      <vt:variant>
        <vt:lpwstr/>
      </vt:variant>
      <vt:variant>
        <vt:i4>786518</vt:i4>
      </vt:variant>
      <vt:variant>
        <vt:i4>192</vt:i4>
      </vt:variant>
      <vt:variant>
        <vt:i4>0</vt:i4>
      </vt:variant>
      <vt:variant>
        <vt:i4>5</vt:i4>
      </vt:variant>
      <vt:variant>
        <vt:lpwstr>https://www.ncbi.nlm.nih.gov/pubmed/32209454</vt:lpwstr>
      </vt:variant>
      <vt:variant>
        <vt:lpwstr/>
      </vt:variant>
      <vt:variant>
        <vt:i4>655449</vt:i4>
      </vt:variant>
      <vt:variant>
        <vt:i4>189</vt:i4>
      </vt:variant>
      <vt:variant>
        <vt:i4>0</vt:i4>
      </vt:variant>
      <vt:variant>
        <vt:i4>5</vt:i4>
      </vt:variant>
      <vt:variant>
        <vt:lpwstr>https://www.ncbi.nlm.nih.gov/pubmed/29685134</vt:lpwstr>
      </vt:variant>
      <vt:variant>
        <vt:lpwstr/>
      </vt:variant>
      <vt:variant>
        <vt:i4>93</vt:i4>
      </vt:variant>
      <vt:variant>
        <vt:i4>186</vt:i4>
      </vt:variant>
      <vt:variant>
        <vt:i4>0</vt:i4>
      </vt:variant>
      <vt:variant>
        <vt:i4>5</vt:i4>
      </vt:variant>
      <vt:variant>
        <vt:lpwstr>https://www.ncbi.nlm.nih.gov/pubmed/29545546</vt:lpwstr>
      </vt:variant>
      <vt:variant>
        <vt:lpwstr/>
      </vt:variant>
      <vt:variant>
        <vt:i4>917594</vt:i4>
      </vt:variant>
      <vt:variant>
        <vt:i4>183</vt:i4>
      </vt:variant>
      <vt:variant>
        <vt:i4>0</vt:i4>
      </vt:variant>
      <vt:variant>
        <vt:i4>5</vt:i4>
      </vt:variant>
      <vt:variant>
        <vt:lpwstr>https://www.ncbi.nlm.nih.gov/pubmed/31353024</vt:lpwstr>
      </vt:variant>
      <vt:variant>
        <vt:lpwstr/>
      </vt:variant>
      <vt:variant>
        <vt:i4>327772</vt:i4>
      </vt:variant>
      <vt:variant>
        <vt:i4>180</vt:i4>
      </vt:variant>
      <vt:variant>
        <vt:i4>0</vt:i4>
      </vt:variant>
      <vt:variant>
        <vt:i4>5</vt:i4>
      </vt:variant>
      <vt:variant>
        <vt:lpwstr>https://www.ncbi.nlm.nih.gov/pubmed/26027926</vt:lpwstr>
      </vt:variant>
      <vt:variant>
        <vt:lpwstr/>
      </vt:variant>
      <vt:variant>
        <vt:i4>524382</vt:i4>
      </vt:variant>
      <vt:variant>
        <vt:i4>177</vt:i4>
      </vt:variant>
      <vt:variant>
        <vt:i4>0</vt:i4>
      </vt:variant>
      <vt:variant>
        <vt:i4>5</vt:i4>
      </vt:variant>
      <vt:variant>
        <vt:lpwstr>https://www.ncbi.nlm.nih.gov/pubmed/31456745</vt:lpwstr>
      </vt:variant>
      <vt:variant>
        <vt:lpwstr/>
      </vt:variant>
      <vt:variant>
        <vt:i4>458847</vt:i4>
      </vt:variant>
      <vt:variant>
        <vt:i4>174</vt:i4>
      </vt:variant>
      <vt:variant>
        <vt:i4>0</vt:i4>
      </vt:variant>
      <vt:variant>
        <vt:i4>5</vt:i4>
      </vt:variant>
      <vt:variant>
        <vt:lpwstr>https://www.ncbi.nlm.nih.gov/pubmed/31354805</vt:lpwstr>
      </vt:variant>
      <vt:variant>
        <vt:lpwstr/>
      </vt:variant>
      <vt:variant>
        <vt:i4>262229</vt:i4>
      </vt:variant>
      <vt:variant>
        <vt:i4>171</vt:i4>
      </vt:variant>
      <vt:variant>
        <vt:i4>0</vt:i4>
      </vt:variant>
      <vt:variant>
        <vt:i4>5</vt:i4>
      </vt:variant>
      <vt:variant>
        <vt:lpwstr>https://www.ncbi.nlm.nih.gov/pubmed/28762296</vt:lpwstr>
      </vt:variant>
      <vt:variant>
        <vt:lpwstr/>
      </vt:variant>
      <vt:variant>
        <vt:i4>65623</vt:i4>
      </vt:variant>
      <vt:variant>
        <vt:i4>168</vt:i4>
      </vt:variant>
      <vt:variant>
        <vt:i4>0</vt:i4>
      </vt:variant>
      <vt:variant>
        <vt:i4>5</vt:i4>
      </vt:variant>
      <vt:variant>
        <vt:lpwstr>https://www.ncbi.nlm.nih.gov/pubmed/31098770</vt:lpwstr>
      </vt:variant>
      <vt:variant>
        <vt:lpwstr/>
      </vt:variant>
      <vt:variant>
        <vt:i4>131154</vt:i4>
      </vt:variant>
      <vt:variant>
        <vt:i4>165</vt:i4>
      </vt:variant>
      <vt:variant>
        <vt:i4>0</vt:i4>
      </vt:variant>
      <vt:variant>
        <vt:i4>5</vt:i4>
      </vt:variant>
      <vt:variant>
        <vt:lpwstr>https://www.ncbi.nlm.nih.gov/pubmed/16890300</vt:lpwstr>
      </vt:variant>
      <vt:variant>
        <vt:lpwstr/>
      </vt:variant>
      <vt:variant>
        <vt:i4>786525</vt:i4>
      </vt:variant>
      <vt:variant>
        <vt:i4>162</vt:i4>
      </vt:variant>
      <vt:variant>
        <vt:i4>0</vt:i4>
      </vt:variant>
      <vt:variant>
        <vt:i4>5</vt:i4>
      </vt:variant>
      <vt:variant>
        <vt:lpwstr>https://www.ncbi.nlm.nih.gov/pubmed/21167025</vt:lpwstr>
      </vt:variant>
      <vt:variant>
        <vt:lpwstr/>
      </vt:variant>
      <vt:variant>
        <vt:i4>131163</vt:i4>
      </vt:variant>
      <vt:variant>
        <vt:i4>159</vt:i4>
      </vt:variant>
      <vt:variant>
        <vt:i4>0</vt:i4>
      </vt:variant>
      <vt:variant>
        <vt:i4>5</vt:i4>
      </vt:variant>
      <vt:variant>
        <vt:lpwstr>https://www.ncbi.nlm.nih.gov/pubmed/24035873</vt:lpwstr>
      </vt:variant>
      <vt:variant>
        <vt:lpwstr/>
      </vt:variant>
      <vt:variant>
        <vt:i4>720989</vt:i4>
      </vt:variant>
      <vt:variant>
        <vt:i4>156</vt:i4>
      </vt:variant>
      <vt:variant>
        <vt:i4>0</vt:i4>
      </vt:variant>
      <vt:variant>
        <vt:i4>5</vt:i4>
      </vt:variant>
      <vt:variant>
        <vt:lpwstr>https://www.ncbi.nlm.nih.gov/pubmed/30004015</vt:lpwstr>
      </vt:variant>
      <vt:variant>
        <vt:lpwstr/>
      </vt:variant>
      <vt:variant>
        <vt:i4>655448</vt:i4>
      </vt:variant>
      <vt:variant>
        <vt:i4>153</vt:i4>
      </vt:variant>
      <vt:variant>
        <vt:i4>0</vt:i4>
      </vt:variant>
      <vt:variant>
        <vt:i4>5</vt:i4>
      </vt:variant>
      <vt:variant>
        <vt:lpwstr>https://www.ncbi.nlm.nih.gov/pubmed/24615726</vt:lpwstr>
      </vt:variant>
      <vt:variant>
        <vt:lpwstr/>
      </vt:variant>
      <vt:variant>
        <vt:i4>65619</vt:i4>
      </vt:variant>
      <vt:variant>
        <vt:i4>150</vt:i4>
      </vt:variant>
      <vt:variant>
        <vt:i4>0</vt:i4>
      </vt:variant>
      <vt:variant>
        <vt:i4>5</vt:i4>
      </vt:variant>
      <vt:variant>
        <vt:lpwstr>https://www.ncbi.nlm.nih.gov/pubmed/16689667</vt:lpwstr>
      </vt:variant>
      <vt:variant>
        <vt:lpwstr/>
      </vt:variant>
      <vt:variant>
        <vt:i4>983127</vt:i4>
      </vt:variant>
      <vt:variant>
        <vt:i4>147</vt:i4>
      </vt:variant>
      <vt:variant>
        <vt:i4>0</vt:i4>
      </vt:variant>
      <vt:variant>
        <vt:i4>5</vt:i4>
      </vt:variant>
      <vt:variant>
        <vt:lpwstr>https://www.ncbi.nlm.nih.gov/pubmed/24365182</vt:lpwstr>
      </vt:variant>
      <vt:variant>
        <vt:lpwstr/>
      </vt:variant>
      <vt:variant>
        <vt:i4>131160</vt:i4>
      </vt:variant>
      <vt:variant>
        <vt:i4>144</vt:i4>
      </vt:variant>
      <vt:variant>
        <vt:i4>0</vt:i4>
      </vt:variant>
      <vt:variant>
        <vt:i4>5</vt:i4>
      </vt:variant>
      <vt:variant>
        <vt:lpwstr>https://www.ncbi.nlm.nih.gov/pubmed/31323609</vt:lpwstr>
      </vt:variant>
      <vt:variant>
        <vt:lpwstr/>
      </vt:variant>
      <vt:variant>
        <vt:i4>458780</vt:i4>
      </vt:variant>
      <vt:variant>
        <vt:i4>141</vt:i4>
      </vt:variant>
      <vt:variant>
        <vt:i4>0</vt:i4>
      </vt:variant>
      <vt:variant>
        <vt:i4>5</vt:i4>
      </vt:variant>
      <vt:variant>
        <vt:lpwstr>https://doi.org/10.1186/s12263-017-0562-6</vt:lpwstr>
      </vt:variant>
      <vt:variant>
        <vt:lpwstr/>
      </vt:variant>
      <vt:variant>
        <vt:i4>262239</vt:i4>
      </vt:variant>
      <vt:variant>
        <vt:i4>138</vt:i4>
      </vt:variant>
      <vt:variant>
        <vt:i4>0</vt:i4>
      </vt:variant>
      <vt:variant>
        <vt:i4>5</vt:i4>
      </vt:variant>
      <vt:variant>
        <vt:lpwstr>https://www.ncbi.nlm.nih.gov/pubmed/27640900</vt:lpwstr>
      </vt:variant>
      <vt:variant>
        <vt:lpwstr/>
      </vt:variant>
      <vt:variant>
        <vt:i4>655450</vt:i4>
      </vt:variant>
      <vt:variant>
        <vt:i4>135</vt:i4>
      </vt:variant>
      <vt:variant>
        <vt:i4>0</vt:i4>
      </vt:variant>
      <vt:variant>
        <vt:i4>5</vt:i4>
      </vt:variant>
      <vt:variant>
        <vt:lpwstr>https://www.ncbi.nlm.nih.gov/pubmed/26027949</vt:lpwstr>
      </vt:variant>
      <vt:variant>
        <vt:lpwstr/>
      </vt:variant>
      <vt:variant>
        <vt:i4>2621536</vt:i4>
      </vt:variant>
      <vt:variant>
        <vt:i4>132</vt:i4>
      </vt:variant>
      <vt:variant>
        <vt:i4>0</vt:i4>
      </vt:variant>
      <vt:variant>
        <vt:i4>5</vt:i4>
      </vt:variant>
      <vt:variant>
        <vt:lpwstr>https://doi.org/10.1039/C9FO00690G</vt:lpwstr>
      </vt:variant>
      <vt:variant>
        <vt:lpwstr/>
      </vt:variant>
      <vt:variant>
        <vt:i4>393300</vt:i4>
      </vt:variant>
      <vt:variant>
        <vt:i4>129</vt:i4>
      </vt:variant>
      <vt:variant>
        <vt:i4>0</vt:i4>
      </vt:variant>
      <vt:variant>
        <vt:i4>5</vt:i4>
      </vt:variant>
      <vt:variant>
        <vt:lpwstr>https://www.ncbi.nlm.nih.gov/pubmed/30098544</vt:lpwstr>
      </vt:variant>
      <vt:variant>
        <vt:lpwstr/>
      </vt:variant>
      <vt:variant>
        <vt:i4>589913</vt:i4>
      </vt:variant>
      <vt:variant>
        <vt:i4>126</vt:i4>
      </vt:variant>
      <vt:variant>
        <vt:i4>0</vt:i4>
      </vt:variant>
      <vt:variant>
        <vt:i4>5</vt:i4>
      </vt:variant>
      <vt:variant>
        <vt:lpwstr>https://www.ncbi.nlm.nih.gov/pubmed/12161033</vt:lpwstr>
      </vt:variant>
      <vt:variant>
        <vt:lpwstr/>
      </vt:variant>
      <vt:variant>
        <vt:i4>6291565</vt:i4>
      </vt:variant>
      <vt:variant>
        <vt:i4>123</vt:i4>
      </vt:variant>
      <vt:variant>
        <vt:i4>0</vt:i4>
      </vt:variant>
      <vt:variant>
        <vt:i4>5</vt:i4>
      </vt:variant>
      <vt:variant>
        <vt:lpwstr>https://doi.org/10.3233/JAD-161088</vt:lpwstr>
      </vt:variant>
      <vt:variant>
        <vt:lpwstr/>
      </vt:variant>
      <vt:variant>
        <vt:i4>589918</vt:i4>
      </vt:variant>
      <vt:variant>
        <vt:i4>120</vt:i4>
      </vt:variant>
      <vt:variant>
        <vt:i4>0</vt:i4>
      </vt:variant>
      <vt:variant>
        <vt:i4>5</vt:i4>
      </vt:variant>
      <vt:variant>
        <vt:lpwstr>https://www.ncbi.nlm.nih.gov/pubmed/24333575</vt:lpwstr>
      </vt:variant>
      <vt:variant>
        <vt:lpwstr/>
      </vt:variant>
      <vt:variant>
        <vt:i4>92</vt:i4>
      </vt:variant>
      <vt:variant>
        <vt:i4>117</vt:i4>
      </vt:variant>
      <vt:variant>
        <vt:i4>0</vt:i4>
      </vt:variant>
      <vt:variant>
        <vt:i4>5</vt:i4>
      </vt:variant>
      <vt:variant>
        <vt:lpwstr>https://www.ncbi.nlm.nih.gov/pubmed/16635259</vt:lpwstr>
      </vt:variant>
      <vt:variant>
        <vt:lpwstr/>
      </vt:variant>
      <vt:variant>
        <vt:i4>720978</vt:i4>
      </vt:variant>
      <vt:variant>
        <vt:i4>114</vt:i4>
      </vt:variant>
      <vt:variant>
        <vt:i4>0</vt:i4>
      </vt:variant>
      <vt:variant>
        <vt:i4>5</vt:i4>
      </vt:variant>
      <vt:variant>
        <vt:lpwstr>https://www.ncbi.nlm.nih.gov/pubmed/31379506</vt:lpwstr>
      </vt:variant>
      <vt:variant>
        <vt:lpwstr/>
      </vt:variant>
      <vt:variant>
        <vt:i4>589909</vt:i4>
      </vt:variant>
      <vt:variant>
        <vt:i4>111</vt:i4>
      </vt:variant>
      <vt:variant>
        <vt:i4>0</vt:i4>
      </vt:variant>
      <vt:variant>
        <vt:i4>5</vt:i4>
      </vt:variant>
      <vt:variant>
        <vt:lpwstr>https://www.ncbi.nlm.nih.gov/pubmed/29867038</vt:lpwstr>
      </vt:variant>
      <vt:variant>
        <vt:lpwstr/>
      </vt:variant>
      <vt:variant>
        <vt:i4>196689</vt:i4>
      </vt:variant>
      <vt:variant>
        <vt:i4>108</vt:i4>
      </vt:variant>
      <vt:variant>
        <vt:i4>0</vt:i4>
      </vt:variant>
      <vt:variant>
        <vt:i4>5</vt:i4>
      </vt:variant>
      <vt:variant>
        <vt:lpwstr>https://www.ncbi.nlm.nih.gov/pubmed/31857069</vt:lpwstr>
      </vt:variant>
      <vt:variant>
        <vt:lpwstr/>
      </vt:variant>
      <vt:variant>
        <vt:i4>7209011</vt:i4>
      </vt:variant>
      <vt:variant>
        <vt:i4>105</vt:i4>
      </vt:variant>
      <vt:variant>
        <vt:i4>0</vt:i4>
      </vt:variant>
      <vt:variant>
        <vt:i4>5</vt:i4>
      </vt:variant>
      <vt:variant>
        <vt:lpwstr>https://doi.org/10.1038/nature09965</vt:lpwstr>
      </vt:variant>
      <vt:variant>
        <vt:lpwstr/>
      </vt:variant>
      <vt:variant>
        <vt:i4>589912</vt:i4>
      </vt:variant>
      <vt:variant>
        <vt:i4>102</vt:i4>
      </vt:variant>
      <vt:variant>
        <vt:i4>0</vt:i4>
      </vt:variant>
      <vt:variant>
        <vt:i4>5</vt:i4>
      </vt:variant>
      <vt:variant>
        <vt:lpwstr>https://www.ncbi.nlm.nih.gov/pubmed/21423165</vt:lpwstr>
      </vt:variant>
      <vt:variant>
        <vt:lpwstr/>
      </vt:variant>
      <vt:variant>
        <vt:i4>524368</vt:i4>
      </vt:variant>
      <vt:variant>
        <vt:i4>99</vt:i4>
      </vt:variant>
      <vt:variant>
        <vt:i4>0</vt:i4>
      </vt:variant>
      <vt:variant>
        <vt:i4>5</vt:i4>
      </vt:variant>
      <vt:variant>
        <vt:lpwstr>https://www.ncbi.nlm.nih.gov/pubmed/31061091</vt:lpwstr>
      </vt:variant>
      <vt:variant>
        <vt:lpwstr/>
      </vt:variant>
      <vt:variant>
        <vt:i4>3735650</vt:i4>
      </vt:variant>
      <vt:variant>
        <vt:i4>96</vt:i4>
      </vt:variant>
      <vt:variant>
        <vt:i4>0</vt:i4>
      </vt:variant>
      <vt:variant>
        <vt:i4>5</vt:i4>
      </vt:variant>
      <vt:variant>
        <vt:lpwstr>https://doi.org/10.1016/j.pnpbp.2018.09.012</vt:lpwstr>
      </vt:variant>
      <vt:variant>
        <vt:lpwstr/>
      </vt:variant>
      <vt:variant>
        <vt:i4>852048</vt:i4>
      </vt:variant>
      <vt:variant>
        <vt:i4>93</vt:i4>
      </vt:variant>
      <vt:variant>
        <vt:i4>0</vt:i4>
      </vt:variant>
      <vt:variant>
        <vt:i4>5</vt:i4>
      </vt:variant>
      <vt:variant>
        <vt:lpwstr>https://www.ncbi.nlm.nih.gov/pubmed/18068825</vt:lpwstr>
      </vt:variant>
      <vt:variant>
        <vt:lpwstr/>
      </vt:variant>
      <vt:variant>
        <vt:i4>393243</vt:i4>
      </vt:variant>
      <vt:variant>
        <vt:i4>90</vt:i4>
      </vt:variant>
      <vt:variant>
        <vt:i4>0</vt:i4>
      </vt:variant>
      <vt:variant>
        <vt:i4>5</vt:i4>
      </vt:variant>
      <vt:variant>
        <vt:lpwstr>https://doi.org/10.1007/s12035-013-8570-z</vt:lpwstr>
      </vt:variant>
      <vt:variant>
        <vt:lpwstr/>
      </vt:variant>
      <vt:variant>
        <vt:i4>2424884</vt:i4>
      </vt:variant>
      <vt:variant>
        <vt:i4>87</vt:i4>
      </vt:variant>
      <vt:variant>
        <vt:i4>0</vt:i4>
      </vt:variant>
      <vt:variant>
        <vt:i4>5</vt:i4>
      </vt:variant>
      <vt:variant>
        <vt:lpwstr>https://doi.org/10.1038/s41598-018-29780-1</vt:lpwstr>
      </vt:variant>
      <vt:variant>
        <vt:lpwstr/>
      </vt:variant>
      <vt:variant>
        <vt:i4>3735654</vt:i4>
      </vt:variant>
      <vt:variant>
        <vt:i4>84</vt:i4>
      </vt:variant>
      <vt:variant>
        <vt:i4>0</vt:i4>
      </vt:variant>
      <vt:variant>
        <vt:i4>5</vt:i4>
      </vt:variant>
      <vt:variant>
        <vt:lpwstr>https://www.ncbi.nlm.nih.gov/pubmed/8869369</vt:lpwstr>
      </vt:variant>
      <vt:variant>
        <vt:lpwstr/>
      </vt:variant>
      <vt:variant>
        <vt:i4>786519</vt:i4>
      </vt:variant>
      <vt:variant>
        <vt:i4>81</vt:i4>
      </vt:variant>
      <vt:variant>
        <vt:i4>0</vt:i4>
      </vt:variant>
      <vt:variant>
        <vt:i4>5</vt:i4>
      </vt:variant>
      <vt:variant>
        <vt:lpwstr>https://www.ncbi.nlm.nih.gov/pubmed/19580685</vt:lpwstr>
      </vt:variant>
      <vt:variant>
        <vt:lpwstr/>
      </vt:variant>
      <vt:variant>
        <vt:i4>327760</vt:i4>
      </vt:variant>
      <vt:variant>
        <vt:i4>78</vt:i4>
      </vt:variant>
      <vt:variant>
        <vt:i4>0</vt:i4>
      </vt:variant>
      <vt:variant>
        <vt:i4>5</vt:i4>
      </vt:variant>
      <vt:variant>
        <vt:lpwstr>https://www.ncbi.nlm.nih.gov/pubmed/29619162</vt:lpwstr>
      </vt:variant>
      <vt:variant>
        <vt:lpwstr/>
      </vt:variant>
      <vt:variant>
        <vt:i4>852059</vt:i4>
      </vt:variant>
      <vt:variant>
        <vt:i4>75</vt:i4>
      </vt:variant>
      <vt:variant>
        <vt:i4>0</vt:i4>
      </vt:variant>
      <vt:variant>
        <vt:i4>5</vt:i4>
      </vt:variant>
      <vt:variant>
        <vt:lpwstr>https://www.ncbi.nlm.nih.gov/pubmed/16356646</vt:lpwstr>
      </vt:variant>
      <vt:variant>
        <vt:lpwstr/>
      </vt:variant>
      <vt:variant>
        <vt:i4>89</vt:i4>
      </vt:variant>
      <vt:variant>
        <vt:i4>72</vt:i4>
      </vt:variant>
      <vt:variant>
        <vt:i4>0</vt:i4>
      </vt:variant>
      <vt:variant>
        <vt:i4>5</vt:i4>
      </vt:variant>
      <vt:variant>
        <vt:lpwstr>https://www.ncbi.nlm.nih.gov/pubmed/26989707</vt:lpwstr>
      </vt:variant>
      <vt:variant>
        <vt:lpwstr/>
      </vt:variant>
      <vt:variant>
        <vt:i4>917593</vt:i4>
      </vt:variant>
      <vt:variant>
        <vt:i4>69</vt:i4>
      </vt:variant>
      <vt:variant>
        <vt:i4>0</vt:i4>
      </vt:variant>
      <vt:variant>
        <vt:i4>5</vt:i4>
      </vt:variant>
      <vt:variant>
        <vt:lpwstr>https://www.ncbi.nlm.nih.gov/pubmed/26403076</vt:lpwstr>
      </vt:variant>
      <vt:variant>
        <vt:lpwstr/>
      </vt:variant>
      <vt:variant>
        <vt:i4>88</vt:i4>
      </vt:variant>
      <vt:variant>
        <vt:i4>66</vt:i4>
      </vt:variant>
      <vt:variant>
        <vt:i4>0</vt:i4>
      </vt:variant>
      <vt:variant>
        <vt:i4>5</vt:i4>
      </vt:variant>
      <vt:variant>
        <vt:lpwstr>https://www.ncbi.nlm.nih.gov/pubmed/15741748</vt:lpwstr>
      </vt:variant>
      <vt:variant>
        <vt:lpwstr/>
      </vt:variant>
      <vt:variant>
        <vt:i4>458837</vt:i4>
      </vt:variant>
      <vt:variant>
        <vt:i4>63</vt:i4>
      </vt:variant>
      <vt:variant>
        <vt:i4>0</vt:i4>
      </vt:variant>
      <vt:variant>
        <vt:i4>5</vt:i4>
      </vt:variant>
      <vt:variant>
        <vt:lpwstr>https://www.ncbi.nlm.nih.gov/pubmed/21882363</vt:lpwstr>
      </vt:variant>
      <vt:variant>
        <vt:lpwstr/>
      </vt:variant>
      <vt:variant>
        <vt:i4>393304</vt:i4>
      </vt:variant>
      <vt:variant>
        <vt:i4>60</vt:i4>
      </vt:variant>
      <vt:variant>
        <vt:i4>0</vt:i4>
      </vt:variant>
      <vt:variant>
        <vt:i4>5</vt:i4>
      </vt:variant>
      <vt:variant>
        <vt:lpwstr>https://www.ncbi.nlm.nih.gov/pubmed/19174472</vt:lpwstr>
      </vt:variant>
      <vt:variant>
        <vt:lpwstr/>
      </vt:variant>
      <vt:variant>
        <vt:i4>6291510</vt:i4>
      </vt:variant>
      <vt:variant>
        <vt:i4>57</vt:i4>
      </vt:variant>
      <vt:variant>
        <vt:i4>0</vt:i4>
      </vt:variant>
      <vt:variant>
        <vt:i4>5</vt:i4>
      </vt:variant>
      <vt:variant>
        <vt:lpwstr>https://doi.org/10.1038/s41598-018-23703-w</vt:lpwstr>
      </vt:variant>
      <vt:variant>
        <vt:lpwstr/>
      </vt:variant>
      <vt:variant>
        <vt:i4>786518</vt:i4>
      </vt:variant>
      <vt:variant>
        <vt:i4>54</vt:i4>
      </vt:variant>
      <vt:variant>
        <vt:i4>0</vt:i4>
      </vt:variant>
      <vt:variant>
        <vt:i4>5</vt:i4>
      </vt:variant>
      <vt:variant>
        <vt:lpwstr>https://www.ncbi.nlm.nih.gov/pubmed/32209454</vt:lpwstr>
      </vt:variant>
      <vt:variant>
        <vt:lpwstr/>
      </vt:variant>
      <vt:variant>
        <vt:i4>655449</vt:i4>
      </vt:variant>
      <vt:variant>
        <vt:i4>51</vt:i4>
      </vt:variant>
      <vt:variant>
        <vt:i4>0</vt:i4>
      </vt:variant>
      <vt:variant>
        <vt:i4>5</vt:i4>
      </vt:variant>
      <vt:variant>
        <vt:lpwstr>https://www.ncbi.nlm.nih.gov/pubmed/29685134</vt:lpwstr>
      </vt:variant>
      <vt:variant>
        <vt:lpwstr/>
      </vt:variant>
      <vt:variant>
        <vt:i4>93</vt:i4>
      </vt:variant>
      <vt:variant>
        <vt:i4>48</vt:i4>
      </vt:variant>
      <vt:variant>
        <vt:i4>0</vt:i4>
      </vt:variant>
      <vt:variant>
        <vt:i4>5</vt:i4>
      </vt:variant>
      <vt:variant>
        <vt:lpwstr>https://www.ncbi.nlm.nih.gov/pubmed/29545546</vt:lpwstr>
      </vt:variant>
      <vt:variant>
        <vt:lpwstr/>
      </vt:variant>
      <vt:variant>
        <vt:i4>917594</vt:i4>
      </vt:variant>
      <vt:variant>
        <vt:i4>45</vt:i4>
      </vt:variant>
      <vt:variant>
        <vt:i4>0</vt:i4>
      </vt:variant>
      <vt:variant>
        <vt:i4>5</vt:i4>
      </vt:variant>
      <vt:variant>
        <vt:lpwstr>https://www.ncbi.nlm.nih.gov/pubmed/31353024</vt:lpwstr>
      </vt:variant>
      <vt:variant>
        <vt:lpwstr/>
      </vt:variant>
      <vt:variant>
        <vt:i4>327772</vt:i4>
      </vt:variant>
      <vt:variant>
        <vt:i4>42</vt:i4>
      </vt:variant>
      <vt:variant>
        <vt:i4>0</vt:i4>
      </vt:variant>
      <vt:variant>
        <vt:i4>5</vt:i4>
      </vt:variant>
      <vt:variant>
        <vt:lpwstr>https://www.ncbi.nlm.nih.gov/pubmed/26027926</vt:lpwstr>
      </vt:variant>
      <vt:variant>
        <vt:lpwstr/>
      </vt:variant>
      <vt:variant>
        <vt:i4>524382</vt:i4>
      </vt:variant>
      <vt:variant>
        <vt:i4>39</vt:i4>
      </vt:variant>
      <vt:variant>
        <vt:i4>0</vt:i4>
      </vt:variant>
      <vt:variant>
        <vt:i4>5</vt:i4>
      </vt:variant>
      <vt:variant>
        <vt:lpwstr>https://www.ncbi.nlm.nih.gov/pubmed/31456745</vt:lpwstr>
      </vt:variant>
      <vt:variant>
        <vt:lpwstr/>
      </vt:variant>
      <vt:variant>
        <vt:i4>458847</vt:i4>
      </vt:variant>
      <vt:variant>
        <vt:i4>36</vt:i4>
      </vt:variant>
      <vt:variant>
        <vt:i4>0</vt:i4>
      </vt:variant>
      <vt:variant>
        <vt:i4>5</vt:i4>
      </vt:variant>
      <vt:variant>
        <vt:lpwstr>https://www.ncbi.nlm.nih.gov/pubmed/31354805</vt:lpwstr>
      </vt:variant>
      <vt:variant>
        <vt:lpwstr/>
      </vt:variant>
      <vt:variant>
        <vt:i4>262229</vt:i4>
      </vt:variant>
      <vt:variant>
        <vt:i4>33</vt:i4>
      </vt:variant>
      <vt:variant>
        <vt:i4>0</vt:i4>
      </vt:variant>
      <vt:variant>
        <vt:i4>5</vt:i4>
      </vt:variant>
      <vt:variant>
        <vt:lpwstr>https://www.ncbi.nlm.nih.gov/pubmed/28762296</vt:lpwstr>
      </vt:variant>
      <vt:variant>
        <vt:lpwstr/>
      </vt:variant>
      <vt:variant>
        <vt:i4>65623</vt:i4>
      </vt:variant>
      <vt:variant>
        <vt:i4>30</vt:i4>
      </vt:variant>
      <vt:variant>
        <vt:i4>0</vt:i4>
      </vt:variant>
      <vt:variant>
        <vt:i4>5</vt:i4>
      </vt:variant>
      <vt:variant>
        <vt:lpwstr>https://www.ncbi.nlm.nih.gov/pubmed/31098770</vt:lpwstr>
      </vt:variant>
      <vt:variant>
        <vt:lpwstr/>
      </vt:variant>
      <vt:variant>
        <vt:i4>131154</vt:i4>
      </vt:variant>
      <vt:variant>
        <vt:i4>27</vt:i4>
      </vt:variant>
      <vt:variant>
        <vt:i4>0</vt:i4>
      </vt:variant>
      <vt:variant>
        <vt:i4>5</vt:i4>
      </vt:variant>
      <vt:variant>
        <vt:lpwstr>https://www.ncbi.nlm.nih.gov/pubmed/16890300</vt:lpwstr>
      </vt:variant>
      <vt:variant>
        <vt:lpwstr/>
      </vt:variant>
      <vt:variant>
        <vt:i4>786525</vt:i4>
      </vt:variant>
      <vt:variant>
        <vt:i4>24</vt:i4>
      </vt:variant>
      <vt:variant>
        <vt:i4>0</vt:i4>
      </vt:variant>
      <vt:variant>
        <vt:i4>5</vt:i4>
      </vt:variant>
      <vt:variant>
        <vt:lpwstr>https://www.ncbi.nlm.nih.gov/pubmed/21167025</vt:lpwstr>
      </vt:variant>
      <vt:variant>
        <vt:lpwstr/>
      </vt:variant>
      <vt:variant>
        <vt:i4>131163</vt:i4>
      </vt:variant>
      <vt:variant>
        <vt:i4>21</vt:i4>
      </vt:variant>
      <vt:variant>
        <vt:i4>0</vt:i4>
      </vt:variant>
      <vt:variant>
        <vt:i4>5</vt:i4>
      </vt:variant>
      <vt:variant>
        <vt:lpwstr>https://www.ncbi.nlm.nih.gov/pubmed/24035873</vt:lpwstr>
      </vt:variant>
      <vt:variant>
        <vt:lpwstr/>
      </vt:variant>
      <vt:variant>
        <vt:i4>720989</vt:i4>
      </vt:variant>
      <vt:variant>
        <vt:i4>18</vt:i4>
      </vt:variant>
      <vt:variant>
        <vt:i4>0</vt:i4>
      </vt:variant>
      <vt:variant>
        <vt:i4>5</vt:i4>
      </vt:variant>
      <vt:variant>
        <vt:lpwstr>https://www.ncbi.nlm.nih.gov/pubmed/30004015</vt:lpwstr>
      </vt:variant>
      <vt:variant>
        <vt:lpwstr/>
      </vt:variant>
      <vt:variant>
        <vt:i4>655448</vt:i4>
      </vt:variant>
      <vt:variant>
        <vt:i4>15</vt:i4>
      </vt:variant>
      <vt:variant>
        <vt:i4>0</vt:i4>
      </vt:variant>
      <vt:variant>
        <vt:i4>5</vt:i4>
      </vt:variant>
      <vt:variant>
        <vt:lpwstr>https://www.ncbi.nlm.nih.gov/pubmed/24615726</vt:lpwstr>
      </vt:variant>
      <vt:variant>
        <vt:lpwstr/>
      </vt:variant>
      <vt:variant>
        <vt:i4>65619</vt:i4>
      </vt:variant>
      <vt:variant>
        <vt:i4>12</vt:i4>
      </vt:variant>
      <vt:variant>
        <vt:i4>0</vt:i4>
      </vt:variant>
      <vt:variant>
        <vt:i4>5</vt:i4>
      </vt:variant>
      <vt:variant>
        <vt:lpwstr>https://www.ncbi.nlm.nih.gov/pubmed/16689667</vt:lpwstr>
      </vt:variant>
      <vt:variant>
        <vt:lpwstr/>
      </vt:variant>
      <vt:variant>
        <vt:i4>196698</vt:i4>
      </vt:variant>
      <vt:variant>
        <vt:i4>9</vt:i4>
      </vt:variant>
      <vt:variant>
        <vt:i4>0</vt:i4>
      </vt:variant>
      <vt:variant>
        <vt:i4>5</vt:i4>
      </vt:variant>
      <vt:variant>
        <vt:lpwstr>https://www.ncbi.nlm.nih.gov/pubmed/24400970</vt:lpwstr>
      </vt:variant>
      <vt:variant>
        <vt:lpwstr/>
      </vt:variant>
      <vt:variant>
        <vt:i4>7995450</vt:i4>
      </vt:variant>
      <vt:variant>
        <vt:i4>6</vt:i4>
      </vt:variant>
      <vt:variant>
        <vt:i4>0</vt:i4>
      </vt:variant>
      <vt:variant>
        <vt:i4>5</vt:i4>
      </vt:variant>
      <vt:variant>
        <vt:lpwstr>https://www.sciencedirect.com/topics/medicine-and-dentistry/compulsive-behavior</vt:lpwstr>
      </vt:variant>
      <vt:variant>
        <vt:lpwstr/>
      </vt:variant>
      <vt:variant>
        <vt:i4>2621551</vt:i4>
      </vt:variant>
      <vt:variant>
        <vt:i4>3</vt:i4>
      </vt:variant>
      <vt:variant>
        <vt:i4>0</vt:i4>
      </vt:variant>
      <vt:variant>
        <vt:i4>5</vt:i4>
      </vt:variant>
      <vt:variant>
        <vt:lpwstr>https://www.random.org/</vt:lpwstr>
      </vt:variant>
      <vt:variant>
        <vt:lpwstr/>
      </vt:variant>
      <vt:variant>
        <vt:i4>327806</vt:i4>
      </vt:variant>
      <vt:variant>
        <vt:i4>0</vt:i4>
      </vt:variant>
      <vt:variant>
        <vt:i4>0</vt:i4>
      </vt:variant>
      <vt:variant>
        <vt:i4>5</vt:i4>
      </vt:variant>
      <vt:variant>
        <vt:lpwstr>mailto:felipe@histo.ufrj.br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Lemos</dc:creator>
  <cp:keywords/>
  <dc:description/>
  <cp:lastModifiedBy>Felipe Leite de Oliveira</cp:lastModifiedBy>
  <cp:revision>4</cp:revision>
  <dcterms:created xsi:type="dcterms:W3CDTF">2021-01-09T03:09:00Z</dcterms:created>
  <dcterms:modified xsi:type="dcterms:W3CDTF">2021-01-09T03:24:00Z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zotero-version="5.0.80"&gt;&lt;session id="qRxyUbch"/&gt;&lt;style id="http://www.zotero.org/styles/brain-behavior-and-immunity" hasBibliography="1" bibliographyStyleHasBeenSet="1"/&gt;&lt;prefs&gt;&lt;pref name="fieldType" value="Field"/&gt;&lt;/prefs&gt;&lt;/data&gt;</vt:lpwstr>
  </property>
</Properties>
</file>