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1"/>
        <w:spacing w:after="120" w:line="312" w:lineRule="auto"/>
        <w:jc w:val="center"/>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Outcome of Pulpotomy in Permanent Teeth with Irreversible Pulpitis: A Systematic Review and Meta-Analysis</w:t>
      </w:r>
    </w:p>
    <w:p w:rsidR="00000000" w:rsidDel="00000000" w:rsidP="00000000" w:rsidRDefault="00000000" w:rsidRPr="00000000" w14:paraId="00000002">
      <w:pPr>
        <w:widowControl w:val="1"/>
        <w:spacing w:after="120" w:line="312" w:lineRule="auto"/>
        <w:jc w:val="center"/>
        <w:rPr>
          <w:rFonts w:ascii="Helvetica Neue" w:cs="Helvetica Neue" w:eastAsia="Helvetica Neue" w:hAnsi="Helvetica Neue"/>
          <w:b w:val="1"/>
          <w:sz w:val="24"/>
          <w:szCs w:val="24"/>
        </w:rPr>
      </w:pPr>
      <w:r w:rsidDel="00000000" w:rsidR="00000000" w:rsidRPr="00000000">
        <w:rPr>
          <w:rtl w:val="0"/>
        </w:rPr>
      </w:r>
    </w:p>
    <w:p w:rsidR="00000000" w:rsidDel="00000000" w:rsidP="00000000" w:rsidRDefault="00000000" w:rsidRPr="00000000" w14:paraId="00000003">
      <w:pPr>
        <w:widowControl w:val="1"/>
        <w:spacing w:after="120" w:line="312" w:lineRule="auto"/>
        <w:jc w:val="center"/>
        <w:rPr/>
      </w:pPr>
      <w:r w:rsidDel="00000000" w:rsidR="00000000" w:rsidRPr="00000000">
        <w:rPr>
          <w:rtl w:val="0"/>
        </w:rPr>
        <w:t xml:space="preserve">Amber Ather, BDS, DDS, MS</w:t>
      </w:r>
      <w:r w:rsidDel="00000000" w:rsidR="00000000" w:rsidRPr="00000000">
        <w:rPr>
          <w:vertAlign w:val="superscript"/>
          <w:rtl w:val="0"/>
        </w:rPr>
        <w:t xml:space="preserve">1</w:t>
      </w:r>
      <w:r w:rsidDel="00000000" w:rsidR="00000000" w:rsidRPr="00000000">
        <w:rPr>
          <w:rtl w:val="0"/>
        </w:rPr>
        <w:t xml:space="preserve">, Biraj Patel BDS, MS</w:t>
      </w:r>
      <w:r w:rsidDel="00000000" w:rsidR="00000000" w:rsidRPr="00000000">
        <w:rPr>
          <w:vertAlign w:val="superscript"/>
          <w:rtl w:val="0"/>
        </w:rPr>
        <w:t xml:space="preserve">2</w:t>
      </w:r>
      <w:r w:rsidDel="00000000" w:rsidR="00000000" w:rsidRPr="00000000">
        <w:rPr>
          <w:rtl w:val="0"/>
        </w:rPr>
        <w:t xml:space="preserve">, Jonathan A. L. Gelfond, MD, PhD</w:t>
      </w:r>
      <w:r w:rsidDel="00000000" w:rsidR="00000000" w:rsidRPr="00000000">
        <w:rPr>
          <w:vertAlign w:val="superscript"/>
          <w:rtl w:val="0"/>
        </w:rPr>
        <w:t xml:space="preserve">3</w:t>
      </w:r>
      <w:r w:rsidDel="00000000" w:rsidR="00000000" w:rsidRPr="00000000">
        <w:rPr>
          <w:rtl w:val="0"/>
        </w:rPr>
        <w:t xml:space="preserve">, Nikita B. Ruparel, MS, DDS, PhD</w:t>
      </w:r>
      <w:r w:rsidDel="00000000" w:rsidR="00000000" w:rsidRPr="00000000">
        <w:rPr>
          <w:vertAlign w:val="superscript"/>
          <w:rtl w:val="0"/>
        </w:rPr>
        <w:t xml:space="preserve">2</w:t>
      </w:r>
      <w:r w:rsidDel="00000000" w:rsidR="00000000" w:rsidRPr="00000000">
        <w:rPr>
          <w:rtl w:val="0"/>
        </w:rPr>
        <w:t xml:space="preserve">*</w:t>
      </w:r>
    </w:p>
    <w:p w:rsidR="00000000" w:rsidDel="00000000" w:rsidP="00000000" w:rsidRDefault="00000000" w:rsidRPr="00000000" w14:paraId="00000004">
      <w:pPr>
        <w:widowControl w:val="1"/>
        <w:spacing w:after="120" w:line="312" w:lineRule="auto"/>
        <w:jc w:val="cente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vertAlign w:val="superscript"/>
          <w:rtl w:val="0"/>
        </w:rPr>
        <w:t xml:space="preserve">1 </w:t>
      </w:r>
      <w:r w:rsidDel="00000000" w:rsidR="00000000" w:rsidRPr="00000000">
        <w:rPr>
          <w:rFonts w:ascii="Helvetica Neue" w:cs="Helvetica Neue" w:eastAsia="Helvetica Neue" w:hAnsi="Helvetica Neue"/>
          <w:sz w:val="20"/>
          <w:szCs w:val="20"/>
          <w:rtl w:val="0"/>
        </w:rPr>
        <w:t xml:space="preserve">Department of Endodontics, Virginia Commonwealth University School of Dentistry, Richmond, Virginia 23298</w:t>
      </w:r>
    </w:p>
    <w:p w:rsidR="00000000" w:rsidDel="00000000" w:rsidP="00000000" w:rsidRDefault="00000000" w:rsidRPr="00000000" w14:paraId="00000005">
      <w:pPr>
        <w:widowControl w:val="1"/>
        <w:spacing w:after="120" w:line="312" w:lineRule="auto"/>
        <w:jc w:val="cente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vertAlign w:val="superscript"/>
          <w:rtl w:val="0"/>
        </w:rPr>
        <w:t xml:space="preserve">2</w:t>
      </w:r>
      <w:r w:rsidDel="00000000" w:rsidR="00000000" w:rsidRPr="00000000">
        <w:rPr>
          <w:rFonts w:ascii="Helvetica Neue" w:cs="Helvetica Neue" w:eastAsia="Helvetica Neue" w:hAnsi="Helvetica Neue"/>
          <w:sz w:val="20"/>
          <w:szCs w:val="20"/>
          <w:rtl w:val="0"/>
        </w:rPr>
        <w:t xml:space="preserve"> Department of Endodontics, University of Texas Health Science Center at San Antonio, San Antonio, Texas 78229</w:t>
      </w:r>
    </w:p>
    <w:p w:rsidR="00000000" w:rsidDel="00000000" w:rsidP="00000000" w:rsidRDefault="00000000" w:rsidRPr="00000000" w14:paraId="00000006">
      <w:pPr>
        <w:widowControl w:val="1"/>
        <w:spacing w:after="120" w:line="312" w:lineRule="auto"/>
        <w:jc w:val="center"/>
        <w:rPr>
          <w:rFonts w:ascii="Helvetica Neue" w:cs="Helvetica Neue" w:eastAsia="Helvetica Neue" w:hAnsi="Helvetica Neue"/>
          <w:sz w:val="20"/>
          <w:szCs w:val="20"/>
        </w:rPr>
      </w:pPr>
      <w:bookmarkStart w:colFirst="0" w:colLast="0" w:name="_heading=h.gjdgxs" w:id="0"/>
      <w:bookmarkEnd w:id="0"/>
      <w:r w:rsidDel="00000000" w:rsidR="00000000" w:rsidRPr="00000000">
        <w:rPr>
          <w:rFonts w:ascii="Helvetica Neue" w:cs="Helvetica Neue" w:eastAsia="Helvetica Neue" w:hAnsi="Helvetica Neue"/>
          <w:sz w:val="20"/>
          <w:szCs w:val="20"/>
          <w:vertAlign w:val="superscript"/>
          <w:rtl w:val="0"/>
        </w:rPr>
        <w:t xml:space="preserve">3</w:t>
      </w:r>
      <w:r w:rsidDel="00000000" w:rsidR="00000000" w:rsidRPr="00000000">
        <w:rPr>
          <w:rFonts w:ascii="Helvetica Neue" w:cs="Helvetica Neue" w:eastAsia="Helvetica Neue" w:hAnsi="Helvetica Neue"/>
          <w:sz w:val="20"/>
          <w:szCs w:val="20"/>
          <w:vertAlign w:val="superscript"/>
          <w:rtl w:val="0"/>
        </w:rPr>
        <w:t xml:space="preserve"> </w:t>
      </w:r>
      <w:r w:rsidDel="00000000" w:rsidR="00000000" w:rsidRPr="00000000">
        <w:rPr>
          <w:sz w:val="20"/>
          <w:szCs w:val="20"/>
          <w:highlight w:val="white"/>
          <w:rtl w:val="0"/>
        </w:rPr>
        <w:t xml:space="preserve">Department of Population Health Sciences, UT Health San Antonio, 7703 Floyd Curl Drive, San Antonio, TX 78229</w:t>
      </w:r>
      <w:r w:rsidDel="00000000" w:rsidR="00000000" w:rsidRPr="00000000">
        <w:rPr>
          <w:rtl w:val="0"/>
        </w:rPr>
      </w:r>
    </w:p>
    <w:p w:rsidR="00000000" w:rsidDel="00000000" w:rsidP="00000000" w:rsidRDefault="00000000" w:rsidRPr="00000000" w14:paraId="00000007">
      <w:pPr>
        <w:widowControl w:val="1"/>
        <w:spacing w:after="120" w:line="312" w:lineRule="auto"/>
        <w:jc w:val="left"/>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8">
      <w:pPr>
        <w:widowControl w:val="1"/>
        <w:spacing w:after="120" w:line="312" w:lineRule="auto"/>
        <w:jc w:val="cente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9">
      <w:pPr>
        <w:widowControl w:val="1"/>
        <w:rPr>
          <w:rFonts w:ascii="Helvetica Neue" w:cs="Helvetica Neue" w:eastAsia="Helvetica Neue" w:hAnsi="Helvetica Neue"/>
          <w:sz w:val="16"/>
          <w:szCs w:val="16"/>
        </w:rPr>
      </w:pPr>
      <w:r w:rsidDel="00000000" w:rsidR="00000000" w:rsidRPr="00000000">
        <w:rPr>
          <w:rtl w:val="0"/>
        </w:rPr>
      </w:r>
    </w:p>
    <w:p w:rsidR="00000000" w:rsidDel="00000000" w:rsidP="00000000" w:rsidRDefault="00000000" w:rsidRPr="00000000" w14:paraId="0000000A">
      <w:pPr>
        <w:spacing w:after="120" w:line="312" w:lineRule="auto"/>
        <w:ind w:right="2"/>
        <w:jc w:val="cente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Running title</w:t>
      </w:r>
      <w:r w:rsidDel="00000000" w:rsidR="00000000" w:rsidRPr="00000000">
        <w:rPr>
          <w:rFonts w:ascii="Helvetica Neue" w:cs="Helvetica Neue" w:eastAsia="Helvetica Neue" w:hAnsi="Helvetica Neue"/>
          <w:sz w:val="20"/>
          <w:szCs w:val="20"/>
          <w:rtl w:val="0"/>
        </w:rPr>
        <w:t xml:space="preserve">: Pulpotomy in teeth with irreversible pulpitis</w:t>
      </w:r>
    </w:p>
    <w:p w:rsidR="00000000" w:rsidDel="00000000" w:rsidP="00000000" w:rsidRDefault="00000000" w:rsidRPr="00000000" w14:paraId="0000000B">
      <w:pPr>
        <w:spacing w:after="120" w:line="312" w:lineRule="auto"/>
        <w:ind w:right="2"/>
        <w:jc w:val="cente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C">
      <w:pPr>
        <w:widowControl w:val="1"/>
        <w:spacing w:after="120" w:lineRule="auto"/>
        <w:jc w:val="center"/>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*Corresponding Author:</w:t>
      </w:r>
    </w:p>
    <w:p w:rsidR="00000000" w:rsidDel="00000000" w:rsidP="00000000" w:rsidRDefault="00000000" w:rsidRPr="00000000" w14:paraId="0000000D">
      <w:pPr>
        <w:widowControl w:val="1"/>
        <w:spacing w:after="120" w:line="312" w:lineRule="auto"/>
        <w:jc w:val="cente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Nikita Ruparel</w:t>
      </w:r>
    </w:p>
    <w:p w:rsidR="00000000" w:rsidDel="00000000" w:rsidP="00000000" w:rsidRDefault="00000000" w:rsidRPr="00000000" w14:paraId="0000000E">
      <w:pPr>
        <w:widowControl w:val="1"/>
        <w:spacing w:after="120" w:line="312" w:lineRule="auto"/>
        <w:jc w:val="cente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Department of Endodontics, University of Texas Health Science Center at San Antonio, 7703 Floyd Curl Dr,  San Antonio, Texas 78229</w:t>
      </w:r>
    </w:p>
    <w:p w:rsidR="00000000" w:rsidDel="00000000" w:rsidP="00000000" w:rsidRDefault="00000000" w:rsidRPr="00000000" w14:paraId="0000000F">
      <w:pPr>
        <w:widowControl w:val="1"/>
        <w:spacing w:after="120" w:lineRule="auto"/>
        <w:jc w:val="center"/>
        <w:rPr>
          <w:rFonts w:ascii="Helvetica Neue" w:cs="Helvetica Neue" w:eastAsia="Helvetica Neue" w:hAnsi="Helvetica Neue"/>
          <w:color w:val="1155cc"/>
          <w:sz w:val="20"/>
          <w:szCs w:val="20"/>
          <w:u w:val="single"/>
        </w:rPr>
      </w:pPr>
      <w:r w:rsidDel="00000000" w:rsidR="00000000" w:rsidRPr="00000000">
        <w:rPr>
          <w:rFonts w:ascii="Helvetica Neue" w:cs="Helvetica Neue" w:eastAsia="Helvetica Neue" w:hAnsi="Helvetica Neue"/>
          <w:sz w:val="20"/>
          <w:szCs w:val="20"/>
          <w:rtl w:val="0"/>
        </w:rPr>
        <w:t xml:space="preserve">Phone: (210)-567-3396; Fax: not available; E-mail: </w:t>
      </w:r>
      <w:hyperlink r:id="rId7">
        <w:r w:rsidDel="00000000" w:rsidR="00000000" w:rsidRPr="00000000">
          <w:rPr>
            <w:rFonts w:ascii="Helvetica Neue" w:cs="Helvetica Neue" w:eastAsia="Helvetica Neue" w:hAnsi="Helvetica Neue"/>
            <w:color w:val="0563c1"/>
            <w:sz w:val="20"/>
            <w:szCs w:val="20"/>
            <w:u w:val="single"/>
            <w:rtl w:val="0"/>
          </w:rPr>
          <w:t xml:space="preserve">ruparel@uthscsa.edu</w:t>
        </w:r>
      </w:hyperlink>
      <w:r w:rsidDel="00000000" w:rsidR="00000000" w:rsidRPr="00000000">
        <w:rPr>
          <w:rtl w:val="0"/>
        </w:rPr>
      </w:r>
    </w:p>
    <w:p w:rsidR="00000000" w:rsidDel="00000000" w:rsidP="00000000" w:rsidRDefault="00000000" w:rsidRPr="00000000" w14:paraId="00000010">
      <w:pPr>
        <w:widowControl w:val="1"/>
        <w:spacing w:after="120" w:lineRule="auto"/>
        <w:jc w:val="cente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1">
      <w:pPr>
        <w:widowControl w:val="1"/>
        <w:spacing w:after="120" w:lineRule="auto"/>
        <w:jc w:val="center"/>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12">
      <w:pPr>
        <w:widowControl w:val="1"/>
        <w:spacing w:after="120" w:lineRule="auto"/>
        <w:jc w:val="center"/>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CONFLICT OF INTEREST </w:t>
      </w:r>
    </w:p>
    <w:p w:rsidR="00000000" w:rsidDel="00000000" w:rsidP="00000000" w:rsidRDefault="00000000" w:rsidRPr="00000000" w14:paraId="00000013">
      <w:pPr>
        <w:widowControl w:val="1"/>
        <w:spacing w:after="120" w:lineRule="auto"/>
        <w:jc w:val="cente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The authors declare no conflict of interest. </w:t>
      </w:r>
    </w:p>
    <w:p w:rsidR="00000000" w:rsidDel="00000000" w:rsidP="00000000" w:rsidRDefault="00000000" w:rsidRPr="00000000" w14:paraId="00000014">
      <w:pPr>
        <w:pBdr>
          <w:top w:space="0" w:sz="0" w:val="nil"/>
          <w:left w:space="0" w:sz="0" w:val="nil"/>
          <w:bottom w:space="0" w:sz="0" w:val="nil"/>
          <w:right w:space="0" w:sz="0" w:val="nil"/>
          <w:between w:space="0" w:sz="0" w:val="nil"/>
        </w:pBd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E">
      <w:pPr>
        <w:spacing w:before="207" w:lineRule="auto"/>
        <w:ind w:left="160" w:firstLine="0"/>
        <w:jc w:val="both"/>
        <w:rPr>
          <w:rFonts w:ascii="Calibri" w:cs="Calibri" w:eastAsia="Calibri" w:hAnsi="Calibri"/>
          <w:b w:val="1"/>
        </w:rPr>
      </w:pPr>
      <w:r w:rsidDel="00000000" w:rsidR="00000000" w:rsidRPr="00000000">
        <w:rPr>
          <w:rFonts w:ascii="Calibri" w:cs="Calibri" w:eastAsia="Calibri" w:hAnsi="Calibri"/>
          <w:b w:val="1"/>
          <w:rtl w:val="0"/>
        </w:rPr>
        <w:t xml:space="preserve">Supplementary S1. Literature search strategy</w:t>
      </w:r>
    </w:p>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Calibri" w:cs="Calibri" w:eastAsia="Calibri" w:hAnsi="Calibri"/>
          <w:b w:val="1"/>
          <w:color w:val="000000"/>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ind w:left="160"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Advanced search strategy used on PubMed. Search strategy was then adapted for other databases. The search was last done in January 2021.</w:t>
      </w:r>
    </w:p>
    <w:p w:rsidR="00000000" w:rsidDel="00000000" w:rsidP="00000000" w:rsidRDefault="00000000" w:rsidRPr="00000000" w14:paraId="00000021">
      <w:pPr>
        <w:jc w:val="both"/>
        <w:rPr/>
      </w:pPr>
      <w:r w:rsidDel="00000000" w:rsidR="00000000" w:rsidRPr="00000000">
        <w:rPr>
          <w:rtl w:val="0"/>
        </w:rPr>
      </w:r>
    </w:p>
    <w:tbl>
      <w:tblPr>
        <w:tblStyle w:val="Table1"/>
        <w:tblW w:w="14204.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96"/>
        <w:gridCol w:w="5354"/>
        <w:gridCol w:w="452"/>
        <w:gridCol w:w="565"/>
        <w:gridCol w:w="5545"/>
        <w:gridCol w:w="788"/>
        <w:gridCol w:w="704"/>
        <w:tblGridChange w:id="0">
          <w:tblGrid>
            <w:gridCol w:w="796"/>
            <w:gridCol w:w="5354"/>
            <w:gridCol w:w="452"/>
            <w:gridCol w:w="565"/>
            <w:gridCol w:w="5545"/>
            <w:gridCol w:w="788"/>
            <w:gridCol w:w="704"/>
          </w:tblGrid>
        </w:tblGridChange>
      </w:tblGrid>
      <w:tr>
        <w:trPr>
          <w:cantSplit w:val="0"/>
          <w:trHeight w:val="165" w:hRule="atLeast"/>
          <w:tblHeader w:val="0"/>
        </w:trPr>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tcPr>
          <w:p w:rsidR="00000000" w:rsidDel="00000000" w:rsidP="00000000" w:rsidRDefault="00000000" w:rsidRPr="00000000" w14:paraId="00000022">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b w:val="1"/>
                <w:color w:val="000000"/>
                <w:sz w:val="15"/>
                <w:szCs w:val="15"/>
                <w:rtl w:val="0"/>
              </w:rPr>
              <w:t xml:space="preserve">Search number</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tcPr>
          <w:p w:rsidR="00000000" w:rsidDel="00000000" w:rsidP="00000000" w:rsidRDefault="00000000" w:rsidRPr="00000000" w14:paraId="00000023">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b w:val="1"/>
                <w:color w:val="000000"/>
                <w:sz w:val="15"/>
                <w:szCs w:val="15"/>
                <w:rtl w:val="0"/>
              </w:rPr>
              <w:t xml:space="preserve">Query</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tcPr>
          <w:p w:rsidR="00000000" w:rsidDel="00000000" w:rsidP="00000000" w:rsidRDefault="00000000" w:rsidRPr="00000000" w14:paraId="00000024">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b w:val="1"/>
                <w:color w:val="000000"/>
                <w:sz w:val="15"/>
                <w:szCs w:val="15"/>
                <w:rtl w:val="0"/>
              </w:rPr>
              <w:t xml:space="preserve">Sort By</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tcPr>
          <w:p w:rsidR="00000000" w:rsidDel="00000000" w:rsidP="00000000" w:rsidRDefault="00000000" w:rsidRPr="00000000" w14:paraId="00000025">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b w:val="1"/>
                <w:color w:val="000000"/>
                <w:sz w:val="15"/>
                <w:szCs w:val="15"/>
                <w:rtl w:val="0"/>
              </w:rPr>
              <w:t xml:space="preserve">Filters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tcPr>
          <w:p w:rsidR="00000000" w:rsidDel="00000000" w:rsidP="00000000" w:rsidRDefault="00000000" w:rsidRPr="00000000" w14:paraId="00000026">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b w:val="1"/>
                <w:color w:val="000000"/>
                <w:sz w:val="15"/>
                <w:szCs w:val="15"/>
                <w:rtl w:val="0"/>
              </w:rPr>
              <w:t xml:space="preserve">Search Details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tcPr>
          <w:p w:rsidR="00000000" w:rsidDel="00000000" w:rsidP="00000000" w:rsidRDefault="00000000" w:rsidRPr="00000000" w14:paraId="00000027">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b w:val="1"/>
                <w:color w:val="000000"/>
                <w:sz w:val="15"/>
                <w:szCs w:val="15"/>
                <w:rtl w:val="0"/>
              </w:rPr>
              <w:t xml:space="preserve">Results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tcPr>
          <w:p w:rsidR="00000000" w:rsidDel="00000000" w:rsidP="00000000" w:rsidRDefault="00000000" w:rsidRPr="00000000" w14:paraId="00000028">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b w:val="1"/>
                <w:color w:val="000000"/>
                <w:sz w:val="15"/>
                <w:szCs w:val="15"/>
                <w:rtl w:val="0"/>
              </w:rPr>
              <w:t xml:space="preserve">Time</w:t>
            </w:r>
            <w:r w:rsidDel="00000000" w:rsidR="00000000" w:rsidRPr="00000000">
              <w:rPr>
                <w:rtl w:val="0"/>
              </w:rPr>
            </w:r>
          </w:p>
        </w:tc>
      </w:tr>
      <w:tr>
        <w:trPr>
          <w:cantSplit w:val="0"/>
          <w:trHeight w:val="180"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tcPr>
          <w:p w:rsidR="00000000" w:rsidDel="00000000" w:rsidP="00000000" w:rsidRDefault="00000000" w:rsidRPr="00000000" w14:paraId="00000029">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b w:val="1"/>
                <w:color w:val="000000"/>
                <w:sz w:val="15"/>
                <w:szCs w:val="15"/>
                <w:rtl w:val="0"/>
              </w:rPr>
              <w:t xml:space="preserve">5</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2A">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((((((vital pulp) OR (vital pulp therapy)) OR (pulp capping)) OR (pulpotomy[MeSH Terms])) OR (agent, pulp capping[MeSH Terms])) AND (((((outcome) OR (survival)) OR (success)) OR (prognosis)) OR (healing))) AND (((((dental caries) OR (caries)) OR (cariously)) OR (pulpitis)) OR (pulpal inflammation))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2B">
            <w:pPr>
              <w:widowControl w:val="1"/>
              <w:rPr>
                <w:rFonts w:ascii="Helvetica Neue" w:cs="Helvetica Neue" w:eastAsia="Helvetica Neue" w:hAnsi="Helvetica Neue"/>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2C">
            <w:pPr>
              <w:widowControl w:val="1"/>
              <w:rPr>
                <w:rFonts w:ascii="Helvetica Neue" w:cs="Helvetica Neue" w:eastAsia="Helvetica Neue" w:hAnsi="Helvetica Neue"/>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2D">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((("vital signs"[MeSH Terms] OR ("vital"[All Fields] AND "signs"[All Fields]) OR "vital signs"[All Fields] OR "vital"[All Fields] OR "vitally"[All Fields] OR "vitals"[All Fields]) AND ("dental pulp"[MeSH Terms] OR ("dental"[All Fields] AND "pulp"[All Fields]) OR "dental pulp"[All Fields] OR "pulp"[All Fields])) OR (("vital signs"[MeSH Terms] OR ("vital"[All Fields] AND "signs"[All Fields]) OR "vital signs"[All Fields] OR "vital"[All Fields] OR "vitally"[All Fields] OR "vitals"[All Fields]) AND ("dental pulp"[MeSH Terms] OR ("dental"[All Fields] AND "pulp"[All Fields]) OR "dental pulp"[All Fields] OR "pulp"[All Fields]) AND ("therapeutics"[MeSH Terms] OR "therapeutics"[All Fields] OR "therapies"[All Fields] OR "therapy"[MeSH Subheading] OR "therapy"[All Fields] OR "therapy s"[All Fields] OR "therapys"[All Fields])) OR ("dental pulp capping"[MeSH Terms] OR ("dental"[All Fields] AND "pulp"[All Fields] AND "capping"[All Fields]) OR "dental pulp capping"[All Fields] OR ("pulp"[All Fields] AND "capping"[All Fields]) OR "pulp capping"[All Fields]) OR "pulpotomy"[MeSH Terms] OR "pulp capping and pulpectomy agents"[MeSH Terms]) AND ("outcome"[All Fields] OR "outcomes"[All Fields] OR ("mortality"[MeSH Subheading] OR "mortality"[All Fields] OR "survival"[All Fields] OR "survival"[MeSH Terms] OR "survivability"[All Fields] OR "survivable"[All Fields] OR "survivals"[All Fields] OR "survive"[All Fields] OR "survived"[All Fields] OR "survives"[All Fields] OR "surviving"[All Fields]) OR ("success"[All Fields] OR "successes"[All Fields] OR "successful"[All Fields]) OR ("prognosis"[MeSH Terms] OR "prognosis"[All Fields] OR "prognoses"[All Fields]) OR ("healed"[All Fields] OR "wound healing"[MeSH Terms] OR ("wound"[All Fields] AND "healing"[All Fields]) OR "wound healing"[All Fields] OR "healing"[All Fields] OR "healings"[All Fields] OR "heals"[All Fields])) AND ("dental caries"[MeSH Terms] OR ("dental"[All Fields] AND "caries"[All Fields]) OR "dental caries"[All Fields] OR ("carie"[All Fields] OR "dental caries"[MeSH Terms] OR ("dental"[All Fields] AND "caries"[All Fields]) OR "dental caries"[All Fields] OR "caries"[All Fields]) OR "cariously"[All Fields] OR ("pulpitis"[MeSH Terms] OR "pulpitis"[All Fields] OR "pulpitides"[All Fields]) OR (("pulpal"[All Fields] OR "pulpally"[All Fields]) AND ("inflammation"[MeSH Terms] OR "inflammation"[All Fields] OR "inflammations"[All Fields] OR "inflammation s"[All Fields])))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2E">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654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2F">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00:08:12</w:t>
            </w:r>
            <w:r w:rsidDel="00000000" w:rsidR="00000000" w:rsidRPr="00000000">
              <w:rPr>
                <w:rtl w:val="0"/>
              </w:rPr>
            </w:r>
          </w:p>
        </w:tc>
      </w:tr>
      <w:tr>
        <w:trPr>
          <w:cantSplit w:val="0"/>
          <w:trHeight w:val="16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tcPr>
          <w:p w:rsidR="00000000" w:rsidDel="00000000" w:rsidP="00000000" w:rsidRDefault="00000000" w:rsidRPr="00000000" w14:paraId="00000030">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b w:val="1"/>
                <w:color w:val="000000"/>
                <w:sz w:val="15"/>
                <w:szCs w:val="15"/>
                <w:rtl w:val="0"/>
              </w:rPr>
              <w:t xml:space="preserve">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1">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((((dental caries) OR (caries)) OR (cariously)) OR (pulpitis)) OR (pulpal inflammation)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2">
            <w:pPr>
              <w:widowControl w:val="1"/>
              <w:rPr>
                <w:rFonts w:ascii="Helvetica Neue" w:cs="Helvetica Neue" w:eastAsia="Helvetica Neue" w:hAnsi="Helvetica Neue"/>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3">
            <w:pPr>
              <w:widowControl w:val="1"/>
              <w:rPr>
                <w:rFonts w:ascii="Helvetica Neue" w:cs="Helvetica Neue" w:eastAsia="Helvetica Neue" w:hAnsi="Helvetica Neue"/>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4">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"dental caries"[MeSH Terms] OR ("dental"[All Fields] AND "caries"[All Fields]) OR "dental caries"[All Fields] OR ("carie"[All Fields] OR "dental caries"[MeSH Terms] OR ("dental"[All Fields] AND "caries"[All Fields]) OR "dental caries"[All Fields] OR "caries"[All Fields]) OR "cariously"[All Fields] OR ("pulpitis"[MeSH Terms] OR "pulpitis"[All Fields] OR "pulpitides"[All Fields]) OR (("pulpal"[All Fields] OR "pulpally"[All Fields]) AND ("inflammation"[MeSH Terms] OR "inflammation"[All Fields] OR "inflammations"[All Fields] OR "inflammation s"[All Fields]))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5">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68,297</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6">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00:07:17</w:t>
            </w:r>
            <w:r w:rsidDel="00000000" w:rsidR="00000000" w:rsidRPr="00000000">
              <w:rPr>
                <w:rtl w:val="0"/>
              </w:rPr>
            </w:r>
          </w:p>
        </w:tc>
      </w:tr>
      <w:tr>
        <w:trPr>
          <w:cantSplit w:val="0"/>
          <w:trHeight w:val="16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tcPr>
          <w:p w:rsidR="00000000" w:rsidDel="00000000" w:rsidP="00000000" w:rsidRDefault="00000000" w:rsidRPr="00000000" w14:paraId="00000037">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b w:val="1"/>
                <w:color w:val="000000"/>
                <w:sz w:val="15"/>
                <w:szCs w:val="15"/>
                <w:rtl w:val="0"/>
              </w:rPr>
              <w:t xml:space="preserve">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8">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((((outcome) OR (survival)) OR (success)) OR (prognosis)) OR (healing)</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9">
            <w:pPr>
              <w:widowControl w:val="1"/>
              <w:rPr>
                <w:rFonts w:ascii="Helvetica Neue" w:cs="Helvetica Neue" w:eastAsia="Helvetica Neue" w:hAnsi="Helvetica Neue"/>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A">
            <w:pPr>
              <w:widowControl w:val="1"/>
              <w:rPr>
                <w:rFonts w:ascii="Helvetica Neue" w:cs="Helvetica Neue" w:eastAsia="Helvetica Neue" w:hAnsi="Helvetica Neue"/>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B">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"outcome"[All Fields] OR "outcomes"[All Fields] OR ("mortality"[MeSH Subheading] OR "mortality"[All Fields] OR "survival"[All Fields] OR "survival"[MeSH Terms] OR "survivability"[All Fields] OR "survivable"[All Fields] OR "survivals"[All Fields] OR "survive"[All Fields] OR "survived"[All Fields] OR "survives"[All Fields] OR "surviving"[All Fields]) OR ("success"[All Fields] OR "successes"[All Fields] OR "successful"[All Fields]) OR ("prognosis"[MeSH Terms] OR "prognosis"[All Fields] OR "prognoses"[All Fields]) OR ("healed"[All Fields] OR "wound healing"[MeSH Terms] OR ("wound"[All Fields] AND "healing"[All Fields]) OR "wound healing"[All Fields] OR "healing"[All Fields] OR "healings"[All Fields] OR "heals"[All Fields])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C">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5,640,856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D">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00:02:39</w:t>
            </w:r>
            <w:r w:rsidDel="00000000" w:rsidR="00000000" w:rsidRPr="00000000">
              <w:rPr>
                <w:rtl w:val="0"/>
              </w:rPr>
            </w:r>
          </w:p>
        </w:tc>
      </w:tr>
      <w:tr>
        <w:trPr>
          <w:cantSplit w:val="0"/>
          <w:trHeight w:val="16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tcPr>
          <w:p w:rsidR="00000000" w:rsidDel="00000000" w:rsidP="00000000" w:rsidRDefault="00000000" w:rsidRPr="00000000" w14:paraId="0000003E">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b w:val="1"/>
                <w:color w:val="000000"/>
                <w:sz w:val="15"/>
                <w:szCs w:val="15"/>
                <w:rtl w:val="0"/>
              </w:rPr>
              <w:t xml:space="preserve">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3F">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((((vital pulp) OR (vital pulp therapy)) OR (pulp capping)) OR (pulpotomy[MeSH Terms])) OR (agent, pulp capping[MeSH Terms])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40">
            <w:pPr>
              <w:widowControl w:val="1"/>
              <w:rPr>
                <w:rFonts w:ascii="Helvetica Neue" w:cs="Helvetica Neue" w:eastAsia="Helvetica Neue" w:hAnsi="Helvetica Neue"/>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41">
            <w:pPr>
              <w:widowControl w:val="1"/>
              <w:rPr>
                <w:rFonts w:ascii="Helvetica Neue" w:cs="Helvetica Neue" w:eastAsia="Helvetica Neue" w:hAnsi="Helvetica Neue"/>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42">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(("vital signs"[MeSH Terms] OR ("vital"[All Fields] AND "signs"[All Fields]) OR "vital signs"[All Fields] OR "vital"[All Fields] OR "vitally"[All Fields] OR "vitals"[All Fields]) AND ("dental pulp"[MeSH Terms] OR ("dental"[All Fields] AND "pulp"[All Fields]) OR "dental pulp"[All Fields] OR "pulp"[All Fields])) OR (("vital signs"[MeSH Terms] OR ("vital"[All Fields] AND "signs"[All Fields]) OR "vital signs"[All Fields] OR "vital"[All Fields] OR "vitally"[All Fields] OR "vitals"[All Fields]) AND ("dental pulp"[MeSH Terms] OR ("dental"[All Fields] AND "pulp"[All Fields]) OR "dental pulp"[All Fields] OR "pulp"[All Fields]) AND ("therapeutics"[MeSH Terms] OR "therapeutics"[All Fields] OR "therapies"[All Fields] OR "therapy"[MeSH Subheading] OR "therapy"[All Fields] OR "therapy s"[All Fields] OR "therapys"[All Fields])) OR ("dental pulp capping"[MeSH Terms] OR ("dental"[All Fields] AND "pulp"[All Fields] AND "capping"[All Fields]) OR "dental pulp capping"[All Fields] OR ("pulp"[All Fields] AND "capping"[All Fields]) OR "pulp capping"[All Fields]) OR "pulpotomy"[MeSH Terms] OR "pulp capping and pulpectomy agents"[MeSH Terms]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43">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5,879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tcPr>
          <w:p w:rsidR="00000000" w:rsidDel="00000000" w:rsidP="00000000" w:rsidRDefault="00000000" w:rsidRPr="00000000" w14:paraId="00000044">
            <w:pPr>
              <w:widowControl w:val="1"/>
              <w:rPr>
                <w:rFonts w:ascii="Times New Roman" w:cs="Times New Roman" w:eastAsia="Times New Roman" w:hAnsi="Times New Roman"/>
                <w:sz w:val="24"/>
                <w:szCs w:val="24"/>
              </w:rPr>
            </w:pPr>
            <w:r w:rsidDel="00000000" w:rsidR="00000000" w:rsidRPr="00000000">
              <w:rPr>
                <w:rFonts w:ascii="Helvetica Neue" w:cs="Helvetica Neue" w:eastAsia="Helvetica Neue" w:hAnsi="Helvetica Neue"/>
                <w:color w:val="000000"/>
                <w:sz w:val="15"/>
                <w:szCs w:val="15"/>
                <w:rtl w:val="0"/>
              </w:rPr>
              <w:t xml:space="preserve">23:59:36</w:t>
            </w:r>
            <w:r w:rsidDel="00000000" w:rsidR="00000000" w:rsidRPr="00000000">
              <w:rPr>
                <w:rtl w:val="0"/>
              </w:rPr>
            </w:r>
          </w:p>
        </w:tc>
      </w:tr>
    </w:tbl>
    <w:p w:rsidR="00000000" w:rsidDel="00000000" w:rsidP="00000000" w:rsidRDefault="00000000" w:rsidRPr="00000000" w14:paraId="00000045">
      <w:pPr>
        <w:jc w:val="both"/>
        <w:rPr/>
        <w:sectPr>
          <w:headerReference r:id="rId8" w:type="default"/>
          <w:pgSz w:h="11900" w:w="16820" w:orient="landscape"/>
          <w:pgMar w:bottom="280" w:top="1100" w:left="1280" w:right="1320" w:header="720" w:footer="720"/>
          <w:pgNumType w:start="1"/>
        </w:sectPr>
      </w:pPr>
      <w:r w:rsidDel="00000000" w:rsidR="00000000" w:rsidRPr="00000000">
        <w:rPr>
          <w:rtl w:val="0"/>
        </w:rPr>
      </w:r>
    </w:p>
    <w:p w:rsidR="00000000" w:rsidDel="00000000" w:rsidP="00000000" w:rsidRDefault="00000000" w:rsidRPr="00000000" w14:paraId="00000046">
      <w:pPr>
        <w:widowControl w:val="1"/>
        <w:spacing w:after="120" w:lineRule="auto"/>
        <w:jc w:val="both"/>
        <w:rPr/>
      </w:pPr>
      <w:r w:rsidDel="00000000" w:rsidR="00000000" w:rsidRPr="00000000">
        <w:rPr>
          <w:rtl w:val="0"/>
        </w:rPr>
      </w:r>
    </w:p>
    <w:p w:rsidR="00000000" w:rsidDel="00000000" w:rsidP="00000000" w:rsidRDefault="00000000" w:rsidRPr="00000000" w14:paraId="00000047">
      <w:pPr>
        <w:widowControl w:val="1"/>
        <w:spacing w:after="120" w:lineRule="auto"/>
        <w:jc w:val="both"/>
        <w:rPr>
          <w:rFonts w:ascii="Times New Roman" w:cs="Times New Roman" w:eastAsia="Times New Roman" w:hAnsi="Times New Roman"/>
          <w:color w:val="212121"/>
          <w:sz w:val="24"/>
          <w:szCs w:val="24"/>
        </w:rPr>
      </w:pPr>
      <w:r w:rsidDel="00000000" w:rsidR="00000000" w:rsidRPr="00000000">
        <w:rPr>
          <w:rFonts w:ascii="Calibri" w:cs="Calibri" w:eastAsia="Calibri" w:hAnsi="Calibri"/>
          <w:b w:val="1"/>
          <w:rtl w:val="0"/>
        </w:rPr>
        <w:t xml:space="preserve">Supplementary S2.</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color w:val="212121"/>
          <w:sz w:val="20"/>
          <w:szCs w:val="20"/>
          <w:rtl w:val="0"/>
        </w:rPr>
        <w:t xml:space="preserve">List of potentially relevant studies not included in the systematic review, along with the reasons for exclusion.</w:t>
      </w:r>
      <w:r w:rsidDel="00000000" w:rsidR="00000000" w:rsidRPr="00000000">
        <w:rPr>
          <w:rtl w:val="0"/>
        </w:rPr>
      </w:r>
    </w:p>
    <w:tbl>
      <w:tblPr>
        <w:tblStyle w:val="Table2"/>
        <w:tblW w:w="14204.0" w:type="dxa"/>
        <w:jc w:val="left"/>
        <w:tblInd w:w="0.0" w:type="dxa"/>
        <w:tblLayout w:type="fixed"/>
        <w:tblLook w:val="0400"/>
      </w:tblPr>
      <w:tblGrid>
        <w:gridCol w:w="319"/>
        <w:gridCol w:w="11485"/>
        <w:gridCol w:w="2400"/>
        <w:tblGridChange w:id="0">
          <w:tblGrid>
            <w:gridCol w:w="319"/>
            <w:gridCol w:w="11485"/>
            <w:gridCol w:w="2400"/>
          </w:tblGrid>
        </w:tblGridChange>
      </w:tblGrid>
      <w:tr>
        <w:trPr>
          <w:cantSplit w:val="0"/>
          <w:trHeight w:val="315" w:hRule="atLeast"/>
          <w:tblHeader w:val="0"/>
        </w:trPr>
        <w:tc>
          <w:tcPr>
            <w:tcBorders>
              <w:top w:color="cccccc" w:space="0" w:sz="6" w:val="single"/>
              <w:left w:color="cccccc" w:space="0" w:sz="6" w:val="single"/>
              <w:bottom w:color="cccccc"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48">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No.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49">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Reference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4A">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Reason</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4B">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4C">
            <w:pPr>
              <w:widowControl w:val="1"/>
              <w:numPr>
                <w:ilvl w:val="0"/>
                <w:numId w:val="7"/>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Aguilar P, Linsuwanont P. Vital pulp therapy in vital permanent teeth with cariously exposed pulp: a systematic review. J Endod. 2011;37(5):581-587. doi:10.1016/j.joen.2010.12.004</w:t>
            </w:r>
          </w:p>
          <w:p w:rsidR="00000000" w:rsidDel="00000000" w:rsidP="00000000" w:rsidRDefault="00000000" w:rsidRPr="00000000" w14:paraId="0000004D">
            <w:pPr>
              <w:widowControl w:val="1"/>
              <w:numPr>
                <w:ilvl w:val="0"/>
                <w:numId w:val="7"/>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Alqaderi HE, Al-Mutawa SA, Qudeimat MA. MTA pulpotomy as an alternative to root canal treatment in children's permanent teeth in a dental public health setting. J Dent. 2014;42(11):1390-1395. doi:10.1016/j.jdent.2014.06.007</w:t>
            </w:r>
          </w:p>
          <w:p w:rsidR="00000000" w:rsidDel="00000000" w:rsidP="00000000" w:rsidRDefault="00000000" w:rsidRPr="00000000" w14:paraId="0000004E">
            <w:pPr>
              <w:widowControl w:val="1"/>
              <w:numPr>
                <w:ilvl w:val="0"/>
                <w:numId w:val="7"/>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Cushley S, Duncan HF, Lappin MJ, et al. Pulpotomy for mature carious teeth with symptoms of irreversible pulpitis: A systematic review. J Dent. 2019;88:103158. doi:10.1016/j.jdent.2019.06.005</w:t>
            </w:r>
          </w:p>
          <w:p w:rsidR="00000000" w:rsidDel="00000000" w:rsidP="00000000" w:rsidRDefault="00000000" w:rsidRPr="00000000" w14:paraId="0000004F">
            <w:pPr>
              <w:widowControl w:val="1"/>
              <w:numPr>
                <w:ilvl w:val="0"/>
                <w:numId w:val="7"/>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Li Y, Sui B, Dahl C, et al. Pulpotomy for carious pulp exposures in permanent teeth: A systematic review and meta-analysis. J Dent. 2019;84:1-8. doi:10.1016/j.jdent.2019.03.010</w:t>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50">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Review articles</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51">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52">
            <w:pPr>
              <w:widowControl w:val="1"/>
              <w:numPr>
                <w:ilvl w:val="0"/>
                <w:numId w:val="8"/>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Odabaş ME, Alaçam A, Sillelioğlu H, Deveci C. Clinical and radiographic success rates of mineral trioxide aggregate and ferric sulphate pulpotomies performed by dental students. Eur J Paediatr Dent. 2012;13(2):118-122.</w:t>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53">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Pulpotomy on primary teeth</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54">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55">
            <w:pPr>
              <w:widowControl w:val="1"/>
              <w:numPr>
                <w:ilvl w:val="0"/>
                <w:numId w:val="9"/>
              </w:numPr>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Azimi S, Fazlyab M, Sadri D, Saghiri MA, Khosravanifard B, Asgary S. Comparison of pulp response to mineral trioxide aggregate and a bioceramic paste in partial pulpotomy of sound human premolars: a randomized controlled trial. Int Endod J. 2014;47(9):873-881. doi:10.1111/iej.12231</w:t>
            </w:r>
          </w:p>
          <w:p w:rsidR="00000000" w:rsidDel="00000000" w:rsidP="00000000" w:rsidRDefault="00000000" w:rsidRPr="00000000" w14:paraId="00000056">
            <w:pPr>
              <w:widowControl w:val="1"/>
              <w:numPr>
                <w:ilvl w:val="0"/>
                <w:numId w:val="1"/>
              </w:numPr>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Orhan AI, Oz FT, Orhan K. Pulp exposure occurrence and outcomes after 1- or 2-visit indirect pulp therapy vs complete caries removal in primary and permanent molars. Pediatr Dent. 2010;32(4):347-355.</w:t>
            </w:r>
          </w:p>
          <w:p w:rsidR="00000000" w:rsidDel="00000000" w:rsidP="00000000" w:rsidRDefault="00000000" w:rsidRPr="00000000" w14:paraId="00000057">
            <w:pPr>
              <w:widowControl w:val="1"/>
              <w:numPr>
                <w:ilvl w:val="0"/>
                <w:numId w:val="2"/>
              </w:numPr>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Eghbal MJ, Asgary S, Baglue RA, Parirokh M, Ghoddusi J. MTA pulpotomy of human permanent molars with irreversible pulpitis. Aust Endod J. 2009;35(1):4-8. doi:10.1111/j.1747-4477.2009.00166.x</w:t>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58">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Studies not reporting on outcome of interest</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59">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5A">
            <w:pPr>
              <w:widowControl w:val="1"/>
              <w:numPr>
                <w:ilvl w:val="0"/>
                <w:numId w:val="3"/>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Özgür B, Uysal S, Güngör HC. Partial Pulpotomy in Immature Permanent Molars After Carious Exposures Using Different Hemorrhage Control and Capping Materials. Pediatr Dent. 2017;39(5):364-370.</w:t>
            </w:r>
          </w:p>
          <w:p w:rsidR="00000000" w:rsidDel="00000000" w:rsidP="00000000" w:rsidRDefault="00000000" w:rsidRPr="00000000" w14:paraId="0000005B">
            <w:pPr>
              <w:widowControl w:val="1"/>
              <w:numPr>
                <w:ilvl w:val="0"/>
                <w:numId w:val="3"/>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Awawdeh L, Al-Qudah A, Hamouri H, Chakra RJ. Outcomes of Vital Pulp Therapy Using Mineral Trioxide Aggregate or Biodentine: A Prospective Randomized Clinical Trial. J Endod. 2018;44(11):1603-1609. doi:10.1016/j.joen.2018.08.004</w:t>
            </w:r>
          </w:p>
          <w:p w:rsidR="00000000" w:rsidDel="00000000" w:rsidP="00000000" w:rsidRDefault="00000000" w:rsidRPr="00000000" w14:paraId="0000005C">
            <w:pPr>
              <w:widowControl w:val="1"/>
              <w:numPr>
                <w:ilvl w:val="0"/>
                <w:numId w:val="3"/>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Chailertvanitkul P, Paphangkorakit J, Sooksantisakoonchai N, et al. Randomized control trial comparing calcium hydroxide and mineral trioxide aggregate for partial pulpotomies in cariously exposed pulps of permanent molars. Int Endod J. 2014;47(9):835-842. doi:10.1111/iej.12225</w:t>
            </w:r>
          </w:p>
          <w:p w:rsidR="00000000" w:rsidDel="00000000" w:rsidP="00000000" w:rsidRDefault="00000000" w:rsidRPr="00000000" w14:paraId="0000005D">
            <w:pPr>
              <w:widowControl w:val="1"/>
              <w:numPr>
                <w:ilvl w:val="0"/>
                <w:numId w:val="3"/>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Barngkgei IH, Halboub ES, Alboni RS. Pulpotomy of symptomatic permanent teeth with carious exposure using mineral trioxide aggregate. Iran Endod J. 2013;8(2):65-68.</w:t>
            </w:r>
          </w:p>
          <w:p w:rsidR="00000000" w:rsidDel="00000000" w:rsidP="00000000" w:rsidRDefault="00000000" w:rsidRPr="00000000" w14:paraId="0000005E">
            <w:pPr>
              <w:widowControl w:val="1"/>
              <w:numPr>
                <w:ilvl w:val="0"/>
                <w:numId w:val="3"/>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Galani M, Tewari S, Sangwan P, Mittal S, Kumar V, Duhan J. Comparative Evaluation of Postoperative Pain and Success Rate after Pulpotomy and Root Canal Treatment in Cariously Exposed Mature Permanent Molars: A Randomized Controlled Trial. J Endod. 2017;43(12):1953-1962. doi:10.1016/j.joen.2017.08.007</w:t>
            </w:r>
          </w:p>
          <w:p w:rsidR="00000000" w:rsidDel="00000000" w:rsidP="00000000" w:rsidRDefault="00000000" w:rsidRPr="00000000" w14:paraId="0000005F">
            <w:pPr>
              <w:widowControl w:val="1"/>
              <w:numPr>
                <w:ilvl w:val="0"/>
                <w:numId w:val="3"/>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Barrieshi-Nusair KM, Qudeimat MA. A prospective clinical study of mineral trioxide aggregate for partial pulpotomy in cariously exposed permanent teeth. J Endod. 2006;32(8):731-735. doi:10.1016/j.joen.2005.12.008</w:t>
            </w:r>
          </w:p>
          <w:p w:rsidR="00000000" w:rsidDel="00000000" w:rsidP="00000000" w:rsidRDefault="00000000" w:rsidRPr="00000000" w14:paraId="00000060">
            <w:pPr>
              <w:widowControl w:val="1"/>
              <w:numPr>
                <w:ilvl w:val="0"/>
                <w:numId w:val="3"/>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Keswani D, Pandey RK, Ansari A, Gupta S. Comparative evaluation of platelet-rich fibrin and mineral trioxide aggregate as pulpotomy agents in permanent teeth with incomplete root development: a randomized controlled trial. J Endod. 2014;40(5):599-605. doi:10.1016/j.joen.2014.01.009</w:t>
            </w:r>
          </w:p>
          <w:p w:rsidR="00000000" w:rsidDel="00000000" w:rsidP="00000000" w:rsidRDefault="00000000" w:rsidRPr="00000000" w14:paraId="00000061">
            <w:pPr>
              <w:widowControl w:val="1"/>
              <w:numPr>
                <w:ilvl w:val="0"/>
                <w:numId w:val="3"/>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Eppa HR, Puppala R, Kethineni B, Banavath S, Kanumuri PK, Kishore GVS. Comparative Evaluation of Three Different Materials: Mineral Trioxide Aggregate, Triple Antibiotic Paste, and Abscess Remedy on Apical Development of Vital Young Permanent Teeth. </w:t>
            </w:r>
            <w:r w:rsidDel="00000000" w:rsidR="00000000" w:rsidRPr="00000000">
              <w:rPr>
                <w:rFonts w:ascii="Calibri" w:cs="Calibri" w:eastAsia="Calibri" w:hAnsi="Calibri"/>
                <w:i w:val="1"/>
                <w:sz w:val="16"/>
                <w:szCs w:val="16"/>
                <w:rtl w:val="0"/>
              </w:rPr>
              <w:t xml:space="preserve">Contemp Clin Dent</w:t>
            </w:r>
            <w:r w:rsidDel="00000000" w:rsidR="00000000" w:rsidRPr="00000000">
              <w:rPr>
                <w:rFonts w:ascii="Calibri" w:cs="Calibri" w:eastAsia="Calibri" w:hAnsi="Calibri"/>
                <w:sz w:val="16"/>
                <w:szCs w:val="16"/>
                <w:rtl w:val="0"/>
              </w:rPr>
              <w:t xml:space="preserve">. 2018;9(2):158-163. doi:10.4103/ccd.ccd_587_17</w:t>
            </w:r>
          </w:p>
          <w:p w:rsidR="00000000" w:rsidDel="00000000" w:rsidP="00000000" w:rsidRDefault="00000000" w:rsidRPr="00000000" w14:paraId="00000062">
            <w:pPr>
              <w:widowControl w:val="1"/>
              <w:rPr>
                <w:rFonts w:ascii="Times New Roman" w:cs="Times New Roman" w:eastAsia="Times New Roman" w:hAnsi="Times New Roman"/>
                <w:sz w:val="24"/>
                <w:szCs w:val="24"/>
              </w:rPr>
            </w:pPr>
            <w:bookmarkStart w:colFirst="0" w:colLast="0" w:name="_heading=h.gjdgxs" w:id="0"/>
            <w:bookmarkEnd w:id="0"/>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63">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Diagnosis of reversible pulpitis/ unclear diagnostic data</w:t>
            </w:r>
            <w:r w:rsidDel="00000000" w:rsidR="00000000" w:rsidRPr="00000000">
              <w:rPr>
                <w:rtl w:val="0"/>
              </w:rPr>
            </w:r>
          </w:p>
        </w:tc>
      </w:tr>
      <w:tr>
        <w:trPr>
          <w:cantSplit w:val="0"/>
          <w:trHeight w:val="916" w:hRule="atLeast"/>
          <w:tblHeader w:val="0"/>
        </w:trPr>
        <w:tc>
          <w:tcPr>
            <w:tcBorders>
              <w:top w:color="cccccc" w:space="0" w:sz="6" w:val="single"/>
              <w:left w:color="cccccc" w:space="0" w:sz="6" w:val="single"/>
              <w:bottom w:color="cccccc"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64">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5</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65">
            <w:pPr>
              <w:widowControl w:val="1"/>
              <w:numPr>
                <w:ilvl w:val="0"/>
                <w:numId w:val="4"/>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Taha NA, Ahmad MB, Ghanim A. Assessment of Mineral Trioxide Aggregate pulpotomy in mature permanent teeth with carious exposures. </w:t>
            </w:r>
            <w:r w:rsidDel="00000000" w:rsidR="00000000" w:rsidRPr="00000000">
              <w:rPr>
                <w:rFonts w:ascii="Calibri" w:cs="Calibri" w:eastAsia="Calibri" w:hAnsi="Calibri"/>
                <w:i w:val="1"/>
                <w:sz w:val="16"/>
                <w:szCs w:val="16"/>
                <w:rtl w:val="0"/>
              </w:rPr>
              <w:t xml:space="preserve">Int Endod J</w:t>
            </w:r>
            <w:r w:rsidDel="00000000" w:rsidR="00000000" w:rsidRPr="00000000">
              <w:rPr>
                <w:rFonts w:ascii="Calibri" w:cs="Calibri" w:eastAsia="Calibri" w:hAnsi="Calibri"/>
                <w:sz w:val="16"/>
                <w:szCs w:val="16"/>
                <w:rtl w:val="0"/>
              </w:rPr>
              <w:t xml:space="preserve">. 2017;50(2):117-125. doi:10.1111/iej.12605</w:t>
            </w:r>
          </w:p>
          <w:p w:rsidR="00000000" w:rsidDel="00000000" w:rsidP="00000000" w:rsidRDefault="00000000" w:rsidRPr="00000000" w14:paraId="00000066">
            <w:pPr>
              <w:widowControl w:val="1"/>
              <w:numPr>
                <w:ilvl w:val="0"/>
                <w:numId w:val="4"/>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Asgary S, Hassanizadeh R, Torabzadeh H, Eghbal MJ. Treatment Outcomes of 4 Vital Pulp Therapies in Mature Molars. </w:t>
            </w:r>
            <w:r w:rsidDel="00000000" w:rsidR="00000000" w:rsidRPr="00000000">
              <w:rPr>
                <w:rFonts w:ascii="Calibri" w:cs="Calibri" w:eastAsia="Calibri" w:hAnsi="Calibri"/>
                <w:i w:val="1"/>
                <w:sz w:val="16"/>
                <w:szCs w:val="16"/>
                <w:rtl w:val="0"/>
              </w:rPr>
              <w:t xml:space="preserve">J Endod</w:t>
            </w:r>
            <w:r w:rsidDel="00000000" w:rsidR="00000000" w:rsidRPr="00000000">
              <w:rPr>
                <w:rFonts w:ascii="Calibri" w:cs="Calibri" w:eastAsia="Calibri" w:hAnsi="Calibri"/>
                <w:sz w:val="16"/>
                <w:szCs w:val="16"/>
                <w:rtl w:val="0"/>
              </w:rPr>
              <w:t xml:space="preserve">. 2018;44(4):529-535. doi:10.1016/j.joen.2017.12.010</w:t>
            </w:r>
          </w:p>
          <w:p w:rsidR="00000000" w:rsidDel="00000000" w:rsidP="00000000" w:rsidRDefault="00000000" w:rsidRPr="00000000" w14:paraId="00000067">
            <w:pPr>
              <w:widowControl w:val="1"/>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68">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Raw data not available to perform analysis on outcome of interest</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69">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6A">
            <w:pPr>
              <w:widowControl w:val="1"/>
              <w:numPr>
                <w:ilvl w:val="0"/>
                <w:numId w:val="5"/>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Asgary S, Eghbal MJ. Treatment outcomes of pulpotomy in permanent molars with irreversible pulpitis using biomaterials: a multi-center randomized controlled trial. </w:t>
            </w:r>
            <w:r w:rsidDel="00000000" w:rsidR="00000000" w:rsidRPr="00000000">
              <w:rPr>
                <w:rFonts w:ascii="Calibri" w:cs="Calibri" w:eastAsia="Calibri" w:hAnsi="Calibri"/>
                <w:i w:val="1"/>
                <w:sz w:val="16"/>
                <w:szCs w:val="16"/>
                <w:rtl w:val="0"/>
              </w:rPr>
              <w:t xml:space="preserve">Acta Odontol Scand</w:t>
            </w:r>
            <w:r w:rsidDel="00000000" w:rsidR="00000000" w:rsidRPr="00000000">
              <w:rPr>
                <w:rFonts w:ascii="Calibri" w:cs="Calibri" w:eastAsia="Calibri" w:hAnsi="Calibri"/>
                <w:sz w:val="16"/>
                <w:szCs w:val="16"/>
                <w:rtl w:val="0"/>
              </w:rPr>
              <w:t xml:space="preserve">. 2013;71(1):130-136. doi:10.3109/00016357.2011.654251</w:t>
            </w:r>
          </w:p>
          <w:p w:rsidR="00000000" w:rsidDel="00000000" w:rsidP="00000000" w:rsidRDefault="00000000" w:rsidRPr="00000000" w14:paraId="0000006B">
            <w:pPr>
              <w:widowControl w:val="1"/>
              <w:numPr>
                <w:ilvl w:val="0"/>
                <w:numId w:val="5"/>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Asgary S, Eghbal MJ, Ghoddusi J, Yazdani S. One-year results of vital pulp therapy in permanent molars with irreversible pulpitis: an ongoing multicenter, randomized, non-inferiority clinical trial. </w:t>
            </w:r>
            <w:r w:rsidDel="00000000" w:rsidR="00000000" w:rsidRPr="00000000">
              <w:rPr>
                <w:rFonts w:ascii="Calibri" w:cs="Calibri" w:eastAsia="Calibri" w:hAnsi="Calibri"/>
                <w:i w:val="1"/>
                <w:sz w:val="16"/>
                <w:szCs w:val="16"/>
                <w:rtl w:val="0"/>
              </w:rPr>
              <w:t xml:space="preserve">Clin Oral Investig</w:t>
            </w:r>
            <w:r w:rsidDel="00000000" w:rsidR="00000000" w:rsidRPr="00000000">
              <w:rPr>
                <w:rFonts w:ascii="Calibri" w:cs="Calibri" w:eastAsia="Calibri" w:hAnsi="Calibri"/>
                <w:sz w:val="16"/>
                <w:szCs w:val="16"/>
                <w:rtl w:val="0"/>
              </w:rPr>
              <w:t xml:space="preserve">. 2013;17(2):431-439. doi:10.1007/s00784-012-0712-6</w:t>
            </w:r>
          </w:p>
          <w:p w:rsidR="00000000" w:rsidDel="00000000" w:rsidP="00000000" w:rsidRDefault="00000000" w:rsidRPr="00000000" w14:paraId="0000006C">
            <w:pPr>
              <w:widowControl w:val="1"/>
              <w:numPr>
                <w:ilvl w:val="0"/>
                <w:numId w:val="5"/>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Asgary S, Eghbal MJ, Ghoddusi J. Two-year results of vital pulp therapy in permanent molars with irreversible pulpitis: an ongoing multicenter randomized clinical trial. </w:t>
            </w:r>
            <w:r w:rsidDel="00000000" w:rsidR="00000000" w:rsidRPr="00000000">
              <w:rPr>
                <w:rFonts w:ascii="Calibri" w:cs="Calibri" w:eastAsia="Calibri" w:hAnsi="Calibri"/>
                <w:i w:val="1"/>
                <w:sz w:val="16"/>
                <w:szCs w:val="16"/>
                <w:rtl w:val="0"/>
              </w:rPr>
              <w:t xml:space="preserve">Clin Oral Investig</w:t>
            </w:r>
            <w:r w:rsidDel="00000000" w:rsidR="00000000" w:rsidRPr="00000000">
              <w:rPr>
                <w:rFonts w:ascii="Calibri" w:cs="Calibri" w:eastAsia="Calibri" w:hAnsi="Calibri"/>
                <w:sz w:val="16"/>
                <w:szCs w:val="16"/>
                <w:rtl w:val="0"/>
              </w:rPr>
              <w:t xml:space="preserve">. 2014;18(2):635-641. doi:10.1007/s00784-013-1003-6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6D">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Studies with duplication of data/ Follow up studies</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6E">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7</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06F">
            <w:pPr>
              <w:widowControl w:val="1"/>
              <w:numPr>
                <w:ilvl w:val="0"/>
                <w:numId w:val="6"/>
              </w:numPr>
              <w:ind w:left="720" w:hanging="360"/>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Dong Y, Hu SL, Sun YY, Zhang HY. </w:t>
            </w:r>
            <w:r w:rsidDel="00000000" w:rsidR="00000000" w:rsidRPr="00000000">
              <w:rPr>
                <w:rFonts w:ascii="Calibri" w:cs="Calibri" w:eastAsia="Calibri" w:hAnsi="Calibri"/>
                <w:i w:val="1"/>
                <w:sz w:val="16"/>
                <w:szCs w:val="16"/>
                <w:rtl w:val="0"/>
              </w:rPr>
              <w:t xml:space="preserve">Shanghai Kou Qiang Yi Xue</w:t>
            </w:r>
            <w:r w:rsidDel="00000000" w:rsidR="00000000" w:rsidRPr="00000000">
              <w:rPr>
                <w:rFonts w:ascii="Calibri" w:cs="Calibri" w:eastAsia="Calibri" w:hAnsi="Calibri"/>
                <w:sz w:val="16"/>
                <w:szCs w:val="16"/>
                <w:rtl w:val="0"/>
              </w:rPr>
              <w:t xml:space="preserve">. 2017;26(4):425-428.</w:t>
            </w:r>
          </w:p>
          <w:p w:rsidR="00000000" w:rsidDel="00000000" w:rsidP="00000000" w:rsidRDefault="00000000" w:rsidRPr="00000000" w14:paraId="00000070">
            <w:pPr>
              <w:widowControl w:val="1"/>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30.0" w:type="dxa"/>
              <w:left w:w="45.0" w:type="dxa"/>
              <w:bottom w:w="30.0" w:type="dxa"/>
              <w:right w:w="45.0" w:type="dxa"/>
            </w:tcMar>
            <w:vAlign w:val="center"/>
          </w:tcPr>
          <w:p w:rsidR="00000000" w:rsidDel="00000000" w:rsidP="00000000" w:rsidRDefault="00000000" w:rsidRPr="00000000" w14:paraId="00000071">
            <w:pPr>
              <w:widowControl w:val="1"/>
              <w:jc w:val="center"/>
              <w:rPr>
                <w:rFonts w:ascii="Times New Roman" w:cs="Times New Roman" w:eastAsia="Times New Roman" w:hAnsi="Times New Roman"/>
                <w:sz w:val="24"/>
                <w:szCs w:val="24"/>
              </w:rPr>
            </w:pPr>
            <w:r w:rsidDel="00000000" w:rsidR="00000000" w:rsidRPr="00000000">
              <w:rPr>
                <w:rFonts w:ascii="Calibri" w:cs="Calibri" w:eastAsia="Calibri" w:hAnsi="Calibri"/>
                <w:sz w:val="16"/>
                <w:szCs w:val="16"/>
                <w:rtl w:val="0"/>
              </w:rPr>
              <w:t xml:space="preserve">Non-english language/ Full text english translation not available</w:t>
            </w:r>
            <w:r w:rsidDel="00000000" w:rsidR="00000000" w:rsidRPr="00000000">
              <w:rPr>
                <w:rtl w:val="0"/>
              </w:rPr>
            </w:r>
          </w:p>
        </w:tc>
      </w:tr>
    </w:tbl>
    <w:p w:rsidR="00000000" w:rsidDel="00000000" w:rsidP="00000000" w:rsidRDefault="00000000" w:rsidRPr="00000000" w14:paraId="00000072">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pacing w:before="155" w:lineRule="auto"/>
        <w:ind w:left="160" w:right="101" w:firstLine="0"/>
        <w:jc w:val="both"/>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Supplementary </w:t>
      </w:r>
      <w:r w:rsidDel="00000000" w:rsidR="00000000" w:rsidRPr="00000000">
        <w:rPr>
          <w:rFonts w:ascii="Calibri" w:cs="Calibri" w:eastAsia="Calibri" w:hAnsi="Calibri"/>
          <w:b w:val="1"/>
          <w:rtl w:val="0"/>
        </w:rPr>
        <w:t xml:space="preserve">S3</w:t>
      </w:r>
      <w:r w:rsidDel="00000000" w:rsidR="00000000" w:rsidRPr="00000000">
        <w:rPr>
          <w:rFonts w:ascii="Calibri" w:cs="Calibri" w:eastAsia="Calibri" w:hAnsi="Calibri"/>
          <w:b w:val="1"/>
          <w:color w:val="000000"/>
          <w:rtl w:val="0"/>
        </w:rPr>
        <w:t xml:space="preserve">: </w:t>
      </w:r>
      <w:r w:rsidDel="00000000" w:rsidR="00000000" w:rsidRPr="00000000">
        <w:rPr>
          <w:rFonts w:ascii="Calibri" w:cs="Calibri" w:eastAsia="Calibri" w:hAnsi="Calibri"/>
          <w:color w:val="000000"/>
          <w:rtl w:val="0"/>
        </w:rPr>
        <w:t xml:space="preserve">Modified Down and Black’s checklist for quality assessment of observational studies. The checklist </w:t>
      </w:r>
      <w:r w:rsidDel="00000000" w:rsidR="00000000" w:rsidRPr="00000000">
        <w:rPr>
          <w:rFonts w:ascii="Calibri" w:cs="Calibri" w:eastAsia="Calibri" w:hAnsi="Calibri"/>
          <w:rtl w:val="0"/>
        </w:rPr>
        <w:t xml:space="preserve">includes the following</w:t>
      </w:r>
      <w:r w:rsidDel="00000000" w:rsidR="00000000" w:rsidRPr="00000000">
        <w:rPr>
          <w:rFonts w:ascii="Calibri" w:cs="Calibri" w:eastAsia="Calibri" w:hAnsi="Calibri"/>
          <w:color w:val="000000"/>
          <w:rtl w:val="0"/>
        </w:rPr>
        <w:t xml:space="preserve"> domains: reporting, external validity, internal validity (bias), internal validity (confounding) and power. Downs and Black score ranges were classified as: excellent (26–28); good (20–25); fair (15–19); and poor (≤14).</w:t>
      </w:r>
    </w:p>
    <w:p w:rsidR="00000000" w:rsidDel="00000000" w:rsidP="00000000" w:rsidRDefault="00000000" w:rsidRPr="00000000" w14:paraId="0000008A">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pacing w:before="11" w:lineRule="auto"/>
        <w:rPr>
          <w:color w:val="000000"/>
          <w:sz w:val="29"/>
          <w:szCs w:val="29"/>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tl w:val="0"/>
        </w:rPr>
      </w:r>
    </w:p>
    <w:tbl>
      <w:tblPr>
        <w:tblStyle w:val="Table3"/>
        <w:tblW w:w="10247.0" w:type="dxa"/>
        <w:jc w:val="left"/>
        <w:tblInd w:w="216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65"/>
        <w:gridCol w:w="1710"/>
        <w:gridCol w:w="1215"/>
        <w:gridCol w:w="1292"/>
        <w:gridCol w:w="1292"/>
        <w:gridCol w:w="1388"/>
        <w:gridCol w:w="1292"/>
        <w:gridCol w:w="1293"/>
        <w:tblGridChange w:id="0">
          <w:tblGrid>
            <w:gridCol w:w="765"/>
            <w:gridCol w:w="1710"/>
            <w:gridCol w:w="1215"/>
            <w:gridCol w:w="1292"/>
            <w:gridCol w:w="1292"/>
            <w:gridCol w:w="1388"/>
            <w:gridCol w:w="1292"/>
            <w:gridCol w:w="1293"/>
          </w:tblGrid>
        </w:tblGridChange>
      </w:tblGrid>
      <w:tr>
        <w:trPr>
          <w:cantSplit w:val="0"/>
          <w:trHeight w:val="152" w:hRule="atLeast"/>
          <w:tblHeader w:val="0"/>
        </w:trPr>
        <w:tc>
          <w:tcPr/>
          <w:p w:rsidR="00000000" w:rsidDel="00000000" w:rsidP="00000000" w:rsidRDefault="00000000" w:rsidRPr="00000000" w14:paraId="0000008F">
            <w:pPr>
              <w:pBdr>
                <w:top w:space="0" w:sz="0" w:val="nil"/>
                <w:left w:space="0" w:sz="0" w:val="nil"/>
                <w:bottom w:space="0" w:sz="0" w:val="nil"/>
                <w:right w:space="0" w:sz="0" w:val="nil"/>
                <w:between w:space="0" w:sz="0" w:val="nil"/>
              </w:pBdr>
              <w:ind w:firstLine="180"/>
              <w:rPr>
                <w:rFonts w:ascii="Calibri" w:cs="Calibri" w:eastAsia="Calibri" w:hAnsi="Calibri"/>
                <w:color w:val="000000"/>
              </w:rPr>
            </w:pPr>
            <w:r w:rsidDel="00000000" w:rsidR="00000000" w:rsidRPr="00000000">
              <w:rPr>
                <w:rtl w:val="0"/>
              </w:rPr>
            </w:r>
          </w:p>
        </w:tc>
        <w:tc>
          <w:tcPr/>
          <w:p w:rsidR="00000000" w:rsidDel="00000000" w:rsidP="00000000" w:rsidRDefault="00000000" w:rsidRPr="00000000" w14:paraId="00000090">
            <w:pPr>
              <w:pBdr>
                <w:top w:space="0" w:sz="0" w:val="nil"/>
                <w:left w:space="0" w:sz="0" w:val="nil"/>
                <w:bottom w:space="0" w:sz="0" w:val="nil"/>
                <w:right w:space="0" w:sz="0" w:val="nil"/>
                <w:between w:space="0" w:sz="0" w:val="nil"/>
              </w:pBdr>
              <w:ind w:firstLine="180"/>
              <w:rPr>
                <w:rFonts w:ascii="Calibri" w:cs="Calibri" w:eastAsia="Calibri" w:hAnsi="Calibri"/>
                <w:color w:val="000000"/>
              </w:rPr>
            </w:pPr>
            <w:r w:rsidDel="00000000" w:rsidR="00000000" w:rsidRPr="00000000">
              <w:rPr>
                <w:rtl w:val="0"/>
              </w:rPr>
            </w:r>
          </w:p>
        </w:tc>
        <w:tc>
          <w:tcPr/>
          <w:p w:rsidR="00000000" w:rsidDel="00000000" w:rsidP="00000000" w:rsidRDefault="00000000" w:rsidRPr="00000000" w14:paraId="00000091">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Reporting</w:t>
            </w:r>
          </w:p>
        </w:tc>
        <w:tc>
          <w:tcPr/>
          <w:p w:rsidR="00000000" w:rsidDel="00000000" w:rsidP="00000000" w:rsidRDefault="00000000" w:rsidRPr="00000000" w14:paraId="00000092">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External validity</w:t>
            </w:r>
          </w:p>
        </w:tc>
        <w:tc>
          <w:tcPr/>
          <w:p w:rsidR="00000000" w:rsidDel="00000000" w:rsidP="00000000" w:rsidRDefault="00000000" w:rsidRPr="00000000" w14:paraId="00000093">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Internal validity</w:t>
            </w:r>
          </w:p>
        </w:tc>
        <w:tc>
          <w:tcPr/>
          <w:p w:rsidR="00000000" w:rsidDel="00000000" w:rsidP="00000000" w:rsidRDefault="00000000" w:rsidRPr="00000000" w14:paraId="00000094">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Confounding</w:t>
            </w:r>
          </w:p>
        </w:tc>
        <w:tc>
          <w:tcPr/>
          <w:p w:rsidR="00000000" w:rsidDel="00000000" w:rsidP="00000000" w:rsidRDefault="00000000" w:rsidRPr="00000000" w14:paraId="00000095">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Power</w:t>
            </w:r>
          </w:p>
          <w:p w:rsidR="00000000" w:rsidDel="00000000" w:rsidP="00000000" w:rsidRDefault="00000000" w:rsidRPr="00000000" w14:paraId="00000096">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tl w:val="0"/>
              </w:rPr>
            </w:r>
          </w:p>
        </w:tc>
        <w:tc>
          <w:tcPr/>
          <w:p w:rsidR="00000000" w:rsidDel="00000000" w:rsidP="00000000" w:rsidRDefault="00000000" w:rsidRPr="00000000" w14:paraId="00000097">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Total Score</w:t>
            </w:r>
          </w:p>
        </w:tc>
      </w:tr>
      <w:tr>
        <w:trPr>
          <w:cantSplit w:val="0"/>
          <w:trHeight w:val="393" w:hRule="atLeast"/>
          <w:tblHeader w:val="0"/>
        </w:trPr>
        <w:tc>
          <w:tcPr/>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tl w:val="0"/>
              </w:rPr>
            </w:r>
          </w:p>
        </w:tc>
        <w:tc>
          <w:tcPr/>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tl w:val="0"/>
              </w:rPr>
            </w:r>
          </w:p>
        </w:tc>
        <w:tc>
          <w:tcPr/>
          <w:p w:rsidR="00000000" w:rsidDel="00000000" w:rsidP="00000000" w:rsidRDefault="00000000" w:rsidRPr="00000000" w14:paraId="0000009A">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(11)</w:t>
            </w:r>
          </w:p>
        </w:tc>
        <w:tc>
          <w:tcPr/>
          <w:p w:rsidR="00000000" w:rsidDel="00000000" w:rsidP="00000000" w:rsidRDefault="00000000" w:rsidRPr="00000000" w14:paraId="0000009B">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(3)</w:t>
            </w:r>
          </w:p>
        </w:tc>
        <w:tc>
          <w:tcPr/>
          <w:p w:rsidR="00000000" w:rsidDel="00000000" w:rsidP="00000000" w:rsidRDefault="00000000" w:rsidRPr="00000000" w14:paraId="0000009C">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(7)</w:t>
            </w:r>
          </w:p>
        </w:tc>
        <w:tc>
          <w:tcPr/>
          <w:p w:rsidR="00000000" w:rsidDel="00000000" w:rsidP="00000000" w:rsidRDefault="00000000" w:rsidRPr="00000000" w14:paraId="0000009D">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w:t>
            </w:r>
          </w:p>
        </w:tc>
        <w:tc>
          <w:tcPr/>
          <w:p w:rsidR="00000000" w:rsidDel="00000000" w:rsidP="00000000" w:rsidRDefault="00000000" w:rsidRPr="00000000" w14:paraId="0000009E">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w:t>
            </w:r>
          </w:p>
        </w:tc>
        <w:tc>
          <w:tcPr/>
          <w:p w:rsidR="00000000" w:rsidDel="00000000" w:rsidP="00000000" w:rsidRDefault="00000000" w:rsidRPr="00000000" w14:paraId="0000009F">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(28)</w:t>
            </w:r>
          </w:p>
        </w:tc>
      </w:tr>
      <w:tr>
        <w:trPr>
          <w:cantSplit w:val="0"/>
          <w:tblHeader w:val="0"/>
        </w:trPr>
        <w:tc>
          <w:tcPr>
            <w:vMerge w:val="restart"/>
            <w:vAlign w:val="center"/>
          </w:tcPr>
          <w:p w:rsidR="00000000" w:rsidDel="00000000" w:rsidP="00000000" w:rsidRDefault="00000000" w:rsidRPr="00000000" w14:paraId="000000A0">
            <w:pPr>
              <w:pBdr>
                <w:top w:space="0" w:sz="0" w:val="nil"/>
                <w:left w:space="0" w:sz="0" w:val="nil"/>
                <w:bottom w:space="0" w:sz="0" w:val="nil"/>
                <w:right w:space="0" w:sz="0" w:val="nil"/>
                <w:between w:space="0" w:sz="0" w:val="nil"/>
              </w:pBdr>
              <w:ind w:left="113" w:right="113" w:firstLine="0"/>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Study, year</w:t>
            </w:r>
          </w:p>
        </w:tc>
        <w:tc>
          <w:tcPr/>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Fonts w:ascii="Calibri" w:cs="Calibri" w:eastAsia="Calibri" w:hAnsi="Calibri"/>
                <w:color w:val="000000"/>
                <w:rtl w:val="0"/>
              </w:rPr>
              <w:t xml:space="preserve">Caliskan, 1993 [31]</w:t>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tl w:val="0"/>
              </w:rPr>
            </w:r>
          </w:p>
        </w:tc>
        <w:tc>
          <w:tcPr/>
          <w:p w:rsidR="00000000" w:rsidDel="00000000" w:rsidP="00000000" w:rsidRDefault="00000000" w:rsidRPr="00000000" w14:paraId="000000A3">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9</w:t>
            </w:r>
          </w:p>
        </w:tc>
        <w:tc>
          <w:tcPr/>
          <w:p w:rsidR="00000000" w:rsidDel="00000000" w:rsidP="00000000" w:rsidRDefault="00000000" w:rsidRPr="00000000" w14:paraId="000000A4">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w:t>
            </w:r>
          </w:p>
        </w:tc>
        <w:tc>
          <w:tcPr/>
          <w:p w:rsidR="00000000" w:rsidDel="00000000" w:rsidP="00000000" w:rsidRDefault="00000000" w:rsidRPr="00000000" w14:paraId="000000A5">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w:t>
            </w:r>
          </w:p>
        </w:tc>
        <w:tc>
          <w:tcPr/>
          <w:p w:rsidR="00000000" w:rsidDel="00000000" w:rsidP="00000000" w:rsidRDefault="00000000" w:rsidRPr="00000000" w14:paraId="000000A6">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w:t>
            </w:r>
          </w:p>
        </w:tc>
        <w:tc>
          <w:tcPr/>
          <w:p w:rsidR="00000000" w:rsidDel="00000000" w:rsidP="00000000" w:rsidRDefault="00000000" w:rsidRPr="00000000" w14:paraId="000000A7">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w:t>
            </w:r>
          </w:p>
        </w:tc>
        <w:tc>
          <w:tcPr/>
          <w:p w:rsidR="00000000" w:rsidDel="00000000" w:rsidP="00000000" w:rsidRDefault="00000000" w:rsidRPr="00000000" w14:paraId="000000A8">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18</w:t>
            </w:r>
          </w:p>
        </w:tc>
      </w:tr>
      <w:tr>
        <w:trPr>
          <w:cantSplit w:val="0"/>
          <w:tblHeader w:val="0"/>
        </w:trPr>
        <w:tc>
          <w:tcPr>
            <w:vMerge w:val="continue"/>
            <w:vAlign w:val="center"/>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color w:val="000000"/>
              </w:rPr>
            </w:pPr>
            <w:r w:rsidDel="00000000" w:rsidR="00000000" w:rsidRPr="00000000">
              <w:rPr>
                <w:rtl w:val="0"/>
              </w:rPr>
            </w:r>
          </w:p>
        </w:tc>
        <w:tc>
          <w:tcPr/>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Fonts w:ascii="Calibri" w:cs="Calibri" w:eastAsia="Calibri" w:hAnsi="Calibri"/>
                <w:color w:val="000000"/>
                <w:rtl w:val="0"/>
              </w:rPr>
              <w:t xml:space="preserve">Caliskan, 1995 [30]</w:t>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tl w:val="0"/>
              </w:rPr>
            </w:r>
          </w:p>
        </w:tc>
        <w:tc>
          <w:tcPr/>
          <w:p w:rsidR="00000000" w:rsidDel="00000000" w:rsidP="00000000" w:rsidRDefault="00000000" w:rsidRPr="00000000" w14:paraId="000000AC">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9</w:t>
            </w:r>
          </w:p>
        </w:tc>
        <w:tc>
          <w:tcPr/>
          <w:p w:rsidR="00000000" w:rsidDel="00000000" w:rsidP="00000000" w:rsidRDefault="00000000" w:rsidRPr="00000000" w14:paraId="000000AD">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w:t>
            </w:r>
          </w:p>
        </w:tc>
        <w:tc>
          <w:tcPr/>
          <w:p w:rsidR="00000000" w:rsidDel="00000000" w:rsidP="00000000" w:rsidRDefault="00000000" w:rsidRPr="00000000" w14:paraId="000000AE">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6</w:t>
            </w:r>
          </w:p>
        </w:tc>
        <w:tc>
          <w:tcPr/>
          <w:p w:rsidR="00000000" w:rsidDel="00000000" w:rsidP="00000000" w:rsidRDefault="00000000" w:rsidRPr="00000000" w14:paraId="000000AF">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w:t>
            </w:r>
          </w:p>
        </w:tc>
        <w:tc>
          <w:tcPr/>
          <w:p w:rsidR="00000000" w:rsidDel="00000000" w:rsidP="00000000" w:rsidRDefault="00000000" w:rsidRPr="00000000" w14:paraId="000000B0">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w:t>
            </w:r>
          </w:p>
        </w:tc>
        <w:tc>
          <w:tcPr/>
          <w:p w:rsidR="00000000" w:rsidDel="00000000" w:rsidP="00000000" w:rsidRDefault="00000000" w:rsidRPr="00000000" w14:paraId="000000B1">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18</w:t>
            </w:r>
          </w:p>
        </w:tc>
      </w:tr>
      <w:tr>
        <w:trPr>
          <w:cantSplit w:val="0"/>
          <w:tblHeader w:val="0"/>
        </w:trPr>
        <w:tc>
          <w:tcPr>
            <w:vMerge w:val="continue"/>
            <w:vAlign w:val="center"/>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color w:val="000000"/>
              </w:rPr>
            </w:pPr>
            <w:r w:rsidDel="00000000" w:rsidR="00000000" w:rsidRPr="00000000">
              <w:rPr>
                <w:rtl w:val="0"/>
              </w:rPr>
            </w:r>
          </w:p>
        </w:tc>
        <w:tc>
          <w:tcPr/>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Fonts w:ascii="Calibri" w:cs="Calibri" w:eastAsia="Calibri" w:hAnsi="Calibri"/>
                <w:color w:val="000000"/>
                <w:rtl w:val="0"/>
              </w:rPr>
              <w:t xml:space="preserve">Taha, 2018 [23]</w:t>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tl w:val="0"/>
              </w:rPr>
            </w:r>
          </w:p>
        </w:tc>
        <w:tc>
          <w:tcPr/>
          <w:p w:rsidR="00000000" w:rsidDel="00000000" w:rsidP="00000000" w:rsidRDefault="00000000" w:rsidRPr="00000000" w14:paraId="000000B5">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w:t>
            </w:r>
          </w:p>
        </w:tc>
        <w:tc>
          <w:tcPr/>
          <w:p w:rsidR="00000000" w:rsidDel="00000000" w:rsidP="00000000" w:rsidRDefault="00000000" w:rsidRPr="00000000" w14:paraId="000000B6">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w:t>
            </w:r>
          </w:p>
        </w:tc>
        <w:tc>
          <w:tcPr/>
          <w:p w:rsidR="00000000" w:rsidDel="00000000" w:rsidP="00000000" w:rsidRDefault="00000000" w:rsidRPr="00000000" w14:paraId="000000B7">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4</w:t>
            </w:r>
          </w:p>
        </w:tc>
        <w:tc>
          <w:tcPr/>
          <w:p w:rsidR="00000000" w:rsidDel="00000000" w:rsidP="00000000" w:rsidRDefault="00000000" w:rsidRPr="00000000" w14:paraId="000000B8">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w:t>
            </w:r>
          </w:p>
        </w:tc>
        <w:tc>
          <w:tcPr/>
          <w:p w:rsidR="00000000" w:rsidDel="00000000" w:rsidP="00000000" w:rsidRDefault="00000000" w:rsidRPr="00000000" w14:paraId="000000B9">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w:t>
            </w:r>
          </w:p>
        </w:tc>
        <w:tc>
          <w:tcPr/>
          <w:p w:rsidR="00000000" w:rsidDel="00000000" w:rsidP="00000000" w:rsidRDefault="00000000" w:rsidRPr="00000000" w14:paraId="000000BA">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18</w:t>
            </w:r>
          </w:p>
        </w:tc>
      </w:tr>
      <w:tr>
        <w:trPr>
          <w:cantSplit w:val="0"/>
          <w:tblHeader w:val="0"/>
        </w:trPr>
        <w:tc>
          <w:tcPr>
            <w:vMerge w:val="continue"/>
            <w:vAlign w:val="center"/>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color w:val="000000"/>
              </w:rPr>
            </w:pPr>
            <w:r w:rsidDel="00000000" w:rsidR="00000000" w:rsidRPr="00000000">
              <w:rPr>
                <w:rtl w:val="0"/>
              </w:rPr>
            </w:r>
          </w:p>
        </w:tc>
        <w:tc>
          <w:tcPr/>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Fonts w:ascii="Calibri" w:cs="Calibri" w:eastAsia="Calibri" w:hAnsi="Calibri"/>
                <w:color w:val="000000"/>
                <w:rtl w:val="0"/>
              </w:rPr>
              <w:t xml:space="preserve">Taha, 2018 [24]</w:t>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tl w:val="0"/>
              </w:rPr>
            </w:r>
          </w:p>
        </w:tc>
        <w:tc>
          <w:tcPr/>
          <w:p w:rsidR="00000000" w:rsidDel="00000000" w:rsidP="00000000" w:rsidRDefault="00000000" w:rsidRPr="00000000" w14:paraId="000000BE">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w:t>
            </w:r>
          </w:p>
        </w:tc>
        <w:tc>
          <w:tcPr/>
          <w:p w:rsidR="00000000" w:rsidDel="00000000" w:rsidP="00000000" w:rsidRDefault="00000000" w:rsidRPr="00000000" w14:paraId="000000BF">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w:t>
            </w:r>
          </w:p>
        </w:tc>
        <w:tc>
          <w:tcPr/>
          <w:p w:rsidR="00000000" w:rsidDel="00000000" w:rsidP="00000000" w:rsidRDefault="00000000" w:rsidRPr="00000000" w14:paraId="000000C0">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4</w:t>
            </w:r>
          </w:p>
        </w:tc>
        <w:tc>
          <w:tcPr/>
          <w:p w:rsidR="00000000" w:rsidDel="00000000" w:rsidP="00000000" w:rsidRDefault="00000000" w:rsidRPr="00000000" w14:paraId="000000C1">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3</w:t>
            </w:r>
          </w:p>
        </w:tc>
        <w:tc>
          <w:tcPr/>
          <w:p w:rsidR="00000000" w:rsidDel="00000000" w:rsidP="00000000" w:rsidRDefault="00000000" w:rsidRPr="00000000" w14:paraId="000000C2">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w:t>
            </w:r>
          </w:p>
        </w:tc>
        <w:tc>
          <w:tcPr/>
          <w:p w:rsidR="00000000" w:rsidDel="00000000" w:rsidP="00000000" w:rsidRDefault="00000000" w:rsidRPr="00000000" w14:paraId="000000C3">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18</w:t>
            </w:r>
          </w:p>
        </w:tc>
      </w:tr>
      <w:tr>
        <w:trPr>
          <w:cantSplit w:val="0"/>
          <w:tblHeader w:val="0"/>
        </w:trPr>
        <w:tc>
          <w:tcPr>
            <w:vMerge w:val="continue"/>
            <w:vAlign w:val="center"/>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color w:val="000000"/>
              </w:rPr>
            </w:pPr>
            <w:r w:rsidDel="00000000" w:rsidR="00000000" w:rsidRPr="00000000">
              <w:rPr>
                <w:rtl w:val="0"/>
              </w:rPr>
            </w:r>
          </w:p>
        </w:tc>
        <w:tc>
          <w:tcPr/>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Fonts w:ascii="Calibri" w:cs="Calibri" w:eastAsia="Calibri" w:hAnsi="Calibri"/>
                <w:color w:val="000000"/>
                <w:rtl w:val="0"/>
              </w:rPr>
              <w:t xml:space="preserve">Linsuwanont , 2017 [7]</w:t>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tl w:val="0"/>
              </w:rPr>
            </w:r>
          </w:p>
        </w:tc>
        <w:tc>
          <w:tcPr/>
          <w:p w:rsidR="00000000" w:rsidDel="00000000" w:rsidP="00000000" w:rsidRDefault="00000000" w:rsidRPr="00000000" w14:paraId="000000C7">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11</w:t>
            </w:r>
          </w:p>
        </w:tc>
        <w:tc>
          <w:tcPr/>
          <w:p w:rsidR="00000000" w:rsidDel="00000000" w:rsidP="00000000" w:rsidRDefault="00000000" w:rsidRPr="00000000" w14:paraId="000000C8">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w:t>
            </w:r>
          </w:p>
        </w:tc>
        <w:tc>
          <w:tcPr/>
          <w:p w:rsidR="00000000" w:rsidDel="00000000" w:rsidP="00000000" w:rsidRDefault="00000000" w:rsidRPr="00000000" w14:paraId="000000C9">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4</w:t>
            </w:r>
          </w:p>
        </w:tc>
        <w:tc>
          <w:tcPr/>
          <w:p w:rsidR="00000000" w:rsidDel="00000000" w:rsidP="00000000" w:rsidRDefault="00000000" w:rsidRPr="00000000" w14:paraId="000000CA">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4</w:t>
            </w:r>
          </w:p>
        </w:tc>
        <w:tc>
          <w:tcPr/>
          <w:p w:rsidR="00000000" w:rsidDel="00000000" w:rsidP="00000000" w:rsidRDefault="00000000" w:rsidRPr="00000000" w14:paraId="000000CB">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w:t>
            </w:r>
          </w:p>
        </w:tc>
        <w:tc>
          <w:tcPr/>
          <w:p w:rsidR="00000000" w:rsidDel="00000000" w:rsidP="00000000" w:rsidRDefault="00000000" w:rsidRPr="00000000" w14:paraId="000000CC">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19</w:t>
            </w:r>
          </w:p>
        </w:tc>
      </w:tr>
      <w:tr>
        <w:trPr>
          <w:cantSplit w:val="0"/>
          <w:tblHeader w:val="0"/>
        </w:trPr>
        <w:tc>
          <w:tcPr>
            <w:vMerge w:val="continue"/>
            <w:vAlign w:val="center"/>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color w:val="000000"/>
              </w:rPr>
            </w:pPr>
            <w:r w:rsidDel="00000000" w:rsidR="00000000" w:rsidRPr="00000000">
              <w:rPr>
                <w:rtl w:val="0"/>
              </w:rPr>
            </w:r>
          </w:p>
        </w:tc>
        <w:tc>
          <w:tcPr/>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Fonts w:ascii="Calibri" w:cs="Calibri" w:eastAsia="Calibri" w:hAnsi="Calibri"/>
                <w:color w:val="000000"/>
                <w:rtl w:val="0"/>
              </w:rPr>
              <w:t xml:space="preserve">Qudeimat, 2017 [26]</w:t>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Calibri" w:cs="Calibri" w:eastAsia="Calibri" w:hAnsi="Calibri"/>
                <w:color w:val="000000"/>
              </w:rPr>
            </w:pPr>
            <w:r w:rsidDel="00000000" w:rsidR="00000000" w:rsidRPr="00000000">
              <w:rPr>
                <w:rtl w:val="0"/>
              </w:rPr>
            </w:r>
          </w:p>
        </w:tc>
        <w:tc>
          <w:tcPr/>
          <w:p w:rsidR="00000000" w:rsidDel="00000000" w:rsidP="00000000" w:rsidRDefault="00000000" w:rsidRPr="00000000" w14:paraId="000000D0">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10</w:t>
            </w:r>
          </w:p>
        </w:tc>
        <w:tc>
          <w:tcPr/>
          <w:p w:rsidR="00000000" w:rsidDel="00000000" w:rsidP="00000000" w:rsidRDefault="00000000" w:rsidRPr="00000000" w14:paraId="000000D1">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w:t>
            </w:r>
          </w:p>
        </w:tc>
        <w:tc>
          <w:tcPr/>
          <w:p w:rsidR="00000000" w:rsidDel="00000000" w:rsidP="00000000" w:rsidRDefault="00000000" w:rsidRPr="00000000" w14:paraId="000000D2">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4</w:t>
            </w:r>
          </w:p>
        </w:tc>
        <w:tc>
          <w:tcPr/>
          <w:p w:rsidR="00000000" w:rsidDel="00000000" w:rsidP="00000000" w:rsidRDefault="00000000" w:rsidRPr="00000000" w14:paraId="000000D3">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2</w:t>
            </w:r>
          </w:p>
        </w:tc>
        <w:tc>
          <w:tcPr/>
          <w:p w:rsidR="00000000" w:rsidDel="00000000" w:rsidP="00000000" w:rsidRDefault="00000000" w:rsidRPr="00000000" w14:paraId="000000D4">
            <w:pPr>
              <w:pBdr>
                <w:top w:space="0" w:sz="0" w:val="nil"/>
                <w:left w:space="0" w:sz="0" w:val="nil"/>
                <w:bottom w:space="0" w:sz="0" w:val="nil"/>
                <w:right w:space="0" w:sz="0" w:val="nil"/>
                <w:between w:space="0" w:sz="0" w:val="nil"/>
              </w:pBdr>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0</w:t>
            </w:r>
          </w:p>
        </w:tc>
        <w:tc>
          <w:tcPr/>
          <w:p w:rsidR="00000000" w:rsidDel="00000000" w:rsidP="00000000" w:rsidRDefault="00000000" w:rsidRPr="00000000" w14:paraId="000000D5">
            <w:pPr>
              <w:pBdr>
                <w:top w:space="0" w:sz="0" w:val="nil"/>
                <w:left w:space="0" w:sz="0" w:val="nil"/>
                <w:bottom w:space="0" w:sz="0" w:val="nil"/>
                <w:right w:space="0" w:sz="0" w:val="nil"/>
                <w:between w:space="0" w:sz="0" w:val="nil"/>
              </w:pBd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18</w:t>
            </w:r>
          </w:p>
        </w:tc>
      </w:tr>
    </w:tbl>
    <w:p w:rsidR="00000000" w:rsidDel="00000000" w:rsidP="00000000" w:rsidRDefault="00000000" w:rsidRPr="00000000" w14:paraId="000000D6">
      <w:pPr>
        <w:pBdr>
          <w:top w:space="0" w:sz="0" w:val="nil"/>
          <w:left w:space="0" w:sz="0" w:val="nil"/>
          <w:bottom w:space="0" w:sz="0" w:val="nil"/>
          <w:right w:space="0" w:sz="0" w:val="nil"/>
          <w:between w:space="0" w:sz="0" w:val="nil"/>
        </w:pBdr>
        <w:jc w:val="center"/>
        <w:rPr>
          <w:color w:val="000000"/>
          <w:sz w:val="24"/>
          <w:szCs w:val="24"/>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color w:val="000000"/>
          <w:sz w:val="24"/>
          <w:szCs w:val="24"/>
        </w:rPr>
        <w:sectPr>
          <w:type w:val="nextPage"/>
          <w:pgSz w:h="11900" w:w="16820" w:orient="landscape"/>
          <w:pgMar w:bottom="280" w:top="1100" w:left="1280" w:right="1320" w:header="720" w:footer="720"/>
        </w:sect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spacing w:before="11" w:lineRule="auto"/>
        <w:rPr>
          <w:color w:val="000000"/>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spacing w:line="360" w:lineRule="auto"/>
        <w:ind w:left="160" w:firstLine="0"/>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Supplementary </w:t>
      </w:r>
      <w:r w:rsidDel="00000000" w:rsidR="00000000" w:rsidRPr="00000000">
        <w:rPr>
          <w:rFonts w:ascii="Calibri" w:cs="Calibri" w:eastAsia="Calibri" w:hAnsi="Calibri"/>
          <w:b w:val="1"/>
          <w:rtl w:val="0"/>
        </w:rPr>
        <w:t xml:space="preserve">S4</w:t>
      </w:r>
      <w:r w:rsidDel="00000000" w:rsidR="00000000" w:rsidRPr="00000000">
        <w:rPr>
          <w:rFonts w:ascii="Calibri" w:cs="Calibri" w:eastAsia="Calibri" w:hAnsi="Calibri"/>
          <w:b w:val="1"/>
          <w:color w:val="000000"/>
          <w:rtl w:val="0"/>
        </w:rPr>
        <w:t xml:space="preserve">: </w:t>
      </w:r>
      <w:r w:rsidDel="00000000" w:rsidR="00000000" w:rsidRPr="00000000">
        <w:rPr>
          <w:rFonts w:ascii="Calibri" w:cs="Calibri" w:eastAsia="Calibri" w:hAnsi="Calibri"/>
          <w:color w:val="000000"/>
          <w:rtl w:val="0"/>
        </w:rPr>
        <w:t xml:space="preserve">Risk of bias assessment in randomized control trial included in the study using Cochrane risk of bias assessment 2 (ROB 2) tool.</w:t>
      </w:r>
    </w:p>
    <w:p w:rsidR="00000000" w:rsidDel="00000000" w:rsidP="00000000" w:rsidRDefault="00000000" w:rsidRPr="00000000" w14:paraId="000000DE">
      <w:pPr>
        <w:pBdr>
          <w:top w:space="0" w:sz="0" w:val="nil"/>
          <w:left w:space="0" w:sz="0" w:val="nil"/>
          <w:bottom w:space="0" w:sz="0" w:val="nil"/>
          <w:right w:space="0" w:sz="0" w:val="nil"/>
          <w:between w:space="0" w:sz="0" w:val="nil"/>
        </w:pBdr>
        <w:rPr>
          <w:color w:val="000000"/>
          <w:sz w:val="20"/>
          <w:szCs w:val="20"/>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spacing w:before="9" w:lineRule="auto"/>
        <w:rPr>
          <w:i w:val="1"/>
          <w:color w:val="000000"/>
          <w:sz w:val="28"/>
          <w:szCs w:val="28"/>
        </w:rPr>
      </w:pPr>
      <w:r w:rsidDel="00000000" w:rsidR="00000000" w:rsidRPr="00000000">
        <w:rPr>
          <w:rtl w:val="0"/>
        </w:rPr>
      </w:r>
    </w:p>
    <w:p w:rsidR="00000000" w:rsidDel="00000000" w:rsidP="00000000" w:rsidRDefault="00000000" w:rsidRPr="00000000" w14:paraId="000000E0">
      <w:pPr>
        <w:spacing w:before="215" w:lineRule="auto"/>
        <w:rPr/>
      </w:pPr>
      <w:r w:rsidDel="00000000" w:rsidR="00000000" w:rsidRPr="00000000">
        <w:rPr/>
        <w:drawing>
          <wp:inline distB="0" distT="0" distL="0" distR="0">
            <wp:extent cx="6067425" cy="2370137"/>
            <wp:effectExtent b="0" l="0" r="0" t="0"/>
            <wp:docPr id="4" name="image3.png"/>
            <a:graphic>
              <a:graphicData uri="http://schemas.openxmlformats.org/drawingml/2006/picture">
                <pic:pic>
                  <pic:nvPicPr>
                    <pic:cNvPr id="0" name="image3.png"/>
                    <pic:cNvPicPr preferRelativeResize="0"/>
                  </pic:nvPicPr>
                  <pic:blipFill>
                    <a:blip r:embed="rId9"/>
                    <a:srcRect b="10337" l="0" r="0" t="3183"/>
                    <a:stretch>
                      <a:fillRect/>
                    </a:stretch>
                  </pic:blipFill>
                  <pic:spPr>
                    <a:xfrm>
                      <a:off x="0" y="0"/>
                      <a:ext cx="6067425" cy="2370137"/>
                    </a:xfrm>
                    <a:prstGeom prst="rect"/>
                    <a:ln/>
                  </pic:spPr>
                </pic:pic>
              </a:graphicData>
            </a:graphic>
          </wp:inline>
        </w:drawing>
      </w:r>
      <w:r w:rsidDel="00000000" w:rsidR="00000000" w:rsidRPr="00000000">
        <w:rPr/>
        <w:drawing>
          <wp:inline distB="0" distT="0" distL="0" distR="0">
            <wp:extent cx="7101139" cy="2139217"/>
            <wp:effectExtent b="0" l="0" r="0" t="0"/>
            <wp:docPr id="6"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7101139" cy="2139217"/>
                    </a:xfrm>
                    <a:prstGeom prst="rect"/>
                    <a:ln/>
                  </pic:spPr>
                </pic:pic>
              </a:graphicData>
            </a:graphic>
          </wp:inline>
        </w:drawing>
      </w:r>
      <w:r w:rsidDel="00000000" w:rsidR="00000000" w:rsidRPr="00000000">
        <w:rPr>
          <w:rtl w:val="0"/>
        </w:rPr>
      </w:r>
    </w:p>
    <w:p w:rsidR="00000000" w:rsidDel="00000000" w:rsidP="00000000" w:rsidRDefault="00000000" w:rsidRPr="00000000" w14:paraId="000000E1">
      <w:pPr>
        <w:spacing w:before="215" w:lineRule="auto"/>
        <w:rPr/>
      </w:pPr>
      <w:r w:rsidDel="00000000" w:rsidR="00000000" w:rsidRPr="00000000">
        <w:rPr>
          <w:rtl w:val="0"/>
        </w:rPr>
      </w:r>
    </w:p>
    <w:p w:rsidR="00000000" w:rsidDel="00000000" w:rsidP="00000000" w:rsidRDefault="00000000" w:rsidRPr="00000000" w14:paraId="000000E2">
      <w:pPr>
        <w:spacing w:before="215" w:lineRule="auto"/>
        <w:rPr/>
      </w:pPr>
      <w:r w:rsidDel="00000000" w:rsidR="00000000" w:rsidRPr="00000000">
        <w:rPr>
          <w:rtl w:val="0"/>
        </w:rPr>
      </w:r>
    </w:p>
    <w:p w:rsidR="00000000" w:rsidDel="00000000" w:rsidP="00000000" w:rsidRDefault="00000000" w:rsidRPr="00000000" w14:paraId="000000E3">
      <w:pPr>
        <w:spacing w:before="215" w:lineRule="auto"/>
        <w:rPr>
          <w:rFonts w:ascii="Calibri" w:cs="Calibri" w:eastAsia="Calibri" w:hAnsi="Calibri"/>
        </w:rPr>
      </w:pPr>
      <w:r w:rsidDel="00000000" w:rsidR="00000000" w:rsidRPr="00000000">
        <w:rPr>
          <w:rFonts w:ascii="Calibri" w:cs="Calibri" w:eastAsia="Calibri" w:hAnsi="Calibri"/>
          <w:b w:val="1"/>
          <w:rtl w:val="0"/>
        </w:rPr>
        <w:t xml:space="preserve">Supplementary S5:</w:t>
      </w:r>
      <w:r w:rsidDel="00000000" w:rsidR="00000000" w:rsidRPr="00000000">
        <w:rPr>
          <w:rFonts w:ascii="Calibri" w:cs="Calibri" w:eastAsia="Calibri" w:hAnsi="Calibri"/>
          <w:rtl w:val="0"/>
        </w:rPr>
        <w:t xml:space="preserve"> Indirect comparison of pulpotomy success rate based on different pulp capping materials. Comparison performed using z statistical test for two proportions.</w:t>
      </w:r>
    </w:p>
    <w:p w:rsidR="00000000" w:rsidDel="00000000" w:rsidP="00000000" w:rsidRDefault="00000000" w:rsidRPr="00000000" w14:paraId="000000E4">
      <w:pPr>
        <w:spacing w:before="215" w:lineRule="auto"/>
        <w:rPr/>
      </w:pPr>
      <w:r w:rsidDel="00000000" w:rsidR="00000000" w:rsidRPr="00000000">
        <w:rPr>
          <w:rtl w:val="0"/>
        </w:rPr>
      </w:r>
    </w:p>
    <w:p w:rsidR="00000000" w:rsidDel="00000000" w:rsidP="00000000" w:rsidRDefault="00000000" w:rsidRPr="00000000" w14:paraId="000000E5">
      <w:pPr>
        <w:spacing w:before="215" w:lineRule="auto"/>
        <w:rPr/>
      </w:pPr>
      <w:r w:rsidDel="00000000" w:rsidR="00000000" w:rsidRPr="00000000">
        <w:rPr>
          <w:rtl w:val="0"/>
        </w:rPr>
      </w:r>
    </w:p>
    <w:tbl>
      <w:tblPr>
        <w:tblStyle w:val="Table4"/>
        <w:tblW w:w="885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300"/>
        <w:gridCol w:w="2730"/>
        <w:gridCol w:w="2820"/>
        <w:tblGridChange w:id="0">
          <w:tblGrid>
            <w:gridCol w:w="3300"/>
            <w:gridCol w:w="2730"/>
            <w:gridCol w:w="2820"/>
          </w:tblGrid>
        </w:tblGridChange>
      </w:tblGrid>
      <w:tr>
        <w:trPr>
          <w:cantSplit w:val="0"/>
          <w:trHeight w:val="45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E6">
            <w:pPr>
              <w:spacing w:before="240" w:line="276" w:lineRule="auto"/>
              <w:jc w:val="center"/>
              <w:rPr>
                <w:sz w:val="20"/>
                <w:szCs w:val="20"/>
              </w:rPr>
            </w:pPr>
            <w:r w:rsidDel="00000000" w:rsidR="00000000" w:rsidRPr="00000000">
              <w:rPr>
                <w:sz w:val="20"/>
                <w:szCs w:val="20"/>
                <w:rtl w:val="0"/>
              </w:rPr>
              <w:t xml:space="preserve"> </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E7">
            <w:pPr>
              <w:spacing w:before="240" w:line="276" w:lineRule="auto"/>
              <w:jc w:val="center"/>
              <w:rPr>
                <w:b w:val="1"/>
                <w:sz w:val="20"/>
                <w:szCs w:val="20"/>
              </w:rPr>
            </w:pPr>
            <w:r w:rsidDel="00000000" w:rsidR="00000000" w:rsidRPr="00000000">
              <w:rPr>
                <w:b w:val="1"/>
                <w:sz w:val="20"/>
                <w:szCs w:val="20"/>
                <w:rtl w:val="0"/>
              </w:rPr>
              <w:t xml:space="preserve">z statistic</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E8">
            <w:pPr>
              <w:spacing w:before="240" w:line="276" w:lineRule="auto"/>
              <w:jc w:val="center"/>
              <w:rPr>
                <w:b w:val="1"/>
                <w:sz w:val="20"/>
                <w:szCs w:val="20"/>
              </w:rPr>
            </w:pPr>
            <w:r w:rsidDel="00000000" w:rsidR="00000000" w:rsidRPr="00000000">
              <w:rPr>
                <w:b w:val="1"/>
                <w:sz w:val="20"/>
                <w:szCs w:val="20"/>
                <w:rtl w:val="0"/>
              </w:rPr>
              <w:t xml:space="preserve">p-value</w:t>
            </w:r>
          </w:p>
        </w:tc>
      </w:tr>
      <w:tr>
        <w:trPr>
          <w:cantSplit w:val="0"/>
          <w:trHeight w:val="455"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E9">
            <w:pPr>
              <w:spacing w:before="240" w:line="276" w:lineRule="auto"/>
              <w:jc w:val="center"/>
              <w:rPr>
                <w:b w:val="1"/>
                <w:sz w:val="20"/>
                <w:szCs w:val="20"/>
              </w:rPr>
            </w:pPr>
            <w:r w:rsidDel="00000000" w:rsidR="00000000" w:rsidRPr="00000000">
              <w:rPr>
                <w:b w:val="1"/>
                <w:sz w:val="20"/>
                <w:szCs w:val="20"/>
                <w:rtl w:val="0"/>
              </w:rPr>
              <w:t xml:space="preserve">MTA </w:t>
            </w:r>
            <w:r w:rsidDel="00000000" w:rsidR="00000000" w:rsidRPr="00000000">
              <w:rPr>
                <w:sz w:val="20"/>
                <w:szCs w:val="20"/>
                <w:rtl w:val="0"/>
              </w:rPr>
              <w:t xml:space="preserve">vs</w:t>
            </w:r>
            <w:r w:rsidDel="00000000" w:rsidR="00000000" w:rsidRPr="00000000">
              <w:rPr>
                <w:b w:val="1"/>
                <w:sz w:val="20"/>
                <w:szCs w:val="20"/>
                <w:rtl w:val="0"/>
              </w:rPr>
              <w:t xml:space="preserve"> Ca(OH)2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EA">
            <w:pPr>
              <w:spacing w:before="240" w:line="276" w:lineRule="auto"/>
              <w:jc w:val="center"/>
              <w:rPr>
                <w:sz w:val="20"/>
                <w:szCs w:val="20"/>
              </w:rPr>
            </w:pPr>
            <w:r w:rsidDel="00000000" w:rsidR="00000000" w:rsidRPr="00000000">
              <w:rPr>
                <w:sz w:val="20"/>
                <w:szCs w:val="20"/>
                <w:rtl w:val="0"/>
              </w:rPr>
              <w:t xml:space="preserve">2.18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EB">
            <w:pPr>
              <w:spacing w:before="240" w:line="276" w:lineRule="auto"/>
              <w:jc w:val="center"/>
              <w:rPr>
                <w:sz w:val="20"/>
                <w:szCs w:val="20"/>
              </w:rPr>
            </w:pPr>
            <w:r w:rsidDel="00000000" w:rsidR="00000000" w:rsidRPr="00000000">
              <w:rPr>
                <w:sz w:val="20"/>
                <w:szCs w:val="20"/>
                <w:rtl w:val="0"/>
              </w:rPr>
              <w:t xml:space="preserve">0.03</w:t>
            </w:r>
          </w:p>
        </w:tc>
      </w:tr>
      <w:tr>
        <w:trPr>
          <w:cantSplit w:val="0"/>
          <w:trHeight w:val="455"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EC">
            <w:pPr>
              <w:spacing w:before="240" w:line="276" w:lineRule="auto"/>
              <w:jc w:val="center"/>
              <w:rPr>
                <w:b w:val="1"/>
                <w:sz w:val="20"/>
                <w:szCs w:val="20"/>
              </w:rPr>
            </w:pPr>
            <w:r w:rsidDel="00000000" w:rsidR="00000000" w:rsidRPr="00000000">
              <w:rPr>
                <w:b w:val="1"/>
                <w:sz w:val="20"/>
                <w:szCs w:val="20"/>
                <w:rtl w:val="0"/>
              </w:rPr>
              <w:t xml:space="preserve">MTA </w:t>
            </w:r>
            <w:r w:rsidDel="00000000" w:rsidR="00000000" w:rsidRPr="00000000">
              <w:rPr>
                <w:sz w:val="20"/>
                <w:szCs w:val="20"/>
                <w:rtl w:val="0"/>
              </w:rPr>
              <w:t xml:space="preserve">vs </w:t>
            </w:r>
            <w:r w:rsidDel="00000000" w:rsidR="00000000" w:rsidRPr="00000000">
              <w:rPr>
                <w:b w:val="1"/>
                <w:sz w:val="20"/>
                <w:szCs w:val="20"/>
                <w:rtl w:val="0"/>
              </w:rPr>
              <w:t xml:space="preserve">BD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ED">
            <w:pPr>
              <w:spacing w:before="240" w:line="276" w:lineRule="auto"/>
              <w:jc w:val="center"/>
              <w:rPr>
                <w:sz w:val="20"/>
                <w:szCs w:val="20"/>
              </w:rPr>
            </w:pPr>
            <w:r w:rsidDel="00000000" w:rsidR="00000000" w:rsidRPr="00000000">
              <w:rPr>
                <w:sz w:val="20"/>
                <w:szCs w:val="20"/>
                <w:rtl w:val="0"/>
              </w:rPr>
              <w:t xml:space="preserve">-3.39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EE">
            <w:pPr>
              <w:spacing w:before="240" w:line="276" w:lineRule="auto"/>
              <w:jc w:val="center"/>
              <w:rPr>
                <w:sz w:val="20"/>
                <w:szCs w:val="20"/>
              </w:rPr>
            </w:pPr>
            <w:r w:rsidDel="00000000" w:rsidR="00000000" w:rsidRPr="00000000">
              <w:rPr>
                <w:sz w:val="20"/>
                <w:szCs w:val="20"/>
                <w:rtl w:val="0"/>
              </w:rPr>
              <w:t xml:space="preserve">0.0007</w:t>
            </w:r>
          </w:p>
        </w:tc>
      </w:tr>
      <w:tr>
        <w:trPr>
          <w:cantSplit w:val="0"/>
          <w:trHeight w:val="455"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EF">
            <w:pPr>
              <w:spacing w:before="240" w:line="276" w:lineRule="auto"/>
              <w:jc w:val="center"/>
              <w:rPr>
                <w:b w:val="1"/>
                <w:sz w:val="20"/>
                <w:szCs w:val="20"/>
              </w:rPr>
            </w:pPr>
            <w:r w:rsidDel="00000000" w:rsidR="00000000" w:rsidRPr="00000000">
              <w:rPr>
                <w:b w:val="1"/>
                <w:sz w:val="20"/>
                <w:szCs w:val="20"/>
                <w:rtl w:val="0"/>
              </w:rPr>
              <w:t xml:space="preserve">MTA </w:t>
            </w:r>
            <w:r w:rsidDel="00000000" w:rsidR="00000000" w:rsidRPr="00000000">
              <w:rPr>
                <w:sz w:val="20"/>
                <w:szCs w:val="20"/>
                <w:rtl w:val="0"/>
              </w:rPr>
              <w:t xml:space="preserve">vs</w:t>
            </w:r>
            <w:r w:rsidDel="00000000" w:rsidR="00000000" w:rsidRPr="00000000">
              <w:rPr>
                <w:b w:val="1"/>
                <w:sz w:val="20"/>
                <w:szCs w:val="20"/>
                <w:rtl w:val="0"/>
              </w:rPr>
              <w:t xml:space="preserve"> CEM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F0">
            <w:pPr>
              <w:spacing w:before="240" w:line="276" w:lineRule="auto"/>
              <w:jc w:val="center"/>
              <w:rPr>
                <w:sz w:val="20"/>
                <w:szCs w:val="20"/>
              </w:rPr>
            </w:pPr>
            <w:r w:rsidDel="00000000" w:rsidR="00000000" w:rsidRPr="00000000">
              <w:rPr>
                <w:sz w:val="20"/>
                <w:szCs w:val="20"/>
                <w:rtl w:val="0"/>
              </w:rPr>
              <w:t xml:space="preserve">1.5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F1">
            <w:pPr>
              <w:spacing w:before="240" w:line="276" w:lineRule="auto"/>
              <w:jc w:val="center"/>
              <w:rPr>
                <w:sz w:val="20"/>
                <w:szCs w:val="20"/>
              </w:rPr>
            </w:pPr>
            <w:r w:rsidDel="00000000" w:rsidR="00000000" w:rsidRPr="00000000">
              <w:rPr>
                <w:sz w:val="20"/>
                <w:szCs w:val="20"/>
                <w:rtl w:val="0"/>
              </w:rPr>
              <w:t xml:space="preserve">0.13</w:t>
            </w:r>
          </w:p>
        </w:tc>
      </w:tr>
      <w:tr>
        <w:trPr>
          <w:cantSplit w:val="0"/>
          <w:trHeight w:val="455"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F2">
            <w:pPr>
              <w:spacing w:before="240" w:line="276" w:lineRule="auto"/>
              <w:jc w:val="center"/>
              <w:rPr>
                <w:b w:val="1"/>
                <w:sz w:val="20"/>
                <w:szCs w:val="20"/>
              </w:rPr>
            </w:pPr>
            <w:r w:rsidDel="00000000" w:rsidR="00000000" w:rsidRPr="00000000">
              <w:rPr>
                <w:b w:val="1"/>
                <w:sz w:val="20"/>
                <w:szCs w:val="20"/>
                <w:rtl w:val="0"/>
              </w:rPr>
              <w:t xml:space="preserve">BD </w:t>
            </w:r>
            <w:r w:rsidDel="00000000" w:rsidR="00000000" w:rsidRPr="00000000">
              <w:rPr>
                <w:sz w:val="20"/>
                <w:szCs w:val="20"/>
                <w:rtl w:val="0"/>
              </w:rPr>
              <w:t xml:space="preserve">vs</w:t>
            </w:r>
            <w:r w:rsidDel="00000000" w:rsidR="00000000" w:rsidRPr="00000000">
              <w:rPr>
                <w:b w:val="1"/>
                <w:sz w:val="20"/>
                <w:szCs w:val="20"/>
                <w:rtl w:val="0"/>
              </w:rPr>
              <w:t xml:space="preserve"> Ca(OH)2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F3">
            <w:pPr>
              <w:spacing w:before="240" w:line="276" w:lineRule="auto"/>
              <w:jc w:val="center"/>
              <w:rPr>
                <w:sz w:val="20"/>
                <w:szCs w:val="20"/>
              </w:rPr>
            </w:pPr>
            <w:r w:rsidDel="00000000" w:rsidR="00000000" w:rsidRPr="00000000">
              <w:rPr>
                <w:sz w:val="20"/>
                <w:szCs w:val="20"/>
                <w:rtl w:val="0"/>
              </w:rPr>
              <w:t xml:space="preserve">4.63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F4">
            <w:pPr>
              <w:spacing w:before="240" w:line="276" w:lineRule="auto"/>
              <w:jc w:val="center"/>
              <w:rPr>
                <w:sz w:val="20"/>
                <w:szCs w:val="20"/>
              </w:rPr>
            </w:pPr>
            <w:r w:rsidDel="00000000" w:rsidR="00000000" w:rsidRPr="00000000">
              <w:rPr>
                <w:sz w:val="20"/>
                <w:szCs w:val="20"/>
                <w:rtl w:val="0"/>
              </w:rPr>
              <w:t xml:space="preserve">0</w:t>
            </w:r>
          </w:p>
        </w:tc>
      </w:tr>
      <w:tr>
        <w:trPr>
          <w:cantSplit w:val="0"/>
          <w:trHeight w:val="455"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F5">
            <w:pPr>
              <w:spacing w:before="240" w:line="276" w:lineRule="auto"/>
              <w:jc w:val="center"/>
              <w:rPr>
                <w:b w:val="1"/>
                <w:sz w:val="20"/>
                <w:szCs w:val="20"/>
              </w:rPr>
            </w:pPr>
            <w:r w:rsidDel="00000000" w:rsidR="00000000" w:rsidRPr="00000000">
              <w:rPr>
                <w:b w:val="1"/>
                <w:sz w:val="20"/>
                <w:szCs w:val="20"/>
                <w:rtl w:val="0"/>
              </w:rPr>
              <w:t xml:space="preserve">BD </w:t>
            </w:r>
            <w:r w:rsidDel="00000000" w:rsidR="00000000" w:rsidRPr="00000000">
              <w:rPr>
                <w:sz w:val="20"/>
                <w:szCs w:val="20"/>
                <w:rtl w:val="0"/>
              </w:rPr>
              <w:t xml:space="preserve">vs</w:t>
            </w:r>
            <w:r w:rsidDel="00000000" w:rsidR="00000000" w:rsidRPr="00000000">
              <w:rPr>
                <w:b w:val="1"/>
                <w:sz w:val="20"/>
                <w:szCs w:val="20"/>
                <w:rtl w:val="0"/>
              </w:rPr>
              <w:t xml:space="preserve"> CEM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F6">
            <w:pPr>
              <w:spacing w:before="240" w:line="276" w:lineRule="auto"/>
              <w:jc w:val="center"/>
              <w:rPr>
                <w:sz w:val="20"/>
                <w:szCs w:val="20"/>
              </w:rPr>
            </w:pPr>
            <w:r w:rsidDel="00000000" w:rsidR="00000000" w:rsidRPr="00000000">
              <w:rPr>
                <w:sz w:val="20"/>
                <w:szCs w:val="20"/>
                <w:rtl w:val="0"/>
              </w:rPr>
              <w:t xml:space="preserve">4.2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F7">
            <w:pPr>
              <w:spacing w:before="240" w:line="276" w:lineRule="auto"/>
              <w:jc w:val="center"/>
              <w:rPr>
                <w:sz w:val="20"/>
                <w:szCs w:val="20"/>
              </w:rPr>
            </w:pPr>
            <w:r w:rsidDel="00000000" w:rsidR="00000000" w:rsidRPr="00000000">
              <w:rPr>
                <w:sz w:val="20"/>
                <w:szCs w:val="20"/>
                <w:rtl w:val="0"/>
              </w:rPr>
              <w:t xml:space="preserve">0</w:t>
            </w:r>
          </w:p>
        </w:tc>
      </w:tr>
      <w:tr>
        <w:trPr>
          <w:cantSplit w:val="0"/>
          <w:trHeight w:val="455"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F8">
            <w:pPr>
              <w:spacing w:before="240" w:line="276" w:lineRule="auto"/>
              <w:jc w:val="center"/>
              <w:rPr>
                <w:b w:val="1"/>
                <w:sz w:val="20"/>
                <w:szCs w:val="20"/>
              </w:rPr>
            </w:pPr>
            <w:r w:rsidDel="00000000" w:rsidR="00000000" w:rsidRPr="00000000">
              <w:rPr>
                <w:b w:val="1"/>
                <w:sz w:val="20"/>
                <w:szCs w:val="20"/>
                <w:rtl w:val="0"/>
              </w:rPr>
              <w:t xml:space="preserve">Ca(OH)2 </w:t>
            </w:r>
            <w:r w:rsidDel="00000000" w:rsidR="00000000" w:rsidRPr="00000000">
              <w:rPr>
                <w:sz w:val="20"/>
                <w:szCs w:val="20"/>
                <w:rtl w:val="0"/>
              </w:rPr>
              <w:t xml:space="preserve">vs</w:t>
            </w:r>
            <w:r w:rsidDel="00000000" w:rsidR="00000000" w:rsidRPr="00000000">
              <w:rPr>
                <w:b w:val="1"/>
                <w:sz w:val="20"/>
                <w:szCs w:val="20"/>
                <w:rtl w:val="0"/>
              </w:rPr>
              <w:t xml:space="preserve"> CEM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F9">
            <w:pPr>
              <w:spacing w:before="240" w:line="276" w:lineRule="auto"/>
              <w:jc w:val="center"/>
              <w:rPr>
                <w:sz w:val="20"/>
                <w:szCs w:val="20"/>
              </w:rPr>
            </w:pPr>
            <w:r w:rsidDel="00000000" w:rsidR="00000000" w:rsidRPr="00000000">
              <w:rPr>
                <w:sz w:val="20"/>
                <w:szCs w:val="20"/>
                <w:rtl w:val="0"/>
              </w:rPr>
              <w:t xml:space="preserve">0.85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bottom"/>
          </w:tcPr>
          <w:p w:rsidR="00000000" w:rsidDel="00000000" w:rsidP="00000000" w:rsidRDefault="00000000" w:rsidRPr="00000000" w14:paraId="000000FA">
            <w:pPr>
              <w:spacing w:before="240" w:line="276" w:lineRule="auto"/>
              <w:jc w:val="center"/>
              <w:rPr>
                <w:sz w:val="20"/>
                <w:szCs w:val="20"/>
              </w:rPr>
            </w:pPr>
            <w:r w:rsidDel="00000000" w:rsidR="00000000" w:rsidRPr="00000000">
              <w:rPr>
                <w:sz w:val="20"/>
                <w:szCs w:val="20"/>
                <w:rtl w:val="0"/>
              </w:rPr>
              <w:t xml:space="preserve">0.4</w:t>
            </w:r>
          </w:p>
        </w:tc>
      </w:tr>
    </w:tbl>
    <w:p w:rsidR="00000000" w:rsidDel="00000000" w:rsidP="00000000" w:rsidRDefault="00000000" w:rsidRPr="00000000" w14:paraId="000000FB">
      <w:pPr>
        <w:spacing w:before="215" w:lineRule="auto"/>
        <w:rPr/>
      </w:pPr>
      <w:r w:rsidDel="00000000" w:rsidR="00000000" w:rsidRPr="00000000">
        <w:rPr>
          <w:rtl w:val="0"/>
        </w:rPr>
      </w:r>
    </w:p>
    <w:p w:rsidR="00000000" w:rsidDel="00000000" w:rsidP="00000000" w:rsidRDefault="00000000" w:rsidRPr="00000000" w14:paraId="000000FC">
      <w:pPr>
        <w:spacing w:line="360" w:lineRule="auto"/>
        <w:ind w:left="16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FD">
      <w:pPr>
        <w:spacing w:line="360" w:lineRule="auto"/>
        <w:ind w:left="16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FE">
      <w:pPr>
        <w:spacing w:line="360" w:lineRule="auto"/>
        <w:ind w:left="16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FF">
      <w:pPr>
        <w:spacing w:line="360" w:lineRule="auto"/>
        <w:ind w:left="16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100">
      <w:pPr>
        <w:spacing w:line="360" w:lineRule="auto"/>
        <w:ind w:left="16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101">
      <w:pPr>
        <w:spacing w:line="360" w:lineRule="auto"/>
        <w:ind w:left="16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102">
      <w:pPr>
        <w:spacing w:line="360" w:lineRule="auto"/>
        <w:ind w:left="16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103">
      <w:pPr>
        <w:spacing w:line="360" w:lineRule="auto"/>
        <w:ind w:left="16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104">
      <w:pPr>
        <w:spacing w:line="360" w:lineRule="auto"/>
        <w:ind w:left="160" w:firstLine="0"/>
        <w:rPr>
          <w:rFonts w:ascii="Calibri" w:cs="Calibri" w:eastAsia="Calibri" w:hAnsi="Calibri"/>
        </w:rPr>
      </w:pPr>
      <w:r w:rsidDel="00000000" w:rsidR="00000000" w:rsidRPr="00000000">
        <w:rPr>
          <w:rFonts w:ascii="Calibri" w:cs="Calibri" w:eastAsia="Calibri" w:hAnsi="Calibri"/>
          <w:b w:val="1"/>
          <w:rtl w:val="0"/>
        </w:rPr>
        <w:t xml:space="preserve">Supplementary S6: </w:t>
      </w:r>
      <w:r w:rsidDel="00000000" w:rsidR="00000000" w:rsidRPr="00000000">
        <w:rPr>
          <w:rFonts w:ascii="Calibri" w:cs="Calibri" w:eastAsia="Calibri" w:hAnsi="Calibri"/>
          <w:rtl w:val="0"/>
        </w:rPr>
        <w:t xml:space="preserve">Funnel plot showing asymmetric distribution of studies indicating possible publication bias</w:t>
      </w:r>
    </w:p>
    <w:p w:rsidR="00000000" w:rsidDel="00000000" w:rsidP="00000000" w:rsidRDefault="00000000" w:rsidRPr="00000000" w14:paraId="00000105">
      <w:pPr>
        <w:spacing w:line="360" w:lineRule="auto"/>
        <w:ind w:left="160" w:firstLine="0"/>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7501934" cy="4173538"/>
            <wp:effectExtent b="0" l="0" r="0" t="0"/>
            <wp:docPr id="5" name="image2.jpg"/>
            <a:graphic>
              <a:graphicData uri="http://schemas.openxmlformats.org/drawingml/2006/picture">
                <pic:pic>
                  <pic:nvPicPr>
                    <pic:cNvPr id="0" name="image2.jpg"/>
                    <pic:cNvPicPr preferRelativeResize="0"/>
                  </pic:nvPicPr>
                  <pic:blipFill>
                    <a:blip r:embed="rId11"/>
                    <a:srcRect b="2000" l="4935" r="7810" t="2078"/>
                    <a:stretch>
                      <a:fillRect/>
                    </a:stretch>
                  </pic:blipFill>
                  <pic:spPr>
                    <a:xfrm>
                      <a:off x="0" y="0"/>
                      <a:ext cx="7501934" cy="4173538"/>
                    </a:xfrm>
                    <a:prstGeom prst="rect"/>
                    <a:ln/>
                  </pic:spPr>
                </pic:pic>
              </a:graphicData>
            </a:graphic>
          </wp:inline>
        </w:drawing>
      </w:r>
      <w:r w:rsidDel="00000000" w:rsidR="00000000" w:rsidRPr="00000000">
        <w:rPr>
          <w:rtl w:val="0"/>
        </w:rPr>
      </w:r>
    </w:p>
    <w:p w:rsidR="00000000" w:rsidDel="00000000" w:rsidP="00000000" w:rsidRDefault="00000000" w:rsidRPr="00000000" w14:paraId="00000106">
      <w:pPr>
        <w:spacing w:before="215" w:lineRule="auto"/>
        <w:rPr/>
      </w:pPr>
      <w:r w:rsidDel="00000000" w:rsidR="00000000" w:rsidRPr="00000000">
        <w:rPr>
          <w:rtl w:val="0"/>
        </w:rPr>
      </w:r>
    </w:p>
    <w:p w:rsidR="00000000" w:rsidDel="00000000" w:rsidP="00000000" w:rsidRDefault="00000000" w:rsidRPr="00000000" w14:paraId="00000107">
      <w:pPr>
        <w:spacing w:before="215" w:lineRule="auto"/>
        <w:rPr/>
      </w:pPr>
      <w:r w:rsidDel="00000000" w:rsidR="00000000" w:rsidRPr="00000000">
        <w:rPr>
          <w:rtl w:val="0"/>
        </w:rPr>
      </w:r>
    </w:p>
    <w:p w:rsidR="00000000" w:rsidDel="00000000" w:rsidP="00000000" w:rsidRDefault="00000000" w:rsidRPr="00000000" w14:paraId="00000108">
      <w:pPr>
        <w:spacing w:before="215" w:lineRule="auto"/>
        <w:rPr/>
      </w:pPr>
      <w:r w:rsidDel="00000000" w:rsidR="00000000" w:rsidRPr="00000000">
        <w:rPr>
          <w:rtl w:val="0"/>
        </w:rPr>
      </w:r>
    </w:p>
    <w:p w:rsidR="00000000" w:rsidDel="00000000" w:rsidP="00000000" w:rsidRDefault="00000000" w:rsidRPr="00000000" w14:paraId="00000109">
      <w:pPr>
        <w:spacing w:before="215" w:lineRule="auto"/>
        <w:rPr/>
      </w:pPr>
      <w:r w:rsidDel="00000000" w:rsidR="00000000" w:rsidRPr="00000000">
        <w:rPr>
          <w:rtl w:val="0"/>
        </w:rPr>
      </w:r>
    </w:p>
    <w:p w:rsidR="00000000" w:rsidDel="00000000" w:rsidP="00000000" w:rsidRDefault="00000000" w:rsidRPr="00000000" w14:paraId="0000010A">
      <w:pPr>
        <w:spacing w:before="215" w:lineRule="auto"/>
        <w:rPr/>
      </w:pPr>
      <w:r w:rsidDel="00000000" w:rsidR="00000000" w:rsidRPr="00000000">
        <w:rPr>
          <w:rtl w:val="0"/>
        </w:rPr>
      </w:r>
    </w:p>
    <w:p w:rsidR="00000000" w:rsidDel="00000000" w:rsidP="00000000" w:rsidRDefault="00000000" w:rsidRPr="00000000" w14:paraId="0000010B">
      <w:pPr>
        <w:spacing w:before="215" w:lineRule="auto"/>
        <w:rPr/>
      </w:pPr>
      <w:r w:rsidDel="00000000" w:rsidR="00000000" w:rsidRPr="00000000">
        <w:rPr>
          <w:rtl w:val="0"/>
        </w:rPr>
      </w:r>
    </w:p>
    <w:sectPr>
      <w:type w:val="nextPage"/>
      <w:pgSz w:h="11900" w:w="16820" w:orient="landscape"/>
      <w:pgMar w:bottom="280" w:top="1100" w:left="1280" w:right="13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Calibri"/>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paragraph" w:styleId="BodyText">
    <w:name w:val="Body Text"/>
    <w:basedOn w:val="Normal"/>
    <w:uiPriority w:val="1"/>
    <w:qFormat w:val="1"/>
    <w:rPr>
      <w:sz w:val="24"/>
      <w:szCs w:val="24"/>
    </w:rPr>
  </w:style>
  <w:style w:type="paragraph" w:styleId="ListParagraph">
    <w:name w:val="List Paragraph"/>
    <w:basedOn w:val="Normal"/>
    <w:uiPriority w:val="1"/>
    <w:qFormat w:val="1"/>
    <w:pPr>
      <w:ind w:left="1936" w:hanging="360"/>
    </w:pPr>
  </w:style>
  <w:style w:type="paragraph" w:styleId="TableParagraph" w:customStyle="1">
    <w:name w:val="Table Paragraph"/>
    <w:basedOn w:val="Normal"/>
    <w:uiPriority w:val="1"/>
    <w:qFormat w:val="1"/>
    <w:pPr>
      <w:spacing w:before="115"/>
    </w:pPr>
  </w:style>
  <w:style w:type="table" w:styleId="TableGrid">
    <w:name w:val="Table Grid"/>
    <w:basedOn w:val="TableNormal"/>
    <w:uiPriority w:val="39"/>
    <w:rsid w:val="0009451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rmalWeb">
    <w:name w:val="Normal (Web)"/>
    <w:basedOn w:val="Normal"/>
    <w:uiPriority w:val="99"/>
    <w:semiHidden w:val="1"/>
    <w:unhideWhenUsed w:val="1"/>
    <w:rsid w:val="005539D7"/>
    <w:pPr>
      <w:widowControl w:val="1"/>
      <w:spacing w:after="100" w:afterAutospacing="1" w:before="100" w:beforeAutospacing="1"/>
    </w:pPr>
    <w:rPr>
      <w:rFonts w:ascii="Times New Roman" w:cs="Times New Roman" w:eastAsia="Times New Roman" w:hAnsi="Times New Roman"/>
      <w:sz w:val="24"/>
      <w:szCs w:val="24"/>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0.0" w:type="dxa"/>
        <w:right w:w="0.0" w:type="dxa"/>
      </w:tblCellMar>
    </w:tblPr>
  </w:style>
  <w:style w:type="table" w:styleId="a0"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2.jpg"/><Relationship Id="rId10" Type="http://schemas.openxmlformats.org/officeDocument/2006/relationships/image" Target="media/image1.png"/><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ruparel@uthscsa.edu"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GPnWzRiAcXITT8kt2Sb60c1zHA==">AMUW2mXj2pOdNgWUJSK8NAQwoUO8wMUnq+7mfzFQxUAmJdsWYIIIHgMNRWGBCF0YDRiIxr8aFnW0QSj9BqIy/I+pAZmXpGkgs+Bko+p1IQZsbpxzLoTGOz5p7OW+BpLL59GUgGIFaZwS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2022-02-18T21:00:00Z</dcterms:created>
  <dc:creator>Amber Ather</dc:creator>
</cp:coreProperties>
</file>