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Supporting information for</w:t>
      </w:r>
    </w:p>
    <w:p>
      <w:pPr>
        <w:tabs>
          <w:tab w:val="left" w:pos="1050"/>
        </w:tabs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 novel Mcl-1 inhibitor synergize</w:t>
      </w:r>
      <w:r>
        <w:rPr>
          <w:rFonts w:hint="default" w:ascii="Arial" w:hAnsi="Arial" w:cs="Arial"/>
          <w:b/>
          <w:sz w:val="24"/>
          <w:szCs w:val="24"/>
        </w:rPr>
        <w:t>s</w:t>
      </w:r>
      <w:r>
        <w:rPr>
          <w:rFonts w:hint="default" w:ascii="Arial" w:hAnsi="Arial" w:cs="Arial"/>
          <w:b/>
          <w:sz w:val="24"/>
          <w:szCs w:val="24"/>
        </w:rPr>
        <w:t xml:space="preserve"> with venetoclax to induce apoptosis in cancer cells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Tianming Zhao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1†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Huien Zhan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1†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Shurong Xie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1†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Cheng Jiang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Shengbin Lin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Ling Tian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Fangshu Liu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Hui Zeng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*, Guo Chen</w:t>
      </w: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3,4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*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*Correspondence: androps2011@hotmail.com; gchen84@jnu.edu.cn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†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Tianming Zhao, Huien Zhan, Shurong Xie are equally contributed to this work.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1</w:t>
      </w:r>
      <w:bookmarkStart w:id="0" w:name="_Hlk96891966"/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Department of Hematology, The First Affiliated Hospital of Jinan University</w:t>
      </w:r>
      <w:bookmarkEnd w:id="0"/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, Jinan University, Guangzhou 510632, China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Jiang Su Key L</w:t>
      </w:r>
      <w:bookmarkStart w:id="1" w:name="_GoBack"/>
      <w:bookmarkEnd w:id="1"/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aboratory of Drug Design and Optimization, Department of Medicinal Chemistry, China Pharmaceutical University, Nanjing 210009, China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Department of Medical Biochemistry and Molecular Biology, School of Medicine Jinan University, Guangzhou 510632, China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2"/>
          <w:sz w:val="24"/>
          <w:szCs w:val="24"/>
          <w:vertAlign w:val="superscript"/>
          <w:lang w:val="en-US" w:eastAsia="zh-CN" w:bidi="ar"/>
        </w:rPr>
        <w:t>4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School of Biopharmacy China Pharmaceutical University, Nanjing 211198, China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br w:type="page"/>
      </w:r>
    </w:p>
    <w:p>
      <w:pPr>
        <w:tabs>
          <w:tab w:val="left" w:pos="1050"/>
        </w:tabs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Supporting methods</w:t>
      </w:r>
    </w:p>
    <w:p>
      <w:pPr>
        <w:tabs>
          <w:tab w:val="left" w:pos="1050"/>
        </w:tabs>
        <w:jc w:val="left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Cell viability:</w:t>
      </w:r>
      <w:r>
        <w:rPr>
          <w:rFonts w:hint="default" w:ascii="Arial" w:hAnsi="Arial" w:cs="Arial"/>
          <w:sz w:val="24"/>
          <w:szCs w:val="24"/>
        </w:rPr>
        <w:t xml:space="preserve">The </w:t>
      </w:r>
      <w:r>
        <w:rPr>
          <w:rFonts w:hint="default" w:ascii="Arial" w:hAnsi="Arial" w:cs="Arial"/>
          <w:sz w:val="24"/>
          <w:szCs w:val="24"/>
        </w:rPr>
        <w:t>anti</w:t>
      </w:r>
      <w:r>
        <w:rPr>
          <w:rFonts w:hint="default" w:ascii="Arial" w:hAnsi="Arial" w:cs="Arial"/>
          <w:sz w:val="24"/>
          <w:szCs w:val="24"/>
          <w:lang w:val="en-US" w:eastAsia="zh-CN"/>
        </w:rPr>
        <w:t>-</w:t>
      </w:r>
      <w:r>
        <w:rPr>
          <w:rFonts w:hint="default" w:ascii="Arial" w:hAnsi="Arial" w:cs="Arial"/>
          <w:sz w:val="24"/>
          <w:szCs w:val="24"/>
        </w:rPr>
        <w:t>tumor efficacy</w:t>
      </w:r>
      <w:r>
        <w:rPr>
          <w:rFonts w:hint="default" w:ascii="Arial" w:hAnsi="Arial" w:cs="Arial"/>
          <w:sz w:val="24"/>
          <w:szCs w:val="24"/>
        </w:rPr>
        <w:t xml:space="preserve"> of MI-238 against AML cells was determined </w:t>
      </w:r>
      <w:r>
        <w:rPr>
          <w:rFonts w:hint="default" w:ascii="Arial" w:hAnsi="Arial" w:cs="Arial"/>
          <w:sz w:val="24"/>
          <w:szCs w:val="24"/>
        </w:rPr>
        <w:t>by</w:t>
      </w:r>
      <w:r>
        <w:rPr>
          <w:rFonts w:hint="default" w:ascii="Arial" w:hAnsi="Arial" w:cs="Arial"/>
          <w:sz w:val="24"/>
          <w:szCs w:val="24"/>
        </w:rPr>
        <w:t xml:space="preserve"> Cell Counting Kit-8 (CCK-8, Dojindo, Japan). AML cells were cultured in 1640 or IMDM medium (Biological Industries, USA) supplied with 5% fetal bovine serum (Biological Industries, USA) at 37°C in an atmosphere containing 5% carbon dioxide. For CCK-8 assay, 100μl medium containing 2 × 10</w:t>
      </w:r>
      <w:r>
        <w:rPr>
          <w:rFonts w:hint="default" w:ascii="Arial" w:hAnsi="Arial" w:cs="Arial"/>
          <w:sz w:val="24"/>
          <w:szCs w:val="24"/>
          <w:vertAlign w:val="superscript"/>
        </w:rPr>
        <w:t>4</w:t>
      </w:r>
      <w:r>
        <w:rPr>
          <w:rFonts w:hint="default" w:ascii="Arial" w:hAnsi="Arial" w:cs="Arial"/>
          <w:sz w:val="24"/>
          <w:szCs w:val="24"/>
        </w:rPr>
        <w:t xml:space="preserve"> cells were seeded into 96-well culture plates and treated with MI-238 at different concentrations. Vehicle control was treated with DMSO. After 48 h </w:t>
      </w:r>
      <w:r>
        <w:rPr>
          <w:rFonts w:hint="default" w:ascii="Arial" w:hAnsi="Arial" w:cs="Arial"/>
          <w:sz w:val="24"/>
          <w:szCs w:val="24"/>
        </w:rPr>
        <w:t>treatment</w:t>
      </w:r>
      <w:r>
        <w:rPr>
          <w:rFonts w:hint="default" w:ascii="Arial" w:hAnsi="Arial" w:cs="Arial"/>
          <w:sz w:val="24"/>
          <w:szCs w:val="24"/>
        </w:rPr>
        <w:t>, 10 μl</w:t>
      </w:r>
      <w:r>
        <w:rPr>
          <w:rFonts w:hint="default" w:ascii="Arial" w:hAnsi="Arial" w:cs="Arial"/>
          <w:sz w:val="24"/>
          <w:szCs w:val="24"/>
        </w:rPr>
        <w:t xml:space="preserve"> of </w:t>
      </w:r>
      <w:r>
        <w:rPr>
          <w:rFonts w:hint="default" w:ascii="Arial" w:hAnsi="Arial" w:cs="Arial"/>
          <w:sz w:val="24"/>
          <w:szCs w:val="24"/>
        </w:rPr>
        <w:t>CCK-8 solution was added to each well, and the incubation continued for 2 h at 37°C. Absorbance was read at 450 nm using a Varioskan LUX. The IC</w:t>
      </w:r>
      <w:r>
        <w:rPr>
          <w:rFonts w:hint="default" w:ascii="Arial" w:hAnsi="Arial" w:cs="Arial"/>
          <w:sz w:val="24"/>
          <w:szCs w:val="24"/>
          <w:vertAlign w:val="subscript"/>
        </w:rPr>
        <w:t>50</w:t>
      </w:r>
      <w:r>
        <w:rPr>
          <w:rFonts w:hint="default" w:ascii="Arial" w:hAnsi="Arial" w:cs="Arial"/>
          <w:sz w:val="24"/>
          <w:szCs w:val="24"/>
        </w:rPr>
        <w:t xml:space="preserve"> of the compound was calculated with GraphPad Prism software 8.0 (GraphPad, San Diego, CA, USA).</w:t>
      </w: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1050"/>
        </w:tabs>
        <w:spacing w:line="360" w:lineRule="auto"/>
        <w:rPr>
          <w:rFonts w:hint="default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</w:rPr>
        <w:t>Calculation of combination index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:</w:t>
      </w: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The combination index (CI) values were analyzed using CompuSyn software, which has been used extensively to evaluate the compound-induced cytotoxicity synergy. CI value &gt;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1 are considered to be antagonistic effects and CI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value &lt;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1 indicates synergistic effect. Strength of synergism can be defined as follows: CI value &lt;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0.1 very strong synergism, CI value = 0.1-0.3 strong synergism; CI value = 0.3-0.7 moderate synergism; CI value = 0.7-0.9 slight synergy; CI value = 0.9–1.0 purely additive effect.</w:t>
      </w: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Cell fractionation: </w:t>
      </w: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Cytoplasmic and mitochondrial proteins were extracted to detect the localization of cytochrome C using Cytoplasmic and Mitochondrial Protein Extraction Kit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(Sangon Biotech</w:t>
      </w:r>
      <w:r>
        <w:rPr>
          <w:rFonts w:hint="default" w:ascii="Arial" w:hAnsi="Arial" w:cs="Arial"/>
          <w:bCs/>
          <w:sz w:val="24"/>
          <w:szCs w:val="24"/>
        </w:rPr>
        <w:t>, Shanghai, China</w:t>
      </w:r>
      <w:r>
        <w:rPr>
          <w:rFonts w:hint="default" w:ascii="Arial" w:hAnsi="Arial" w:cs="Arial"/>
          <w:bCs/>
          <w:sz w:val="24"/>
          <w:szCs w:val="24"/>
        </w:rPr>
        <w:t>) according to the manufacture’s protocol. Briefly, 2×10</w:t>
      </w:r>
      <w:r>
        <w:rPr>
          <w:rFonts w:hint="default" w:ascii="Arial" w:hAnsi="Arial" w:cs="Arial"/>
          <w:bCs/>
          <w:sz w:val="24"/>
          <w:szCs w:val="24"/>
          <w:vertAlign w:val="superscript"/>
        </w:rPr>
        <w:t>7</w:t>
      </w:r>
      <w:r>
        <w:rPr>
          <w:rFonts w:hint="default" w:ascii="Arial" w:hAnsi="Arial" w:cs="Arial"/>
          <w:bCs/>
          <w:sz w:val="24"/>
          <w:szCs w:val="24"/>
        </w:rPr>
        <w:t xml:space="preserve"> AML cells were collected and washed twice with cold PBS. Samples were resuspended with protein extraction buffer supplemented with protease inhibitor, phosphatase inhibitor and DTT, and homogenized for 30-50 times on ice. The </w:t>
      </w:r>
      <w:r>
        <w:rPr>
          <w:rFonts w:hint="default" w:ascii="Arial" w:hAnsi="Arial" w:cs="Arial"/>
          <w:bCs/>
          <w:sz w:val="24"/>
          <w:szCs w:val="24"/>
        </w:rPr>
        <w:t>resulting cell</w:t>
      </w:r>
      <w:r>
        <w:rPr>
          <w:rFonts w:hint="default" w:ascii="Arial" w:hAnsi="Arial" w:cs="Arial"/>
          <w:bCs/>
          <w:sz w:val="24"/>
          <w:szCs w:val="24"/>
        </w:rPr>
        <w:t xml:space="preserve"> lysate</w:t>
      </w:r>
      <w:r>
        <w:rPr>
          <w:rFonts w:hint="default" w:ascii="Arial" w:hAnsi="Arial" w:cs="Arial"/>
          <w:bCs/>
          <w:sz w:val="24"/>
          <w:szCs w:val="24"/>
        </w:rPr>
        <w:t>s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were</w:t>
      </w:r>
      <w:r>
        <w:rPr>
          <w:rFonts w:hint="default" w:ascii="Arial" w:hAnsi="Arial" w:cs="Arial"/>
          <w:bCs/>
          <w:sz w:val="24"/>
          <w:szCs w:val="24"/>
        </w:rPr>
        <w:t xml:space="preserve"> centrifuged for 30 minutes at 12000rpm. The pellet represents the mitochondria and the supernatant </w:t>
      </w:r>
      <w:r>
        <w:rPr>
          <w:rFonts w:hint="default" w:ascii="Arial" w:hAnsi="Arial" w:cs="Arial"/>
          <w:bCs/>
          <w:sz w:val="24"/>
          <w:szCs w:val="24"/>
        </w:rPr>
        <w:t>contains</w:t>
      </w:r>
      <w:r>
        <w:rPr>
          <w:rFonts w:hint="default" w:ascii="Arial" w:hAnsi="Arial" w:cs="Arial"/>
          <w:bCs/>
          <w:sz w:val="24"/>
          <w:szCs w:val="24"/>
        </w:rPr>
        <w:t xml:space="preserve"> cytoplasmic protein</w:t>
      </w:r>
      <w:r>
        <w:rPr>
          <w:rFonts w:hint="default" w:ascii="Arial" w:hAnsi="Arial" w:cs="Arial"/>
          <w:bCs/>
          <w:sz w:val="24"/>
          <w:szCs w:val="24"/>
        </w:rPr>
        <w:t>s</w:t>
      </w:r>
      <w:r>
        <w:rPr>
          <w:rFonts w:hint="default" w:ascii="Arial" w:hAnsi="Arial" w:cs="Arial"/>
          <w:bCs/>
          <w:sz w:val="24"/>
          <w:szCs w:val="24"/>
        </w:rPr>
        <w:t xml:space="preserve">.The above two </w:t>
      </w:r>
      <w:r>
        <w:rPr>
          <w:rFonts w:hint="default" w:ascii="Arial" w:hAnsi="Arial" w:cs="Arial"/>
          <w:bCs/>
          <w:sz w:val="24"/>
          <w:szCs w:val="24"/>
        </w:rPr>
        <w:t>fractions</w:t>
      </w:r>
      <w:r>
        <w:rPr>
          <w:rFonts w:hint="default" w:ascii="Arial" w:hAnsi="Arial" w:cs="Arial"/>
          <w:bCs/>
          <w:sz w:val="24"/>
          <w:szCs w:val="24"/>
        </w:rPr>
        <w:t xml:space="preserve"> were used for Western blot to detect cytochrome C.</w:t>
      </w:r>
    </w:p>
    <w:p>
      <w:pPr>
        <w:tabs>
          <w:tab w:val="left" w:pos="1050"/>
        </w:tabs>
        <w:spacing w:line="360" w:lineRule="auto"/>
        <w:jc w:val="left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1050"/>
        </w:tabs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Fluorescence polarization (FP) assay: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Mcl-1 recombinant protein (50 nM) was incubated with 5 nM of fluorescent Bak BH3 peptide (TAMRA-GQVGRQLAIIGDDINR) in the absence or presence of increasing concentrations of MI-238 in the binding buffer [50 mM Tris (pH 8.0), 150 mmol/L NaCl, 0.1% bovine serum albumin (BSA), and 5 mM DTT] in black 1,536-well microplates. Plates were incubated at room temperature for 1h and FP values (in millipolarization units) were measured using 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>E</w:t>
      </w:r>
      <w:r>
        <w:rPr>
          <w:rFonts w:hint="default" w:ascii="Arial" w:hAnsi="Arial" w:cs="Arial"/>
          <w:bCs/>
          <w:sz w:val="24"/>
          <w:szCs w:val="24"/>
        </w:rPr>
        <w:t xml:space="preserve">nvision 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>m</w:t>
      </w:r>
      <w:r>
        <w:rPr>
          <w:rFonts w:hint="default" w:ascii="Arial" w:hAnsi="Arial" w:cs="Arial"/>
          <w:bCs/>
          <w:sz w:val="24"/>
          <w:szCs w:val="24"/>
        </w:rPr>
        <w:t>ulti-label plate reader (Perkin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 xml:space="preserve">Elmer). The excitation filter was at 540 ± 20 nM and emission filter at 590 ± 20 nM. Data analysis and inhibitory constant (Ki) value 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>were</w:t>
      </w:r>
      <w:r>
        <w:rPr>
          <w:rFonts w:hint="default" w:ascii="Arial" w:hAnsi="Arial" w:cs="Arial"/>
          <w:bCs/>
          <w:sz w:val="24"/>
          <w:szCs w:val="24"/>
        </w:rPr>
        <w:t xml:space="preserve"> determined by GraphPad prism software as described.</w:t>
      </w: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00691B"/>
    <w:rsid w:val="0000691B"/>
    <w:rsid w:val="00093E7E"/>
    <w:rsid w:val="000C3B0C"/>
    <w:rsid w:val="00176EC4"/>
    <w:rsid w:val="00194B0F"/>
    <w:rsid w:val="001962C7"/>
    <w:rsid w:val="00222844"/>
    <w:rsid w:val="002376B7"/>
    <w:rsid w:val="002A1B9D"/>
    <w:rsid w:val="00384142"/>
    <w:rsid w:val="00393E56"/>
    <w:rsid w:val="00446026"/>
    <w:rsid w:val="004461E7"/>
    <w:rsid w:val="00463697"/>
    <w:rsid w:val="004D1C8A"/>
    <w:rsid w:val="00515E05"/>
    <w:rsid w:val="00533827"/>
    <w:rsid w:val="005405D9"/>
    <w:rsid w:val="005572C3"/>
    <w:rsid w:val="00885F47"/>
    <w:rsid w:val="00890D90"/>
    <w:rsid w:val="008A53EF"/>
    <w:rsid w:val="008E4A2F"/>
    <w:rsid w:val="0091123F"/>
    <w:rsid w:val="00A610DD"/>
    <w:rsid w:val="00A86430"/>
    <w:rsid w:val="00AE4C5A"/>
    <w:rsid w:val="00B7666D"/>
    <w:rsid w:val="00BC3B17"/>
    <w:rsid w:val="00C26234"/>
    <w:rsid w:val="00CC6CD8"/>
    <w:rsid w:val="00D219BF"/>
    <w:rsid w:val="00ED0035"/>
    <w:rsid w:val="00FC0A19"/>
    <w:rsid w:val="09F14E20"/>
    <w:rsid w:val="0CA87284"/>
    <w:rsid w:val="0DBA6F5E"/>
    <w:rsid w:val="14CD1B46"/>
    <w:rsid w:val="160B0931"/>
    <w:rsid w:val="1C7074AD"/>
    <w:rsid w:val="32DD3525"/>
    <w:rsid w:val="3A00289B"/>
    <w:rsid w:val="3E7762B4"/>
    <w:rsid w:val="44D643E9"/>
    <w:rsid w:val="4685459F"/>
    <w:rsid w:val="556B1993"/>
    <w:rsid w:val="5E86560C"/>
    <w:rsid w:val="69D14492"/>
    <w:rsid w:val="73902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2021-12-11T02:47:00Z</dcterms:created>
  <dc:creator>lenovo</dc:creator>
  <cp:lastModifiedBy>谢树蓉。</cp:lastModifiedBy>
  <dcterms:modified xsi:type="dcterms:W3CDTF">2022-03-01T15:13:36Z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6770E0FB93CF411DBCA2E169ECB9FCAF</vt:lpwstr>
  </property>
</Properties>
</file>