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F7780" w:rsidRPr="00CF4517" w14:paraId="06C09953" w14:textId="77777777" w:rsidTr="00391234">
        <w:tc>
          <w:tcPr>
            <w:tcW w:w="9016" w:type="dxa"/>
            <w:gridSpan w:val="2"/>
            <w:tcBorders>
              <w:bottom w:val="single" w:sz="4" w:space="0" w:color="auto"/>
            </w:tcBorders>
          </w:tcPr>
          <w:p w14:paraId="317C406E" w14:textId="77777777" w:rsidR="00AF7780" w:rsidRPr="00CF4517" w:rsidRDefault="00AF7780" w:rsidP="00391234">
            <w:pPr>
              <w:rPr>
                <w:rFonts w:ascii="Times New Roman" w:hAnsi="Times New Roman" w:cs="Times New Roman"/>
                <w:b/>
                <w:sz w:val="24"/>
              </w:rPr>
            </w:pPr>
            <w:r w:rsidRPr="00CF4517">
              <w:rPr>
                <w:rFonts w:ascii="Times New Roman" w:hAnsi="Times New Roman" w:cs="Times New Roman"/>
                <w:b/>
                <w:sz w:val="28"/>
                <w:szCs w:val="24"/>
              </w:rPr>
              <w:t xml:space="preserve">Appendix A. </w:t>
            </w:r>
            <w:r w:rsidRPr="00CF4517">
              <w:rPr>
                <w:rFonts w:ascii="Times New Roman" w:hAnsi="Times New Roman" w:cs="Times New Roman"/>
                <w:sz w:val="28"/>
                <w:szCs w:val="24"/>
              </w:rPr>
              <w:t xml:space="preserve">Aspects studied in CTA as derived from </w:t>
            </w:r>
            <w:proofErr w:type="spellStart"/>
            <w:r w:rsidRPr="00CF4517">
              <w:rPr>
                <w:rFonts w:ascii="Times New Roman" w:hAnsi="Times New Roman" w:cs="Times New Roman"/>
                <w:sz w:val="28"/>
                <w:szCs w:val="24"/>
              </w:rPr>
              <w:t>Douma</w:t>
            </w:r>
            <w:proofErr w:type="spellEnd"/>
            <w:r w:rsidRPr="00CF4517">
              <w:rPr>
                <w:rFonts w:ascii="Times New Roman" w:hAnsi="Times New Roman" w:cs="Times New Roman"/>
                <w:sz w:val="28"/>
                <w:szCs w:val="24"/>
              </w:rPr>
              <w:t xml:space="preserve"> et al. 2007</w:t>
            </w:r>
          </w:p>
        </w:tc>
      </w:tr>
      <w:tr w:rsidR="00AF7780" w:rsidRPr="00CF4517" w14:paraId="1BF20A23" w14:textId="77777777" w:rsidTr="00391234">
        <w:tc>
          <w:tcPr>
            <w:tcW w:w="4508" w:type="dxa"/>
            <w:tcBorders>
              <w:top w:val="single" w:sz="4" w:space="0" w:color="auto"/>
              <w:bottom w:val="single" w:sz="4" w:space="0" w:color="auto"/>
            </w:tcBorders>
          </w:tcPr>
          <w:p w14:paraId="25C6C511" w14:textId="77777777" w:rsidR="00AF7780" w:rsidRPr="00CF4517" w:rsidRDefault="00AF7780" w:rsidP="00391234">
            <w:pPr>
              <w:rPr>
                <w:rFonts w:ascii="Times New Roman" w:hAnsi="Times New Roman" w:cs="Times New Roman"/>
                <w:b/>
                <w:sz w:val="24"/>
              </w:rPr>
            </w:pPr>
            <w:r w:rsidRPr="00CF4517">
              <w:rPr>
                <w:rFonts w:ascii="Times New Roman" w:hAnsi="Times New Roman" w:cs="Times New Roman"/>
                <w:b/>
                <w:sz w:val="24"/>
              </w:rPr>
              <w:t>Parameters</w:t>
            </w:r>
          </w:p>
        </w:tc>
        <w:tc>
          <w:tcPr>
            <w:tcW w:w="4508" w:type="dxa"/>
            <w:tcBorders>
              <w:top w:val="single" w:sz="4" w:space="0" w:color="auto"/>
              <w:bottom w:val="single" w:sz="4" w:space="0" w:color="auto"/>
            </w:tcBorders>
          </w:tcPr>
          <w:p w14:paraId="5582F4B1" w14:textId="77777777" w:rsidR="00AF7780" w:rsidRPr="00CF4517" w:rsidRDefault="00AF7780" w:rsidP="00391234">
            <w:pPr>
              <w:rPr>
                <w:rFonts w:ascii="Times New Roman" w:hAnsi="Times New Roman" w:cs="Times New Roman"/>
                <w:b/>
                <w:sz w:val="24"/>
              </w:rPr>
            </w:pPr>
            <w:r w:rsidRPr="00CF4517">
              <w:rPr>
                <w:rFonts w:ascii="Times New Roman" w:hAnsi="Times New Roman" w:cs="Times New Roman"/>
                <w:b/>
                <w:sz w:val="24"/>
              </w:rPr>
              <w:t>Aspects</w:t>
            </w:r>
          </w:p>
        </w:tc>
      </w:tr>
      <w:tr w:rsidR="00AF7780" w:rsidRPr="00CF4517" w14:paraId="16A88087" w14:textId="77777777" w:rsidTr="00391234">
        <w:tc>
          <w:tcPr>
            <w:tcW w:w="4508" w:type="dxa"/>
            <w:tcBorders>
              <w:top w:val="single" w:sz="4" w:space="0" w:color="auto"/>
            </w:tcBorders>
          </w:tcPr>
          <w:p w14:paraId="2F7BA068" w14:textId="77777777" w:rsidR="00AF7780" w:rsidRPr="00CF4517" w:rsidRDefault="00AF7780" w:rsidP="00391234">
            <w:pPr>
              <w:rPr>
                <w:rFonts w:ascii="Times New Roman" w:hAnsi="Times New Roman" w:cs="Times New Roman"/>
                <w:bCs/>
                <w:sz w:val="24"/>
              </w:rPr>
            </w:pPr>
            <w:r w:rsidRPr="00CF4517">
              <w:rPr>
                <w:rFonts w:ascii="Times New Roman" w:hAnsi="Times New Roman" w:cs="Times New Roman"/>
                <w:bCs/>
                <w:sz w:val="24"/>
              </w:rPr>
              <w:t>Clinical</w:t>
            </w:r>
          </w:p>
        </w:tc>
        <w:tc>
          <w:tcPr>
            <w:tcW w:w="4508" w:type="dxa"/>
            <w:tcBorders>
              <w:top w:val="single" w:sz="4" w:space="0" w:color="auto"/>
            </w:tcBorders>
          </w:tcPr>
          <w:p w14:paraId="34C57865" w14:textId="77777777" w:rsidR="00AF7780" w:rsidRPr="00CF4517" w:rsidRDefault="00AF7780" w:rsidP="00391234">
            <w:pPr>
              <w:rPr>
                <w:rFonts w:ascii="Times New Roman" w:hAnsi="Times New Roman" w:cs="Times New Roman"/>
                <w:bCs/>
                <w:sz w:val="24"/>
              </w:rPr>
            </w:pPr>
            <w:r w:rsidRPr="00CF4517">
              <w:rPr>
                <w:rFonts w:ascii="Times New Roman" w:hAnsi="Times New Roman" w:cs="Times New Roman"/>
                <w:bCs/>
                <w:sz w:val="24"/>
              </w:rPr>
              <w:t xml:space="preserve">     Efficacy, safety, effectiveness, outcomes, and the effect on the population</w:t>
            </w:r>
          </w:p>
        </w:tc>
      </w:tr>
      <w:tr w:rsidR="00AF7780" w:rsidRPr="00CF4517" w14:paraId="5702BC1E" w14:textId="77777777" w:rsidTr="00391234">
        <w:tc>
          <w:tcPr>
            <w:tcW w:w="4508" w:type="dxa"/>
          </w:tcPr>
          <w:p w14:paraId="5957799B" w14:textId="77777777" w:rsidR="00AF7780" w:rsidRPr="00CF4517" w:rsidRDefault="00AF7780" w:rsidP="00391234">
            <w:pPr>
              <w:rPr>
                <w:rFonts w:ascii="Times New Roman" w:hAnsi="Times New Roman" w:cs="Times New Roman"/>
                <w:bCs/>
                <w:sz w:val="24"/>
              </w:rPr>
            </w:pPr>
            <w:r w:rsidRPr="00CF4517">
              <w:rPr>
                <w:rFonts w:ascii="Times New Roman" w:hAnsi="Times New Roman" w:cs="Times New Roman"/>
                <w:bCs/>
                <w:sz w:val="24"/>
              </w:rPr>
              <w:t>Economic</w:t>
            </w:r>
          </w:p>
        </w:tc>
        <w:tc>
          <w:tcPr>
            <w:tcW w:w="4508" w:type="dxa"/>
          </w:tcPr>
          <w:p w14:paraId="0BE122DA" w14:textId="77777777" w:rsidR="00AF7780" w:rsidRPr="00CF4517" w:rsidRDefault="00AF7780" w:rsidP="00391234">
            <w:pPr>
              <w:rPr>
                <w:rFonts w:ascii="Times New Roman" w:hAnsi="Times New Roman" w:cs="Times New Roman"/>
                <w:bCs/>
                <w:sz w:val="24"/>
              </w:rPr>
            </w:pPr>
            <w:r w:rsidRPr="00CF4517">
              <w:rPr>
                <w:rFonts w:ascii="Times New Roman" w:hAnsi="Times New Roman" w:cs="Times New Roman"/>
                <w:bCs/>
                <w:sz w:val="24"/>
              </w:rPr>
              <w:t xml:space="preserve">     Cost-effectiveness</w:t>
            </w:r>
          </w:p>
        </w:tc>
      </w:tr>
      <w:tr w:rsidR="00AF7780" w:rsidRPr="00CF4517" w14:paraId="06FBA04A" w14:textId="77777777" w:rsidTr="00391234">
        <w:tc>
          <w:tcPr>
            <w:tcW w:w="4508" w:type="dxa"/>
          </w:tcPr>
          <w:p w14:paraId="1EF7AA36" w14:textId="77777777" w:rsidR="00AF7780" w:rsidRPr="00CF4517" w:rsidRDefault="00AF7780" w:rsidP="00391234">
            <w:pPr>
              <w:rPr>
                <w:rFonts w:ascii="Times New Roman" w:hAnsi="Times New Roman" w:cs="Times New Roman"/>
                <w:bCs/>
                <w:sz w:val="24"/>
              </w:rPr>
            </w:pPr>
            <w:r w:rsidRPr="00CF4517">
              <w:rPr>
                <w:rFonts w:ascii="Times New Roman" w:hAnsi="Times New Roman" w:cs="Times New Roman"/>
                <w:bCs/>
                <w:sz w:val="24"/>
              </w:rPr>
              <w:t>Patient-related</w:t>
            </w:r>
          </w:p>
        </w:tc>
        <w:tc>
          <w:tcPr>
            <w:tcW w:w="4508" w:type="dxa"/>
          </w:tcPr>
          <w:p w14:paraId="1E498EE5" w14:textId="77777777" w:rsidR="00AF7780" w:rsidRPr="00CF4517" w:rsidRDefault="00AF7780" w:rsidP="00391234">
            <w:pPr>
              <w:rPr>
                <w:rFonts w:ascii="Times New Roman" w:hAnsi="Times New Roman" w:cs="Times New Roman"/>
                <w:bCs/>
                <w:sz w:val="24"/>
              </w:rPr>
            </w:pPr>
            <w:r w:rsidRPr="00CF4517">
              <w:rPr>
                <w:rFonts w:ascii="Times New Roman" w:hAnsi="Times New Roman" w:cs="Times New Roman"/>
                <w:bCs/>
                <w:sz w:val="24"/>
              </w:rPr>
              <w:t xml:space="preserve">     Social and environmental impact, ethics, acceptability, psychological reactions, patient </w:t>
            </w:r>
            <w:proofErr w:type="spellStart"/>
            <w:r w:rsidRPr="00CF4517">
              <w:rPr>
                <w:rFonts w:ascii="Times New Roman" w:hAnsi="Times New Roman" w:cs="Times New Roman"/>
                <w:bCs/>
                <w:sz w:val="24"/>
              </w:rPr>
              <w:t>centredness</w:t>
            </w:r>
            <w:proofErr w:type="spellEnd"/>
            <w:r w:rsidRPr="00CF4517">
              <w:rPr>
                <w:rFonts w:ascii="Times New Roman" w:hAnsi="Times New Roman" w:cs="Times New Roman"/>
                <w:bCs/>
                <w:sz w:val="24"/>
              </w:rPr>
              <w:t>, and other patient-related aspects</w:t>
            </w:r>
          </w:p>
        </w:tc>
      </w:tr>
      <w:tr w:rsidR="00AF7780" w:rsidRPr="00CF4517" w14:paraId="00395827" w14:textId="77777777" w:rsidTr="00391234">
        <w:tc>
          <w:tcPr>
            <w:tcW w:w="4508" w:type="dxa"/>
            <w:tcBorders>
              <w:bottom w:val="single" w:sz="4" w:space="0" w:color="auto"/>
            </w:tcBorders>
          </w:tcPr>
          <w:p w14:paraId="7E40FA17" w14:textId="77777777" w:rsidR="00AF7780" w:rsidRPr="00CF4517" w:rsidRDefault="00AF7780" w:rsidP="00391234">
            <w:pPr>
              <w:rPr>
                <w:rFonts w:ascii="Times New Roman" w:hAnsi="Times New Roman" w:cs="Times New Roman"/>
                <w:bCs/>
                <w:sz w:val="24"/>
              </w:rPr>
            </w:pPr>
            <w:r w:rsidRPr="00CF4517">
              <w:rPr>
                <w:rFonts w:ascii="Times New Roman" w:hAnsi="Times New Roman" w:cs="Times New Roman"/>
                <w:bCs/>
                <w:sz w:val="24"/>
              </w:rPr>
              <w:t>Organizational</w:t>
            </w:r>
          </w:p>
        </w:tc>
        <w:tc>
          <w:tcPr>
            <w:tcW w:w="4508" w:type="dxa"/>
            <w:tcBorders>
              <w:bottom w:val="single" w:sz="4" w:space="0" w:color="auto"/>
            </w:tcBorders>
          </w:tcPr>
          <w:p w14:paraId="1DC741F0" w14:textId="77777777" w:rsidR="00AF7780" w:rsidRPr="00CF4517" w:rsidRDefault="00AF7780" w:rsidP="00391234">
            <w:pPr>
              <w:rPr>
                <w:rFonts w:ascii="Times New Roman" w:hAnsi="Times New Roman" w:cs="Times New Roman"/>
                <w:bCs/>
                <w:sz w:val="24"/>
              </w:rPr>
            </w:pPr>
            <w:r w:rsidRPr="00CF4517">
              <w:rPr>
                <w:rFonts w:ascii="Times New Roman" w:hAnsi="Times New Roman" w:cs="Times New Roman"/>
                <w:bCs/>
                <w:sz w:val="24"/>
              </w:rPr>
              <w:t xml:space="preserve">     Diffusion, dissemination, organizational implementation, accessibility/equity, skills/routines, education/training, and other organizational aspects</w:t>
            </w:r>
          </w:p>
        </w:tc>
      </w:tr>
    </w:tbl>
    <w:p w14:paraId="32F779FB" w14:textId="77777777" w:rsidR="00AF7780" w:rsidRPr="00CF4517" w:rsidRDefault="00AF7780" w:rsidP="00AF7780">
      <w:pPr>
        <w:rPr>
          <w:rFonts w:ascii="Times New Roman" w:hAnsi="Times New Roman" w:cs="Times New Roman"/>
          <w:b/>
          <w:sz w:val="28"/>
          <w:szCs w:val="24"/>
          <w:u w:val="single"/>
        </w:rPr>
      </w:pPr>
    </w:p>
    <w:p w14:paraId="5B0F534C" w14:textId="77777777" w:rsidR="00AF7780" w:rsidRPr="00CF4517" w:rsidRDefault="00AF7780" w:rsidP="00AF7780">
      <w:pPr>
        <w:rPr>
          <w:rFonts w:ascii="Times New Roman" w:hAnsi="Times New Roman" w:cs="Times New Roman"/>
          <w:b/>
          <w:sz w:val="24"/>
          <w:szCs w:val="24"/>
          <w:u w:val="single"/>
        </w:rPr>
      </w:pPr>
      <w:r w:rsidRPr="00CF4517">
        <w:rPr>
          <w:rFonts w:ascii="Times New Roman" w:hAnsi="Times New Roman" w:cs="Times New Roman"/>
          <w:b/>
          <w:sz w:val="24"/>
          <w:szCs w:val="24"/>
          <w:u w:val="single"/>
        </w:rPr>
        <w:t>Description of aspects:</w:t>
      </w:r>
    </w:p>
    <w:p w14:paraId="75FB6CEA" w14:textId="77777777" w:rsidR="00AF7780" w:rsidRPr="00CF4517" w:rsidRDefault="00AF7780" w:rsidP="00AF7780">
      <w:pPr>
        <w:jc w:val="both"/>
        <w:rPr>
          <w:rFonts w:ascii="Times New Roman" w:hAnsi="Times New Roman" w:cs="Times New Roman"/>
          <w:sz w:val="24"/>
          <w:szCs w:val="24"/>
        </w:rPr>
      </w:pPr>
      <w:r w:rsidRPr="00CF4517">
        <w:rPr>
          <w:rFonts w:ascii="Times New Roman" w:hAnsi="Times New Roman" w:cs="Times New Roman"/>
          <w:b/>
          <w:sz w:val="24"/>
          <w:szCs w:val="24"/>
        </w:rPr>
        <w:t>Clinical aspects</w:t>
      </w:r>
      <w:r w:rsidRPr="00CF4517">
        <w:rPr>
          <w:rFonts w:ascii="Times New Roman" w:hAnsi="Times New Roman" w:cs="Times New Roman"/>
          <w:sz w:val="24"/>
          <w:szCs w:val="24"/>
        </w:rPr>
        <w:t xml:space="preserve"> include the efficacy, safety, effectiveness and outcomes of the intervention, and its effect on the population. Efficacy of an intervention is determined by the intervention’s ability to stimulate a quantifiable biological response (</w:t>
      </w:r>
      <w:proofErr w:type="spellStart"/>
      <w:r w:rsidRPr="00CF4517">
        <w:rPr>
          <w:rFonts w:ascii="Times New Roman" w:hAnsi="Times New Roman" w:cs="Times New Roman"/>
          <w:sz w:val="24"/>
          <w:szCs w:val="24"/>
        </w:rPr>
        <w:t>Galandrin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Oligny-Longpré</w:t>
      </w:r>
      <w:proofErr w:type="spellEnd"/>
      <w:r w:rsidRPr="00CF4517">
        <w:rPr>
          <w:rFonts w:ascii="Times New Roman" w:hAnsi="Times New Roman" w:cs="Times New Roman"/>
          <w:sz w:val="24"/>
          <w:szCs w:val="24"/>
        </w:rPr>
        <w:t xml:space="preserve"> &amp; Bouvier, 2007). Safety can be measured by the occurrence and severity of adverse events (Patnaik et al., 2016). Effectiveness is often measured by added life years or quality adjusted life years (QALY) (Drummond et al., 2005).</w:t>
      </w:r>
    </w:p>
    <w:p w14:paraId="498E32D6" w14:textId="77777777" w:rsidR="00AF7780" w:rsidRPr="00CF4517" w:rsidRDefault="00AF7780" w:rsidP="00AF7780">
      <w:pPr>
        <w:jc w:val="both"/>
        <w:rPr>
          <w:rFonts w:ascii="Times New Roman" w:hAnsi="Times New Roman" w:cs="Times New Roman"/>
          <w:sz w:val="24"/>
          <w:szCs w:val="24"/>
        </w:rPr>
      </w:pPr>
      <w:r w:rsidRPr="00CF4517">
        <w:rPr>
          <w:rFonts w:ascii="Times New Roman" w:hAnsi="Times New Roman" w:cs="Times New Roman"/>
          <w:b/>
          <w:sz w:val="24"/>
          <w:szCs w:val="24"/>
        </w:rPr>
        <w:t>Patient-related aspects</w:t>
      </w:r>
      <w:r w:rsidRPr="00CF4517">
        <w:rPr>
          <w:rFonts w:ascii="Times New Roman" w:hAnsi="Times New Roman" w:cs="Times New Roman"/>
          <w:sz w:val="24"/>
          <w:szCs w:val="24"/>
        </w:rPr>
        <w:t xml:space="preserve"> address the social and environmental impact, ethics, acceptability, psychological reactions, patient centeredness, and other patient-related aspects. Acceptability of a treatment relates to the extent to “which a patient perceives a treatment to be fair, reasonable, appropriate and un-intrusive for a given clinical problem” (Milosevic, Levy, </w:t>
      </w:r>
      <w:proofErr w:type="spellStart"/>
      <w:r w:rsidRPr="00CF4517">
        <w:rPr>
          <w:rFonts w:ascii="Times New Roman" w:hAnsi="Times New Roman" w:cs="Times New Roman"/>
          <w:sz w:val="24"/>
          <w:szCs w:val="24"/>
        </w:rPr>
        <w:t>Alcolado</w:t>
      </w:r>
      <w:proofErr w:type="spellEnd"/>
      <w:r w:rsidRPr="00CF4517">
        <w:rPr>
          <w:rFonts w:ascii="Times New Roman" w:hAnsi="Times New Roman" w:cs="Times New Roman"/>
          <w:sz w:val="24"/>
          <w:szCs w:val="24"/>
        </w:rPr>
        <w:t xml:space="preserve"> &amp; </w:t>
      </w:r>
      <w:proofErr w:type="spellStart"/>
      <w:r w:rsidRPr="00CF4517">
        <w:rPr>
          <w:rFonts w:ascii="Times New Roman" w:hAnsi="Times New Roman" w:cs="Times New Roman"/>
          <w:sz w:val="24"/>
          <w:szCs w:val="24"/>
        </w:rPr>
        <w:t>Radomsky</w:t>
      </w:r>
      <w:proofErr w:type="spellEnd"/>
      <w:r w:rsidRPr="00CF4517">
        <w:rPr>
          <w:rFonts w:ascii="Times New Roman" w:hAnsi="Times New Roman" w:cs="Times New Roman"/>
          <w:sz w:val="24"/>
          <w:szCs w:val="24"/>
        </w:rPr>
        <w:t>, p. 456, 2015). Patient centeredness is described as understanding the patient as a person (</w:t>
      </w:r>
      <w:proofErr w:type="spellStart"/>
      <w:r w:rsidRPr="00CF4517">
        <w:rPr>
          <w:rFonts w:ascii="Times New Roman" w:hAnsi="Times New Roman" w:cs="Times New Roman"/>
          <w:sz w:val="24"/>
          <w:szCs w:val="24"/>
        </w:rPr>
        <w:t>Bombeke</w:t>
      </w:r>
      <w:proofErr w:type="spellEnd"/>
      <w:r w:rsidRPr="00CF4517">
        <w:rPr>
          <w:rFonts w:ascii="Times New Roman" w:hAnsi="Times New Roman" w:cs="Times New Roman"/>
          <w:sz w:val="24"/>
          <w:szCs w:val="24"/>
        </w:rPr>
        <w:t xml:space="preserve"> et al., 2011).</w:t>
      </w:r>
    </w:p>
    <w:p w14:paraId="6F410FE2" w14:textId="77777777" w:rsidR="00AF7780" w:rsidRPr="00CF4517" w:rsidRDefault="00AF7780" w:rsidP="00AF7780">
      <w:pPr>
        <w:jc w:val="both"/>
        <w:rPr>
          <w:rFonts w:ascii="Times New Roman" w:hAnsi="Times New Roman" w:cs="Times New Roman"/>
          <w:sz w:val="24"/>
          <w:szCs w:val="24"/>
        </w:rPr>
      </w:pPr>
      <w:r w:rsidRPr="00CF4517">
        <w:rPr>
          <w:rFonts w:ascii="Times New Roman" w:hAnsi="Times New Roman" w:cs="Times New Roman"/>
          <w:b/>
          <w:bCs/>
          <w:sz w:val="24"/>
          <w:szCs w:val="24"/>
        </w:rPr>
        <w:t xml:space="preserve">Economic aspects </w:t>
      </w:r>
      <w:r w:rsidRPr="00CF4517">
        <w:rPr>
          <w:rFonts w:ascii="Times New Roman" w:hAnsi="Times New Roman" w:cs="Times New Roman"/>
          <w:sz w:val="24"/>
          <w:szCs w:val="24"/>
        </w:rPr>
        <w:t>consist of the cost-effectiveness of the technology. The definition of cost-effectiveness used in this research is as follows: “the added improvement in health outcomes relative to cost” (Weinstein &amp; Skinner, p.460, 2010).</w:t>
      </w:r>
    </w:p>
    <w:p w14:paraId="2E0B50A2" w14:textId="2B7966E2" w:rsidR="00AF7780" w:rsidRDefault="00AF7780" w:rsidP="00AF7780">
      <w:pPr>
        <w:jc w:val="both"/>
        <w:rPr>
          <w:rFonts w:ascii="Times New Roman" w:hAnsi="Times New Roman" w:cs="Times New Roman"/>
          <w:sz w:val="24"/>
          <w:szCs w:val="24"/>
        </w:rPr>
      </w:pPr>
      <w:r w:rsidRPr="00CF4517">
        <w:rPr>
          <w:rFonts w:ascii="Times New Roman" w:hAnsi="Times New Roman" w:cs="Times New Roman"/>
          <w:b/>
          <w:sz w:val="24"/>
          <w:szCs w:val="24"/>
        </w:rPr>
        <w:t>Organizational aspects</w:t>
      </w:r>
      <w:r w:rsidRPr="00CF4517">
        <w:rPr>
          <w:rFonts w:ascii="Times New Roman" w:hAnsi="Times New Roman" w:cs="Times New Roman"/>
          <w:sz w:val="24"/>
          <w:szCs w:val="24"/>
        </w:rPr>
        <w:t xml:space="preserve"> are diffusion, dissemination, organizational implementation, accessibility/equity, skills/routines, education/training, and other organizational aspects. Diffusion is the spread of the technology throughout the organization (Peres, Muller &amp; Mahajan, 2010). Dissemination is defined as the process of making stakeholders aware of, adopt and routinely use the technology (Hazen, Sankar &amp; Jones-Farmer, 2012). Accessibility refers to temporal access, which is waiting times to enter a treatment, as well as geographical accessibility, which is distance to travel to receive treatment (Kao et al., 2014; Ratcliffe et al., 2009), in which equity is the aspect that considers whether unequal access is also considered unfair (van Wee &amp; </w:t>
      </w:r>
      <w:proofErr w:type="spellStart"/>
      <w:r w:rsidRPr="00CF4517">
        <w:rPr>
          <w:rFonts w:ascii="Times New Roman" w:hAnsi="Times New Roman" w:cs="Times New Roman"/>
          <w:sz w:val="24"/>
          <w:szCs w:val="24"/>
        </w:rPr>
        <w:t>Geurs</w:t>
      </w:r>
      <w:proofErr w:type="spellEnd"/>
      <w:r w:rsidRPr="00CF4517">
        <w:rPr>
          <w:rFonts w:ascii="Times New Roman" w:hAnsi="Times New Roman" w:cs="Times New Roman"/>
          <w:sz w:val="24"/>
          <w:szCs w:val="24"/>
        </w:rPr>
        <w:t>, 2011).</w:t>
      </w:r>
    </w:p>
    <w:p w14:paraId="6B6CC052" w14:textId="461AE9EC" w:rsidR="00841286" w:rsidRDefault="00841286" w:rsidP="00AF7780">
      <w:pPr>
        <w:jc w:val="both"/>
        <w:rPr>
          <w:rFonts w:ascii="Times New Roman" w:hAnsi="Times New Roman" w:cs="Times New Roman"/>
          <w:sz w:val="24"/>
          <w:szCs w:val="24"/>
        </w:rPr>
      </w:pPr>
    </w:p>
    <w:p w14:paraId="118CDE60" w14:textId="643BC1F8" w:rsidR="00841286" w:rsidRDefault="00841286" w:rsidP="00AF7780">
      <w:pPr>
        <w:jc w:val="both"/>
        <w:rPr>
          <w:rFonts w:ascii="Times New Roman" w:hAnsi="Times New Roman" w:cs="Times New Roman"/>
          <w:sz w:val="24"/>
          <w:szCs w:val="24"/>
        </w:rPr>
      </w:pPr>
    </w:p>
    <w:p w14:paraId="638D30AA" w14:textId="3A90E757" w:rsidR="00841286" w:rsidRDefault="00841286" w:rsidP="00AF7780">
      <w:pPr>
        <w:jc w:val="both"/>
        <w:rPr>
          <w:rFonts w:ascii="Times New Roman" w:hAnsi="Times New Roman" w:cs="Times New Roman"/>
          <w:sz w:val="24"/>
          <w:szCs w:val="24"/>
        </w:rPr>
      </w:pPr>
    </w:p>
    <w:p w14:paraId="174062DA" w14:textId="77777777" w:rsidR="00841286" w:rsidRPr="00CF4517" w:rsidRDefault="00841286" w:rsidP="00841286">
      <w:pPr>
        <w:jc w:val="both"/>
        <w:rPr>
          <w:rFonts w:ascii="Times New Roman" w:hAnsi="Times New Roman" w:cs="Times New Roman"/>
          <w:b/>
          <w:sz w:val="24"/>
          <w:szCs w:val="24"/>
          <w:u w:val="single"/>
        </w:rPr>
      </w:pPr>
      <w:r w:rsidRPr="00CF4517">
        <w:rPr>
          <w:rFonts w:ascii="Times New Roman" w:hAnsi="Times New Roman" w:cs="Times New Roman"/>
          <w:b/>
          <w:sz w:val="24"/>
          <w:szCs w:val="24"/>
          <w:u w:val="single"/>
        </w:rPr>
        <w:lastRenderedPageBreak/>
        <w:t>References:</w:t>
      </w:r>
    </w:p>
    <w:p w14:paraId="1C1D064F" w14:textId="77777777" w:rsidR="00841286" w:rsidRPr="00CF4517" w:rsidRDefault="00841286" w:rsidP="00841286">
      <w:pPr>
        <w:jc w:val="both"/>
        <w:rPr>
          <w:rFonts w:ascii="Times New Roman" w:hAnsi="Times New Roman" w:cs="Times New Roman"/>
          <w:sz w:val="24"/>
          <w:szCs w:val="24"/>
        </w:rPr>
      </w:pPr>
      <w:proofErr w:type="spellStart"/>
      <w:r w:rsidRPr="00CF4517">
        <w:rPr>
          <w:rFonts w:ascii="Times New Roman" w:hAnsi="Times New Roman" w:cs="Times New Roman"/>
          <w:sz w:val="24"/>
          <w:szCs w:val="24"/>
        </w:rPr>
        <w:t>Galandrin</w:t>
      </w:r>
      <w:proofErr w:type="spellEnd"/>
      <w:r w:rsidRPr="00CF4517">
        <w:rPr>
          <w:rFonts w:ascii="Times New Roman" w:hAnsi="Times New Roman" w:cs="Times New Roman"/>
          <w:sz w:val="24"/>
          <w:szCs w:val="24"/>
        </w:rPr>
        <w:t xml:space="preserve">, S., </w:t>
      </w:r>
      <w:proofErr w:type="spellStart"/>
      <w:r w:rsidRPr="00CF4517">
        <w:rPr>
          <w:rFonts w:ascii="Times New Roman" w:hAnsi="Times New Roman" w:cs="Times New Roman"/>
          <w:sz w:val="24"/>
          <w:szCs w:val="24"/>
        </w:rPr>
        <w:t>Oligny-Longpré</w:t>
      </w:r>
      <w:proofErr w:type="spellEnd"/>
      <w:r w:rsidRPr="00CF4517">
        <w:rPr>
          <w:rFonts w:ascii="Times New Roman" w:hAnsi="Times New Roman" w:cs="Times New Roman"/>
          <w:sz w:val="24"/>
          <w:szCs w:val="24"/>
        </w:rPr>
        <w:t xml:space="preserve">, G., &amp; Bouvier, M. (2007). The evasive nature of drug efficacy: implications for drug discovery. </w:t>
      </w:r>
      <w:r w:rsidRPr="00CF4517">
        <w:rPr>
          <w:rFonts w:ascii="Times New Roman" w:hAnsi="Times New Roman" w:cs="Times New Roman"/>
          <w:i/>
          <w:iCs/>
          <w:sz w:val="24"/>
          <w:szCs w:val="24"/>
        </w:rPr>
        <w:t>Trends in pharmacological sciences</w:t>
      </w:r>
      <w:r w:rsidRPr="00CF4517">
        <w:rPr>
          <w:rFonts w:ascii="Times New Roman" w:hAnsi="Times New Roman" w:cs="Times New Roman"/>
          <w:sz w:val="24"/>
          <w:szCs w:val="24"/>
        </w:rPr>
        <w:t xml:space="preserve">, </w:t>
      </w:r>
      <w:r w:rsidRPr="00CF4517">
        <w:rPr>
          <w:rFonts w:ascii="Times New Roman" w:hAnsi="Times New Roman" w:cs="Times New Roman"/>
          <w:i/>
          <w:iCs/>
          <w:sz w:val="24"/>
          <w:szCs w:val="24"/>
        </w:rPr>
        <w:t>28</w:t>
      </w:r>
      <w:r w:rsidRPr="00CF4517">
        <w:rPr>
          <w:rFonts w:ascii="Times New Roman" w:hAnsi="Times New Roman" w:cs="Times New Roman"/>
          <w:sz w:val="24"/>
          <w:szCs w:val="24"/>
        </w:rPr>
        <w:t xml:space="preserve">(8), 423-430. </w:t>
      </w:r>
      <w:hyperlink r:id="rId4" w:history="1">
        <w:r w:rsidRPr="00CF4517">
          <w:rPr>
            <w:rStyle w:val="Hyperlink"/>
            <w:rFonts w:ascii="Times New Roman" w:hAnsi="Times New Roman" w:cs="Times New Roman"/>
            <w:sz w:val="24"/>
            <w:szCs w:val="24"/>
          </w:rPr>
          <w:t>https://doi.org/10.1016/j.tips.2007.06.005</w:t>
        </w:r>
      </w:hyperlink>
    </w:p>
    <w:p w14:paraId="2087D89F" w14:textId="77777777" w:rsidR="00841286" w:rsidRPr="00CF4517" w:rsidRDefault="00841286" w:rsidP="00841286">
      <w:pPr>
        <w:jc w:val="both"/>
        <w:rPr>
          <w:rFonts w:ascii="Times New Roman" w:hAnsi="Times New Roman" w:cs="Times New Roman"/>
          <w:sz w:val="24"/>
          <w:szCs w:val="24"/>
        </w:rPr>
      </w:pPr>
      <w:r w:rsidRPr="00CF4517">
        <w:rPr>
          <w:rFonts w:ascii="Times New Roman" w:hAnsi="Times New Roman" w:cs="Times New Roman"/>
          <w:sz w:val="24"/>
          <w:szCs w:val="24"/>
        </w:rPr>
        <w:t xml:space="preserve">Patnaik, A., Rosen, L. S., </w:t>
      </w:r>
      <w:proofErr w:type="spellStart"/>
      <w:r w:rsidRPr="00CF4517">
        <w:rPr>
          <w:rFonts w:ascii="Times New Roman" w:hAnsi="Times New Roman" w:cs="Times New Roman"/>
          <w:sz w:val="24"/>
          <w:szCs w:val="24"/>
        </w:rPr>
        <w:t>Tolaney</w:t>
      </w:r>
      <w:proofErr w:type="spellEnd"/>
      <w:r w:rsidRPr="00CF4517">
        <w:rPr>
          <w:rFonts w:ascii="Times New Roman" w:hAnsi="Times New Roman" w:cs="Times New Roman"/>
          <w:sz w:val="24"/>
          <w:szCs w:val="24"/>
        </w:rPr>
        <w:t xml:space="preserve">, S. M., </w:t>
      </w:r>
      <w:proofErr w:type="spellStart"/>
      <w:r w:rsidRPr="00CF4517">
        <w:rPr>
          <w:rFonts w:ascii="Times New Roman" w:hAnsi="Times New Roman" w:cs="Times New Roman"/>
          <w:sz w:val="24"/>
          <w:szCs w:val="24"/>
        </w:rPr>
        <w:t>Tolcher</w:t>
      </w:r>
      <w:proofErr w:type="spellEnd"/>
      <w:r w:rsidRPr="00CF4517">
        <w:rPr>
          <w:rFonts w:ascii="Times New Roman" w:hAnsi="Times New Roman" w:cs="Times New Roman"/>
          <w:sz w:val="24"/>
          <w:szCs w:val="24"/>
        </w:rPr>
        <w:t xml:space="preserve">, A. W., Goldman, J. W., Gandhi, L., ... &amp; Nasir, A. (2016). Efficacy and safety of </w:t>
      </w:r>
      <w:proofErr w:type="spellStart"/>
      <w:r w:rsidRPr="00CF4517">
        <w:rPr>
          <w:rFonts w:ascii="Times New Roman" w:hAnsi="Times New Roman" w:cs="Times New Roman"/>
          <w:sz w:val="24"/>
          <w:szCs w:val="24"/>
        </w:rPr>
        <w:t>abemaciclib</w:t>
      </w:r>
      <w:proofErr w:type="spellEnd"/>
      <w:r w:rsidRPr="00CF4517">
        <w:rPr>
          <w:rFonts w:ascii="Times New Roman" w:hAnsi="Times New Roman" w:cs="Times New Roman"/>
          <w:sz w:val="24"/>
          <w:szCs w:val="24"/>
        </w:rPr>
        <w:t xml:space="preserve">, an inhibitor of CDK4 and CDK6, for patients with breast cancer, non–small cell lung cancer, and other solid tumors. </w:t>
      </w:r>
      <w:r w:rsidRPr="00CF4517">
        <w:rPr>
          <w:rFonts w:ascii="Times New Roman" w:hAnsi="Times New Roman" w:cs="Times New Roman"/>
          <w:i/>
          <w:iCs/>
          <w:sz w:val="24"/>
          <w:szCs w:val="24"/>
        </w:rPr>
        <w:t>Cancer discovery</w:t>
      </w:r>
      <w:r w:rsidRPr="00CF4517">
        <w:rPr>
          <w:rFonts w:ascii="Times New Roman" w:hAnsi="Times New Roman" w:cs="Times New Roman"/>
          <w:sz w:val="24"/>
          <w:szCs w:val="24"/>
        </w:rPr>
        <w:t xml:space="preserve">, </w:t>
      </w:r>
      <w:r w:rsidRPr="00CF4517">
        <w:rPr>
          <w:rFonts w:ascii="Times New Roman" w:hAnsi="Times New Roman" w:cs="Times New Roman"/>
          <w:i/>
          <w:iCs/>
          <w:sz w:val="24"/>
          <w:szCs w:val="24"/>
        </w:rPr>
        <w:t>6</w:t>
      </w:r>
      <w:r w:rsidRPr="00CF4517">
        <w:rPr>
          <w:rFonts w:ascii="Times New Roman" w:hAnsi="Times New Roman" w:cs="Times New Roman"/>
          <w:sz w:val="24"/>
          <w:szCs w:val="24"/>
        </w:rPr>
        <w:t>(7), 740-753.</w:t>
      </w:r>
    </w:p>
    <w:p w14:paraId="168E1006" w14:textId="77777777" w:rsidR="00841286" w:rsidRPr="00CF4517" w:rsidRDefault="00841286" w:rsidP="00841286">
      <w:pPr>
        <w:jc w:val="both"/>
        <w:rPr>
          <w:rFonts w:ascii="Times New Roman" w:hAnsi="Times New Roman" w:cs="Times New Roman"/>
          <w:sz w:val="24"/>
          <w:szCs w:val="24"/>
        </w:rPr>
      </w:pPr>
      <w:r w:rsidRPr="00CF4517">
        <w:rPr>
          <w:rFonts w:ascii="Times New Roman" w:hAnsi="Times New Roman" w:cs="Times New Roman"/>
          <w:sz w:val="24"/>
          <w:szCs w:val="24"/>
        </w:rPr>
        <w:t xml:space="preserve">Drummond MF, </w:t>
      </w:r>
      <w:proofErr w:type="spellStart"/>
      <w:r w:rsidRPr="00CF4517">
        <w:rPr>
          <w:rFonts w:ascii="Times New Roman" w:hAnsi="Times New Roman" w:cs="Times New Roman"/>
          <w:sz w:val="24"/>
          <w:szCs w:val="24"/>
        </w:rPr>
        <w:t>Sculpher</w:t>
      </w:r>
      <w:proofErr w:type="spellEnd"/>
      <w:r w:rsidRPr="00CF4517">
        <w:rPr>
          <w:rFonts w:ascii="Times New Roman" w:hAnsi="Times New Roman" w:cs="Times New Roman"/>
          <w:sz w:val="24"/>
          <w:szCs w:val="24"/>
        </w:rPr>
        <w:t xml:space="preserve"> MJ, Torrance GW et al. Methods for the economic evaluation of health care </w:t>
      </w:r>
      <w:proofErr w:type="spellStart"/>
      <w:r w:rsidRPr="00CF4517">
        <w:rPr>
          <w:rFonts w:ascii="Times New Roman" w:hAnsi="Times New Roman" w:cs="Times New Roman"/>
          <w:sz w:val="24"/>
          <w:szCs w:val="24"/>
        </w:rPr>
        <w:t>programmes</w:t>
      </w:r>
      <w:proofErr w:type="spellEnd"/>
      <w:r w:rsidRPr="00CF4517">
        <w:rPr>
          <w:rFonts w:ascii="Times New Roman" w:hAnsi="Times New Roman" w:cs="Times New Roman"/>
          <w:sz w:val="24"/>
          <w:szCs w:val="24"/>
        </w:rPr>
        <w:t>. Oxford: Oxford University Press; 2005.</w:t>
      </w:r>
    </w:p>
    <w:p w14:paraId="63097BDC" w14:textId="77777777" w:rsidR="00841286" w:rsidRPr="00B12A4D" w:rsidRDefault="00841286" w:rsidP="00841286">
      <w:pPr>
        <w:spacing w:after="0"/>
        <w:jc w:val="both"/>
        <w:rPr>
          <w:rFonts w:ascii="Times New Roman" w:hAnsi="Times New Roman" w:cs="Times New Roman"/>
          <w:sz w:val="24"/>
          <w:szCs w:val="24"/>
          <w:lang w:val="nl-NL"/>
        </w:rPr>
      </w:pPr>
      <w:r w:rsidRPr="00CF4517">
        <w:rPr>
          <w:rFonts w:ascii="Times New Roman" w:hAnsi="Times New Roman" w:cs="Times New Roman"/>
          <w:sz w:val="24"/>
          <w:szCs w:val="24"/>
        </w:rPr>
        <w:t xml:space="preserve">Milosevic, I., Levy, H. C., </w:t>
      </w:r>
      <w:proofErr w:type="spellStart"/>
      <w:r w:rsidRPr="00CF4517">
        <w:rPr>
          <w:rFonts w:ascii="Times New Roman" w:hAnsi="Times New Roman" w:cs="Times New Roman"/>
          <w:sz w:val="24"/>
          <w:szCs w:val="24"/>
        </w:rPr>
        <w:t>Alcolado</w:t>
      </w:r>
      <w:proofErr w:type="spellEnd"/>
      <w:r w:rsidRPr="00CF4517">
        <w:rPr>
          <w:rFonts w:ascii="Times New Roman" w:hAnsi="Times New Roman" w:cs="Times New Roman"/>
          <w:sz w:val="24"/>
          <w:szCs w:val="24"/>
        </w:rPr>
        <w:t xml:space="preserve">, G. M., &amp; </w:t>
      </w:r>
      <w:proofErr w:type="spellStart"/>
      <w:r w:rsidRPr="00CF4517">
        <w:rPr>
          <w:rFonts w:ascii="Times New Roman" w:hAnsi="Times New Roman" w:cs="Times New Roman"/>
          <w:sz w:val="24"/>
          <w:szCs w:val="24"/>
        </w:rPr>
        <w:t>Radomsky</w:t>
      </w:r>
      <w:proofErr w:type="spellEnd"/>
      <w:r w:rsidRPr="00CF4517">
        <w:rPr>
          <w:rFonts w:ascii="Times New Roman" w:hAnsi="Times New Roman" w:cs="Times New Roman"/>
          <w:sz w:val="24"/>
          <w:szCs w:val="24"/>
        </w:rPr>
        <w:t xml:space="preserve">, A. S. (2015). The treatment acceptability/adherence scale: moving beyond the assessment of treatment effectiveness. </w:t>
      </w:r>
      <w:proofErr w:type="spellStart"/>
      <w:r w:rsidRPr="00B12A4D">
        <w:rPr>
          <w:rFonts w:ascii="Times New Roman" w:hAnsi="Times New Roman" w:cs="Times New Roman"/>
          <w:i/>
          <w:iCs/>
          <w:sz w:val="24"/>
          <w:szCs w:val="24"/>
          <w:lang w:val="nl-NL"/>
        </w:rPr>
        <w:t>Cognitive</w:t>
      </w:r>
      <w:proofErr w:type="spellEnd"/>
      <w:r w:rsidRPr="00B12A4D">
        <w:rPr>
          <w:rFonts w:ascii="Times New Roman" w:hAnsi="Times New Roman" w:cs="Times New Roman"/>
          <w:i/>
          <w:iCs/>
          <w:sz w:val="24"/>
          <w:szCs w:val="24"/>
          <w:lang w:val="nl-NL"/>
        </w:rPr>
        <w:t xml:space="preserve"> </w:t>
      </w:r>
      <w:proofErr w:type="spellStart"/>
      <w:r w:rsidRPr="00B12A4D">
        <w:rPr>
          <w:rFonts w:ascii="Times New Roman" w:hAnsi="Times New Roman" w:cs="Times New Roman"/>
          <w:i/>
          <w:iCs/>
          <w:sz w:val="24"/>
          <w:szCs w:val="24"/>
          <w:lang w:val="nl-NL"/>
        </w:rPr>
        <w:t>behaviour</w:t>
      </w:r>
      <w:proofErr w:type="spellEnd"/>
      <w:r w:rsidRPr="00B12A4D">
        <w:rPr>
          <w:rFonts w:ascii="Times New Roman" w:hAnsi="Times New Roman" w:cs="Times New Roman"/>
          <w:i/>
          <w:iCs/>
          <w:sz w:val="24"/>
          <w:szCs w:val="24"/>
          <w:lang w:val="nl-NL"/>
        </w:rPr>
        <w:t xml:space="preserve"> </w:t>
      </w:r>
      <w:proofErr w:type="spellStart"/>
      <w:r w:rsidRPr="00B12A4D">
        <w:rPr>
          <w:rFonts w:ascii="Times New Roman" w:hAnsi="Times New Roman" w:cs="Times New Roman"/>
          <w:i/>
          <w:iCs/>
          <w:sz w:val="24"/>
          <w:szCs w:val="24"/>
          <w:lang w:val="nl-NL"/>
        </w:rPr>
        <w:t>therapy</w:t>
      </w:r>
      <w:proofErr w:type="spellEnd"/>
      <w:r w:rsidRPr="00B12A4D">
        <w:rPr>
          <w:rFonts w:ascii="Times New Roman" w:hAnsi="Times New Roman" w:cs="Times New Roman"/>
          <w:sz w:val="24"/>
          <w:szCs w:val="24"/>
          <w:lang w:val="nl-NL"/>
        </w:rPr>
        <w:t xml:space="preserve">, </w:t>
      </w:r>
      <w:r w:rsidRPr="00B12A4D">
        <w:rPr>
          <w:rFonts w:ascii="Times New Roman" w:hAnsi="Times New Roman" w:cs="Times New Roman"/>
          <w:i/>
          <w:iCs/>
          <w:sz w:val="24"/>
          <w:szCs w:val="24"/>
          <w:lang w:val="nl-NL"/>
        </w:rPr>
        <w:t>44</w:t>
      </w:r>
      <w:r w:rsidRPr="00B12A4D">
        <w:rPr>
          <w:rFonts w:ascii="Times New Roman" w:hAnsi="Times New Roman" w:cs="Times New Roman"/>
          <w:sz w:val="24"/>
          <w:szCs w:val="24"/>
          <w:lang w:val="nl-NL"/>
        </w:rPr>
        <w:t>(6), 456-469.</w:t>
      </w:r>
    </w:p>
    <w:p w14:paraId="7DE1A446" w14:textId="77777777" w:rsidR="00841286" w:rsidRPr="00B12A4D" w:rsidRDefault="00841286" w:rsidP="00841286">
      <w:pPr>
        <w:jc w:val="both"/>
        <w:rPr>
          <w:rFonts w:ascii="Times New Roman" w:hAnsi="Times New Roman" w:cs="Times New Roman"/>
          <w:sz w:val="24"/>
          <w:szCs w:val="24"/>
          <w:lang w:val="nl-NL"/>
        </w:rPr>
      </w:pPr>
      <w:hyperlink r:id="rId5" w:history="1">
        <w:r w:rsidRPr="00B12A4D">
          <w:rPr>
            <w:rStyle w:val="Hyperlink"/>
            <w:rFonts w:ascii="Times New Roman" w:hAnsi="Times New Roman" w:cs="Times New Roman"/>
            <w:sz w:val="24"/>
            <w:szCs w:val="24"/>
            <w:lang w:val="nl-NL"/>
          </w:rPr>
          <w:t>https://doi.org/10.1080/16506073.2015.1053407</w:t>
        </w:r>
      </w:hyperlink>
    </w:p>
    <w:p w14:paraId="54680D36" w14:textId="77777777" w:rsidR="00841286" w:rsidRPr="00CF4517" w:rsidRDefault="00841286" w:rsidP="00841286">
      <w:pPr>
        <w:jc w:val="both"/>
        <w:rPr>
          <w:rFonts w:ascii="Times New Roman" w:hAnsi="Times New Roman" w:cs="Times New Roman"/>
          <w:sz w:val="24"/>
          <w:szCs w:val="24"/>
        </w:rPr>
      </w:pPr>
      <w:proofErr w:type="spellStart"/>
      <w:r w:rsidRPr="00B12A4D">
        <w:rPr>
          <w:rFonts w:ascii="Times New Roman" w:hAnsi="Times New Roman" w:cs="Times New Roman"/>
          <w:sz w:val="24"/>
          <w:szCs w:val="24"/>
          <w:lang w:val="nl-NL"/>
        </w:rPr>
        <w:t>Bombeke</w:t>
      </w:r>
      <w:proofErr w:type="spellEnd"/>
      <w:r w:rsidRPr="00B12A4D">
        <w:rPr>
          <w:rFonts w:ascii="Times New Roman" w:hAnsi="Times New Roman" w:cs="Times New Roman"/>
          <w:sz w:val="24"/>
          <w:szCs w:val="24"/>
          <w:lang w:val="nl-NL"/>
        </w:rPr>
        <w:t xml:space="preserve">, K., Van </w:t>
      </w:r>
      <w:proofErr w:type="spellStart"/>
      <w:r w:rsidRPr="00B12A4D">
        <w:rPr>
          <w:rFonts w:ascii="Times New Roman" w:hAnsi="Times New Roman" w:cs="Times New Roman"/>
          <w:sz w:val="24"/>
          <w:szCs w:val="24"/>
          <w:lang w:val="nl-NL"/>
        </w:rPr>
        <w:t>Roosbroeck</w:t>
      </w:r>
      <w:proofErr w:type="spellEnd"/>
      <w:r w:rsidRPr="00B12A4D">
        <w:rPr>
          <w:rFonts w:ascii="Times New Roman" w:hAnsi="Times New Roman" w:cs="Times New Roman"/>
          <w:sz w:val="24"/>
          <w:szCs w:val="24"/>
          <w:lang w:val="nl-NL"/>
        </w:rPr>
        <w:t xml:space="preserve">, S., De Winter, B., </w:t>
      </w:r>
      <w:proofErr w:type="spellStart"/>
      <w:r w:rsidRPr="00B12A4D">
        <w:rPr>
          <w:rFonts w:ascii="Times New Roman" w:hAnsi="Times New Roman" w:cs="Times New Roman"/>
          <w:sz w:val="24"/>
          <w:szCs w:val="24"/>
          <w:lang w:val="nl-NL"/>
        </w:rPr>
        <w:t>Debaene</w:t>
      </w:r>
      <w:proofErr w:type="spellEnd"/>
      <w:r w:rsidRPr="00B12A4D">
        <w:rPr>
          <w:rFonts w:ascii="Times New Roman" w:hAnsi="Times New Roman" w:cs="Times New Roman"/>
          <w:sz w:val="24"/>
          <w:szCs w:val="24"/>
          <w:lang w:val="nl-NL"/>
        </w:rPr>
        <w:t xml:space="preserve">, L., Schol, S., Van Hal, G., &amp; Van Royen, P. (2011). </w:t>
      </w:r>
      <w:r w:rsidRPr="00CF4517">
        <w:rPr>
          <w:rFonts w:ascii="Times New Roman" w:hAnsi="Times New Roman" w:cs="Times New Roman"/>
          <w:sz w:val="24"/>
          <w:szCs w:val="24"/>
        </w:rPr>
        <w:t>Medical students trained in communication skills show a decline in patient-</w:t>
      </w:r>
      <w:proofErr w:type="spellStart"/>
      <w:r w:rsidRPr="00CF4517">
        <w:rPr>
          <w:rFonts w:ascii="Times New Roman" w:hAnsi="Times New Roman" w:cs="Times New Roman"/>
          <w:sz w:val="24"/>
          <w:szCs w:val="24"/>
        </w:rPr>
        <w:t>centred</w:t>
      </w:r>
      <w:proofErr w:type="spellEnd"/>
      <w:r w:rsidRPr="00CF4517">
        <w:rPr>
          <w:rFonts w:ascii="Times New Roman" w:hAnsi="Times New Roman" w:cs="Times New Roman"/>
          <w:sz w:val="24"/>
          <w:szCs w:val="24"/>
        </w:rPr>
        <w:t xml:space="preserve"> attitudes: an observational study comparing two cohorts during clinical clerkships. </w:t>
      </w:r>
      <w:r w:rsidRPr="00CF4517">
        <w:rPr>
          <w:rFonts w:ascii="Times New Roman" w:hAnsi="Times New Roman" w:cs="Times New Roman"/>
          <w:i/>
          <w:iCs/>
          <w:sz w:val="24"/>
          <w:szCs w:val="24"/>
        </w:rPr>
        <w:t>Patient Education and Counseling</w:t>
      </w:r>
      <w:r w:rsidRPr="00CF4517">
        <w:rPr>
          <w:rFonts w:ascii="Times New Roman" w:hAnsi="Times New Roman" w:cs="Times New Roman"/>
          <w:sz w:val="24"/>
          <w:szCs w:val="24"/>
        </w:rPr>
        <w:t xml:space="preserve">, </w:t>
      </w:r>
      <w:r w:rsidRPr="00CF4517">
        <w:rPr>
          <w:rFonts w:ascii="Times New Roman" w:hAnsi="Times New Roman" w:cs="Times New Roman"/>
          <w:i/>
          <w:iCs/>
          <w:sz w:val="24"/>
          <w:szCs w:val="24"/>
        </w:rPr>
        <w:t>84</w:t>
      </w:r>
      <w:r w:rsidRPr="00CF4517">
        <w:rPr>
          <w:rFonts w:ascii="Times New Roman" w:hAnsi="Times New Roman" w:cs="Times New Roman"/>
          <w:sz w:val="24"/>
          <w:szCs w:val="24"/>
        </w:rPr>
        <w:t xml:space="preserve">(3), 310-318. </w:t>
      </w:r>
      <w:hyperlink r:id="rId6" w:history="1">
        <w:r w:rsidRPr="00CF4517">
          <w:rPr>
            <w:rStyle w:val="Hyperlink"/>
            <w:rFonts w:ascii="Times New Roman" w:hAnsi="Times New Roman" w:cs="Times New Roman"/>
            <w:sz w:val="24"/>
            <w:szCs w:val="24"/>
          </w:rPr>
          <w:t>https://doi.org/10.1016/j.pec.2011.03.007</w:t>
        </w:r>
      </w:hyperlink>
    </w:p>
    <w:p w14:paraId="36CFAD28" w14:textId="77777777" w:rsidR="00841286" w:rsidRPr="00CF4517" w:rsidRDefault="00841286" w:rsidP="00841286">
      <w:pPr>
        <w:jc w:val="both"/>
        <w:rPr>
          <w:rFonts w:ascii="Times New Roman" w:hAnsi="Times New Roman" w:cs="Times New Roman"/>
          <w:sz w:val="24"/>
          <w:szCs w:val="24"/>
        </w:rPr>
      </w:pPr>
      <w:r w:rsidRPr="00CF4517">
        <w:rPr>
          <w:rFonts w:ascii="Times New Roman" w:hAnsi="Times New Roman" w:cs="Times New Roman"/>
          <w:sz w:val="24"/>
          <w:szCs w:val="24"/>
        </w:rPr>
        <w:t xml:space="preserve">Weinstein, M. C., &amp; Skinner, J. A. (2010). Comparative effectiveness and health care spending—implications for reform. </w:t>
      </w:r>
      <w:r w:rsidRPr="00CF4517">
        <w:rPr>
          <w:rFonts w:ascii="Times New Roman" w:hAnsi="Times New Roman" w:cs="Times New Roman"/>
          <w:i/>
          <w:iCs/>
          <w:sz w:val="24"/>
          <w:szCs w:val="24"/>
        </w:rPr>
        <w:t>The New England journal of medicine</w:t>
      </w:r>
      <w:r w:rsidRPr="00CF4517">
        <w:rPr>
          <w:rFonts w:ascii="Times New Roman" w:hAnsi="Times New Roman" w:cs="Times New Roman"/>
          <w:sz w:val="24"/>
          <w:szCs w:val="24"/>
        </w:rPr>
        <w:t xml:space="preserve">, </w:t>
      </w:r>
      <w:r w:rsidRPr="00CF4517">
        <w:rPr>
          <w:rFonts w:ascii="Times New Roman" w:hAnsi="Times New Roman" w:cs="Times New Roman"/>
          <w:i/>
          <w:iCs/>
          <w:sz w:val="24"/>
          <w:szCs w:val="24"/>
        </w:rPr>
        <w:t>362</w:t>
      </w:r>
      <w:r w:rsidRPr="00CF4517">
        <w:rPr>
          <w:rFonts w:ascii="Times New Roman" w:hAnsi="Times New Roman" w:cs="Times New Roman"/>
          <w:sz w:val="24"/>
          <w:szCs w:val="24"/>
        </w:rPr>
        <w:t>(5), 460-465.</w:t>
      </w:r>
    </w:p>
    <w:p w14:paraId="58329785" w14:textId="77777777" w:rsidR="00841286" w:rsidRPr="00CF4517" w:rsidRDefault="00841286" w:rsidP="00841286">
      <w:pPr>
        <w:jc w:val="both"/>
        <w:rPr>
          <w:rFonts w:ascii="Times New Roman" w:hAnsi="Times New Roman" w:cs="Times New Roman"/>
          <w:sz w:val="24"/>
          <w:szCs w:val="24"/>
        </w:rPr>
      </w:pPr>
      <w:r w:rsidRPr="00CF4517">
        <w:rPr>
          <w:rFonts w:ascii="Times New Roman" w:hAnsi="Times New Roman" w:cs="Times New Roman"/>
          <w:sz w:val="24"/>
          <w:szCs w:val="24"/>
        </w:rPr>
        <w:t xml:space="preserve">Peres, R., Muller, E., &amp; Mahajan, V. (2010). Innovation diffusion and new product growth models: A critical review and research directions. </w:t>
      </w:r>
      <w:r w:rsidRPr="00CF4517">
        <w:rPr>
          <w:rFonts w:ascii="Times New Roman" w:hAnsi="Times New Roman" w:cs="Times New Roman"/>
          <w:i/>
          <w:iCs/>
          <w:sz w:val="24"/>
          <w:szCs w:val="24"/>
        </w:rPr>
        <w:t>International journal of research in marketing</w:t>
      </w:r>
      <w:r w:rsidRPr="00CF4517">
        <w:rPr>
          <w:rFonts w:ascii="Times New Roman" w:hAnsi="Times New Roman" w:cs="Times New Roman"/>
          <w:sz w:val="24"/>
          <w:szCs w:val="24"/>
        </w:rPr>
        <w:t xml:space="preserve">, </w:t>
      </w:r>
      <w:r w:rsidRPr="00CF4517">
        <w:rPr>
          <w:rFonts w:ascii="Times New Roman" w:hAnsi="Times New Roman" w:cs="Times New Roman"/>
          <w:i/>
          <w:iCs/>
          <w:sz w:val="24"/>
          <w:szCs w:val="24"/>
        </w:rPr>
        <w:t>27</w:t>
      </w:r>
      <w:r w:rsidRPr="00CF4517">
        <w:rPr>
          <w:rFonts w:ascii="Times New Roman" w:hAnsi="Times New Roman" w:cs="Times New Roman"/>
          <w:sz w:val="24"/>
          <w:szCs w:val="24"/>
        </w:rPr>
        <w:t xml:space="preserve">(2), 91-106. </w:t>
      </w:r>
      <w:hyperlink r:id="rId7" w:history="1">
        <w:r w:rsidRPr="00CF4517">
          <w:rPr>
            <w:rStyle w:val="Hyperlink"/>
            <w:rFonts w:ascii="Times New Roman" w:hAnsi="Times New Roman" w:cs="Times New Roman"/>
            <w:sz w:val="24"/>
            <w:szCs w:val="24"/>
          </w:rPr>
          <w:t>https://doi.org/10.1016/j.ijresmar.2009.12.012</w:t>
        </w:r>
      </w:hyperlink>
    </w:p>
    <w:p w14:paraId="27EBA7CE" w14:textId="77777777" w:rsidR="00841286" w:rsidRPr="00CF4517" w:rsidRDefault="00841286" w:rsidP="00841286">
      <w:pPr>
        <w:jc w:val="both"/>
        <w:rPr>
          <w:rFonts w:ascii="Times New Roman" w:hAnsi="Times New Roman" w:cs="Times New Roman"/>
          <w:sz w:val="24"/>
          <w:szCs w:val="24"/>
        </w:rPr>
      </w:pPr>
      <w:r w:rsidRPr="00CF4517">
        <w:rPr>
          <w:rFonts w:ascii="Times New Roman" w:hAnsi="Times New Roman" w:cs="Times New Roman"/>
          <w:sz w:val="24"/>
          <w:szCs w:val="24"/>
        </w:rPr>
        <w:t xml:space="preserve">Kao, D., Torres, L. R., Guerrero, E. G., Mauldin, R. L., &amp; </w:t>
      </w:r>
      <w:proofErr w:type="spellStart"/>
      <w:r w:rsidRPr="00CF4517">
        <w:rPr>
          <w:rFonts w:ascii="Times New Roman" w:hAnsi="Times New Roman" w:cs="Times New Roman"/>
          <w:sz w:val="24"/>
          <w:szCs w:val="24"/>
        </w:rPr>
        <w:t>Bordnick</w:t>
      </w:r>
      <w:proofErr w:type="spellEnd"/>
      <w:r w:rsidRPr="00CF4517">
        <w:rPr>
          <w:rFonts w:ascii="Times New Roman" w:hAnsi="Times New Roman" w:cs="Times New Roman"/>
          <w:sz w:val="24"/>
          <w:szCs w:val="24"/>
        </w:rPr>
        <w:t xml:space="preserve">, P. S. (2014). Spatial accessibility of drug treatment facilities and the effects on locus of control, drug use, and service use among heroin-injecting Mexican American men. </w:t>
      </w:r>
      <w:r w:rsidRPr="00CF4517">
        <w:rPr>
          <w:rFonts w:ascii="Times New Roman" w:hAnsi="Times New Roman" w:cs="Times New Roman"/>
          <w:i/>
          <w:iCs/>
          <w:sz w:val="24"/>
          <w:szCs w:val="24"/>
        </w:rPr>
        <w:t>International Journal of Drug Policy</w:t>
      </w:r>
      <w:r w:rsidRPr="00CF4517">
        <w:rPr>
          <w:rFonts w:ascii="Times New Roman" w:hAnsi="Times New Roman" w:cs="Times New Roman"/>
          <w:sz w:val="24"/>
          <w:szCs w:val="24"/>
        </w:rPr>
        <w:t xml:space="preserve">, </w:t>
      </w:r>
      <w:r w:rsidRPr="00CF4517">
        <w:rPr>
          <w:rFonts w:ascii="Times New Roman" w:hAnsi="Times New Roman" w:cs="Times New Roman"/>
          <w:i/>
          <w:iCs/>
          <w:sz w:val="24"/>
          <w:szCs w:val="24"/>
        </w:rPr>
        <w:t>25</w:t>
      </w:r>
      <w:r w:rsidRPr="00CF4517">
        <w:rPr>
          <w:rFonts w:ascii="Times New Roman" w:hAnsi="Times New Roman" w:cs="Times New Roman"/>
          <w:sz w:val="24"/>
          <w:szCs w:val="24"/>
        </w:rPr>
        <w:t xml:space="preserve">(3), 598-607. </w:t>
      </w:r>
      <w:hyperlink r:id="rId8" w:history="1">
        <w:r w:rsidRPr="00CF4517">
          <w:rPr>
            <w:rStyle w:val="Hyperlink"/>
            <w:rFonts w:ascii="Times New Roman" w:hAnsi="Times New Roman" w:cs="Times New Roman"/>
            <w:sz w:val="24"/>
            <w:szCs w:val="24"/>
          </w:rPr>
          <w:t>https://doi.org/10.1016/j.drugpo.2013.12.012</w:t>
        </w:r>
      </w:hyperlink>
    </w:p>
    <w:p w14:paraId="16913F30" w14:textId="77777777" w:rsidR="00841286" w:rsidRPr="00CF4517" w:rsidRDefault="00841286" w:rsidP="00841286">
      <w:pPr>
        <w:jc w:val="both"/>
        <w:rPr>
          <w:rFonts w:ascii="Times New Roman" w:hAnsi="Times New Roman" w:cs="Times New Roman"/>
          <w:sz w:val="24"/>
          <w:szCs w:val="24"/>
        </w:rPr>
      </w:pPr>
      <w:r w:rsidRPr="00CF4517">
        <w:rPr>
          <w:rFonts w:ascii="Times New Roman" w:hAnsi="Times New Roman" w:cs="Times New Roman"/>
          <w:sz w:val="24"/>
          <w:szCs w:val="24"/>
        </w:rPr>
        <w:t xml:space="preserve">Hazen, B. T., Wu, Y., Sankar, C. S., &amp; Jones-Farmer, L. A. (2012). A proposed framework for educational innovation dissemination. </w:t>
      </w:r>
      <w:r w:rsidRPr="00CF4517">
        <w:rPr>
          <w:rFonts w:ascii="Times New Roman" w:hAnsi="Times New Roman" w:cs="Times New Roman"/>
          <w:i/>
          <w:iCs/>
          <w:sz w:val="24"/>
          <w:szCs w:val="24"/>
        </w:rPr>
        <w:t>Journal of Educational Technology Systems</w:t>
      </w:r>
      <w:r w:rsidRPr="00CF4517">
        <w:rPr>
          <w:rFonts w:ascii="Times New Roman" w:hAnsi="Times New Roman" w:cs="Times New Roman"/>
          <w:sz w:val="24"/>
          <w:szCs w:val="24"/>
        </w:rPr>
        <w:t xml:space="preserve">, </w:t>
      </w:r>
      <w:r w:rsidRPr="00CF4517">
        <w:rPr>
          <w:rFonts w:ascii="Times New Roman" w:hAnsi="Times New Roman" w:cs="Times New Roman"/>
          <w:i/>
          <w:iCs/>
          <w:sz w:val="24"/>
          <w:szCs w:val="24"/>
        </w:rPr>
        <w:t>40</w:t>
      </w:r>
      <w:r w:rsidRPr="00CF4517">
        <w:rPr>
          <w:rFonts w:ascii="Times New Roman" w:hAnsi="Times New Roman" w:cs="Times New Roman"/>
          <w:sz w:val="24"/>
          <w:szCs w:val="24"/>
        </w:rPr>
        <w:t xml:space="preserve">(3), 301-321. </w:t>
      </w:r>
      <w:hyperlink r:id="rId9" w:history="1">
        <w:r w:rsidRPr="00CF4517">
          <w:rPr>
            <w:rStyle w:val="Hyperlink"/>
            <w:rFonts w:ascii="Times New Roman" w:hAnsi="Times New Roman" w:cs="Times New Roman"/>
            <w:sz w:val="24"/>
            <w:szCs w:val="24"/>
          </w:rPr>
          <w:t>https://doi.org/10.2190/ET.40.3.f</w:t>
        </w:r>
      </w:hyperlink>
    </w:p>
    <w:p w14:paraId="5D31D480" w14:textId="77777777" w:rsidR="00841286" w:rsidRPr="00CF4517" w:rsidRDefault="00841286" w:rsidP="00841286">
      <w:pPr>
        <w:jc w:val="both"/>
        <w:rPr>
          <w:rFonts w:ascii="Times New Roman" w:hAnsi="Times New Roman" w:cs="Times New Roman"/>
          <w:sz w:val="24"/>
          <w:szCs w:val="24"/>
        </w:rPr>
      </w:pPr>
      <w:r w:rsidRPr="00CF4517">
        <w:rPr>
          <w:rFonts w:ascii="Times New Roman" w:hAnsi="Times New Roman" w:cs="Times New Roman"/>
          <w:sz w:val="24"/>
          <w:szCs w:val="24"/>
        </w:rPr>
        <w:t xml:space="preserve">Van Wee, B., &amp; </w:t>
      </w:r>
      <w:proofErr w:type="spellStart"/>
      <w:r w:rsidRPr="00CF4517">
        <w:rPr>
          <w:rFonts w:ascii="Times New Roman" w:hAnsi="Times New Roman" w:cs="Times New Roman"/>
          <w:sz w:val="24"/>
          <w:szCs w:val="24"/>
        </w:rPr>
        <w:t>Geurs</w:t>
      </w:r>
      <w:proofErr w:type="spellEnd"/>
      <w:r w:rsidRPr="00CF4517">
        <w:rPr>
          <w:rFonts w:ascii="Times New Roman" w:hAnsi="Times New Roman" w:cs="Times New Roman"/>
          <w:sz w:val="24"/>
          <w:szCs w:val="24"/>
        </w:rPr>
        <w:t xml:space="preserve">, K. (2011). Discussing equity and social exclusion in accessibility evaluations. </w:t>
      </w:r>
      <w:r w:rsidRPr="00CF4517">
        <w:rPr>
          <w:rFonts w:ascii="Times New Roman" w:hAnsi="Times New Roman" w:cs="Times New Roman"/>
          <w:i/>
          <w:iCs/>
          <w:sz w:val="24"/>
          <w:szCs w:val="24"/>
        </w:rPr>
        <w:t>European Journal of Transport and Infrastructure Research (EJTIR)</w:t>
      </w:r>
      <w:r w:rsidRPr="00CF4517">
        <w:rPr>
          <w:rFonts w:ascii="Times New Roman" w:hAnsi="Times New Roman" w:cs="Times New Roman"/>
          <w:sz w:val="24"/>
          <w:szCs w:val="24"/>
        </w:rPr>
        <w:t xml:space="preserve">, </w:t>
      </w:r>
      <w:r w:rsidRPr="00CF4517">
        <w:rPr>
          <w:rFonts w:ascii="Times New Roman" w:hAnsi="Times New Roman" w:cs="Times New Roman"/>
          <w:i/>
          <w:iCs/>
          <w:sz w:val="24"/>
          <w:szCs w:val="24"/>
        </w:rPr>
        <w:t>11</w:t>
      </w:r>
      <w:r w:rsidRPr="00CF4517">
        <w:rPr>
          <w:rFonts w:ascii="Times New Roman" w:hAnsi="Times New Roman" w:cs="Times New Roman"/>
          <w:sz w:val="24"/>
          <w:szCs w:val="24"/>
        </w:rPr>
        <w:t xml:space="preserve">(4). </w:t>
      </w:r>
      <w:hyperlink r:id="rId10" w:history="1">
        <w:r w:rsidRPr="00CF4517">
          <w:rPr>
            <w:rStyle w:val="Hyperlink"/>
            <w:rFonts w:ascii="Times New Roman" w:hAnsi="Times New Roman" w:cs="Times New Roman"/>
            <w:sz w:val="24"/>
            <w:szCs w:val="24"/>
          </w:rPr>
          <w:t>https://doi.org/10.18757/ejtir.2011.11.4.2940</w:t>
        </w:r>
      </w:hyperlink>
    </w:p>
    <w:p w14:paraId="6407B890" w14:textId="77777777" w:rsidR="00841286" w:rsidRPr="00CF4517" w:rsidRDefault="00841286" w:rsidP="00AF7780">
      <w:pPr>
        <w:jc w:val="both"/>
        <w:rPr>
          <w:rFonts w:ascii="Times New Roman" w:hAnsi="Times New Roman" w:cs="Times New Roman"/>
          <w:sz w:val="24"/>
          <w:szCs w:val="24"/>
        </w:rPr>
      </w:pPr>
    </w:p>
    <w:p w14:paraId="4EB6AAEC" w14:textId="77777777" w:rsidR="00AF7780" w:rsidRDefault="00AF7780"/>
    <w:sectPr w:rsidR="00AF77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780"/>
    <w:rsid w:val="00841286"/>
    <w:rsid w:val="00AF778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5D98"/>
  <w15:chartTrackingRefBased/>
  <w15:docId w15:val="{8F79909E-2C01-4B11-93E2-02293747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78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7780"/>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12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drugpo.2013.12.012" TargetMode="External"/><Relationship Id="rId3" Type="http://schemas.openxmlformats.org/officeDocument/2006/relationships/webSettings" Target="webSettings.xml"/><Relationship Id="rId7" Type="http://schemas.openxmlformats.org/officeDocument/2006/relationships/hyperlink" Target="https://doi.org/10.1016/j.ijresmar.2009.12.01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pec.2011.03.007" TargetMode="External"/><Relationship Id="rId11" Type="http://schemas.openxmlformats.org/officeDocument/2006/relationships/fontTable" Target="fontTable.xml"/><Relationship Id="rId5" Type="http://schemas.openxmlformats.org/officeDocument/2006/relationships/hyperlink" Target="https://doi.org/10.1080/16506073.2015.1053407" TargetMode="External"/><Relationship Id="rId10" Type="http://schemas.openxmlformats.org/officeDocument/2006/relationships/hyperlink" Target="https://doi.org/10.18757/ejtir.2011.11.4.2940" TargetMode="External"/><Relationship Id="rId4" Type="http://schemas.openxmlformats.org/officeDocument/2006/relationships/hyperlink" Target="https://doi.org/10.1016/j.tips.2007.06.005" TargetMode="External"/><Relationship Id="rId9" Type="http://schemas.openxmlformats.org/officeDocument/2006/relationships/hyperlink" Target="https://doi.org/10.2190/ET.40.3.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verbeek</dc:creator>
  <cp:keywords/>
  <dc:description/>
  <cp:lastModifiedBy>joost verbeek</cp:lastModifiedBy>
  <cp:revision>2</cp:revision>
  <dcterms:created xsi:type="dcterms:W3CDTF">2022-01-19T13:34:00Z</dcterms:created>
  <dcterms:modified xsi:type="dcterms:W3CDTF">2022-01-19T13:35:00Z</dcterms:modified>
</cp:coreProperties>
</file>