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Times New Roman" w:hAnsi="Times New Roman"/>
          <w:b/>
          <w:color w:val="auto"/>
          <w:sz w:val="24"/>
          <w:szCs w:val="24"/>
          <w:highlight w:val="none"/>
          <w:lang w:val="en-GB"/>
        </w:rPr>
      </w:pPr>
      <w:bookmarkStart w:id="0" w:name="_Hlk34807801"/>
      <w:r>
        <w:rPr>
          <w:rFonts w:ascii="Times New Roman" w:hAnsi="Times New Roman"/>
          <w:b/>
          <w:color w:val="auto"/>
          <w:sz w:val="24"/>
          <w:szCs w:val="24"/>
          <w:highlight w:val="none"/>
          <w:lang w:val="en-GB"/>
        </w:rPr>
        <w:t>Energy budget and carbon footprint in ridge–furrow with plastic film mulch strategy under a wheat–maize system in dry semi–humid areas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Times New Roman" w:hAnsi="Times New Roman"/>
          <w:color w:val="auto"/>
          <w:sz w:val="24"/>
          <w:szCs w:val="24"/>
          <w:highlight w:val="none"/>
        </w:rPr>
      </w:pPr>
      <w:bookmarkStart w:id="7" w:name="_GoBack"/>
      <w:bookmarkEnd w:id="7"/>
      <w:r>
        <w:rPr>
          <w:rFonts w:ascii="Times New Roman" w:hAnsi="Times New Roman"/>
          <w:color w:val="auto"/>
          <w:sz w:val="24"/>
          <w:szCs w:val="24"/>
          <w:highlight w:val="none"/>
        </w:rPr>
        <w:t>Changjiang Li</w:t>
      </w:r>
      <w:bookmarkStart w:id="1" w:name="_Hlk2098364"/>
      <w:r>
        <w:rPr>
          <w:rFonts w:ascii="Times New Roman" w:hAnsi="Times New Roman"/>
          <w:color w:val="auto"/>
          <w:sz w:val="24"/>
          <w:szCs w:val="24"/>
          <w:highlight w:val="none"/>
        </w:rPr>
        <w:t xml:space="preserve"> </w:t>
      </w:r>
      <w:bookmarkEnd w:id="1"/>
      <w:r>
        <w:rPr>
          <w:rFonts w:hint="eastAsia" w:ascii="Times New Roman" w:hAnsi="Times New Roman"/>
          <w:color w:val="auto"/>
          <w:sz w:val="24"/>
          <w:szCs w:val="24"/>
          <w:highlight w:val="none"/>
          <w:vertAlign w:val="superscript"/>
          <w:lang w:val="en-US" w:eastAsia="zh-CN"/>
        </w:rPr>
        <w:t>1, 3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</w:rPr>
        <w:t>,</w:t>
      </w:r>
      <w:r>
        <w:rPr>
          <w:rFonts w:ascii="Times New Roman" w:hAnsi="Times New Roman"/>
          <w:color w:val="auto"/>
          <w:sz w:val="24"/>
          <w:szCs w:val="24"/>
          <w:highlight w:val="none"/>
        </w:rPr>
        <w:t xml:space="preserve"> Shuo Li 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vertAlign w:val="superscript"/>
          <w:lang w:val="en-US" w:eastAsia="zh-CN"/>
        </w:rPr>
        <w:t>2</w:t>
      </w:r>
      <w:r>
        <w:rPr>
          <w:rFonts w:ascii="Times New Roman" w:hAnsi="Times New Roman"/>
          <w:color w:val="auto"/>
          <w:sz w:val="24"/>
          <w:szCs w:val="24"/>
          <w:highlight w:val="none"/>
          <w:vertAlign w:val="superscript"/>
        </w:rPr>
        <w:t>, *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/>
          <w:color w:val="auto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/>
          <w:color w:val="auto"/>
          <w:sz w:val="24"/>
          <w:szCs w:val="24"/>
          <w:highlight w:val="none"/>
        </w:rPr>
      </w:pPr>
      <w:bookmarkStart w:id="2" w:name="OLE_LINK49"/>
      <w:bookmarkStart w:id="3" w:name="OLE_LINK48"/>
      <w:r>
        <w:rPr>
          <w:rFonts w:hint="eastAsia" w:ascii="Times New Roman" w:hAnsi="Times New Roman"/>
          <w:color w:val="auto"/>
          <w:sz w:val="24"/>
          <w:szCs w:val="24"/>
          <w:highlight w:val="none"/>
          <w:vertAlign w:val="superscript"/>
          <w:lang w:val="en-US" w:eastAsia="zh-CN"/>
        </w:rPr>
        <w:t>1</w:t>
      </w:r>
      <w:r>
        <w:rPr>
          <w:rFonts w:ascii="Times New Roman" w:hAnsi="Times New Roman"/>
          <w:color w:val="auto"/>
          <w:sz w:val="24"/>
          <w:szCs w:val="24"/>
          <w:highlight w:val="none"/>
          <w:vertAlign w:val="superscript"/>
        </w:rPr>
        <w:t xml:space="preserve"> </w:t>
      </w:r>
      <w:bookmarkStart w:id="4" w:name="OLE_LINK8"/>
      <w:bookmarkStart w:id="5" w:name="OLE_LINK9"/>
      <w:r>
        <w:rPr>
          <w:rFonts w:ascii="Times New Roman" w:hAnsi="Times New Roman"/>
          <w:color w:val="auto"/>
          <w:sz w:val="24"/>
          <w:szCs w:val="24"/>
          <w:highlight w:val="none"/>
        </w:rPr>
        <w:t>Hainan Key Laboratory for Sustainable Utilization of Tropical Bioresources</w:t>
      </w:r>
      <w:bookmarkEnd w:id="4"/>
      <w:bookmarkEnd w:id="5"/>
      <w:r>
        <w:rPr>
          <w:rFonts w:ascii="Times New Roman" w:hAnsi="Times New Roman"/>
          <w:color w:val="auto"/>
          <w:sz w:val="24"/>
          <w:szCs w:val="24"/>
          <w:highlight w:val="none"/>
        </w:rPr>
        <w:t xml:space="preserve">, </w:t>
      </w:r>
      <w:bookmarkStart w:id="6" w:name="OLE_LINK22"/>
      <w:r>
        <w:rPr>
          <w:rFonts w:ascii="Times New Roman" w:hAnsi="Times New Roman"/>
          <w:color w:val="auto"/>
          <w:sz w:val="24"/>
          <w:szCs w:val="24"/>
          <w:highlight w:val="none"/>
        </w:rPr>
        <w:t>College of Tropical Crops</w:t>
      </w:r>
      <w:bookmarkEnd w:id="6"/>
      <w:r>
        <w:rPr>
          <w:rFonts w:ascii="Times New Roman" w:hAnsi="Times New Roman"/>
          <w:color w:val="auto"/>
          <w:sz w:val="24"/>
          <w:szCs w:val="24"/>
          <w:highlight w:val="none"/>
        </w:rPr>
        <w:t>, Hainan University, Haikou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 xml:space="preserve"> 570228</w:t>
      </w:r>
      <w:r>
        <w:rPr>
          <w:rFonts w:ascii="Times New Roman" w:hAnsi="Times New Roman"/>
          <w:color w:val="auto"/>
          <w:sz w:val="24"/>
          <w:szCs w:val="24"/>
          <w:highlight w:val="none"/>
        </w:rPr>
        <w:t>, China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 xml:space="preserve">; 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instrText xml:space="preserve"> HYPERLINK "mailto:lichangjiang99@163.com" </w:instrTex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rStyle w:val="12"/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>lichangjiang99@163.com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 xml:space="preserve"> (C.L.)</w:t>
      </w:r>
      <w:r>
        <w:rPr>
          <w:rFonts w:ascii="Times New Roman" w:hAnsi="Times New Roman"/>
          <w:color w:val="auto"/>
          <w:sz w:val="24"/>
          <w:szCs w:val="24"/>
          <w:highlight w:val="none"/>
        </w:rPr>
        <w:t xml:space="preserve"> </w:t>
      </w:r>
      <w:bookmarkEnd w:id="2"/>
      <w:bookmarkEnd w:id="3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default" w:ascii="Times New Roman" w:hAnsi="Times New Roman" w:eastAsiaTheme="minorEastAsia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/>
          <w:color w:val="auto"/>
          <w:sz w:val="24"/>
          <w:szCs w:val="24"/>
          <w:highlight w:val="none"/>
          <w:vertAlign w:val="superscript"/>
          <w:lang w:val="en-US" w:eastAsia="zh-CN"/>
        </w:rPr>
        <w:t>2</w:t>
      </w:r>
      <w:r>
        <w:rPr>
          <w:rFonts w:ascii="Times New Roman" w:hAnsi="Times New Roman"/>
          <w:color w:val="auto"/>
          <w:sz w:val="24"/>
          <w:szCs w:val="24"/>
          <w:highlight w:val="none"/>
        </w:rPr>
        <w:t xml:space="preserve"> </w:t>
      </w:r>
      <w:r>
        <w:rPr>
          <w:rFonts w:ascii="Times New Roman" w:hAnsi="Times New Roman"/>
          <w:bCs/>
          <w:color w:val="auto"/>
          <w:sz w:val="24"/>
          <w:szCs w:val="24"/>
          <w:highlight w:val="none"/>
        </w:rPr>
        <w:t>College of Life Sciences, Hebei University, Baoding</w:t>
      </w:r>
      <w:r>
        <w:rPr>
          <w:rFonts w:hint="eastAsia" w:ascii="Times New Roman" w:hAnsi="Times New Roman"/>
          <w:bCs/>
          <w:color w:val="auto"/>
          <w:sz w:val="24"/>
          <w:szCs w:val="24"/>
          <w:highlight w:val="none"/>
          <w:lang w:val="en-US" w:eastAsia="zh-CN"/>
        </w:rPr>
        <w:t xml:space="preserve"> 071000</w:t>
      </w:r>
      <w:r>
        <w:rPr>
          <w:rFonts w:ascii="Times New Roman" w:hAnsi="Times New Roman"/>
          <w:bCs/>
          <w:color w:val="auto"/>
          <w:sz w:val="24"/>
          <w:szCs w:val="24"/>
          <w:highlight w:val="none"/>
        </w:rPr>
        <w:t>, China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default" w:ascii="Times New Roman" w:hAnsi="Times New Roman" w:eastAsiaTheme="minorEastAsia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/>
          <w:bCs/>
          <w:color w:val="auto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/>
          <w:bCs/>
          <w:color w:val="auto"/>
          <w:sz w:val="24"/>
          <w:szCs w:val="24"/>
          <w:highlight w:val="none"/>
          <w:lang w:val="en-US" w:eastAsia="zh-CN"/>
        </w:rPr>
        <w:t xml:space="preserve"> College of Agronomy, Northwest A&amp;F University, Yangling 712100, China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/>
          <w:color w:val="auto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/>
          <w:color w:val="auto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left"/>
        <w:textAlignment w:val="auto"/>
        <w:rPr>
          <w:rFonts w:hint="default" w:ascii="Times New Roman" w:hAnsi="Times New Roman" w:eastAsia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ascii="Times New Roman" w:hAnsi="Times New Roman" w:eastAsia="宋体"/>
          <w:color w:val="auto"/>
          <w:kern w:val="0"/>
          <w:sz w:val="24"/>
          <w:szCs w:val="24"/>
          <w:highlight w:val="none"/>
          <w:lang w:val="en-CA"/>
        </w:rPr>
        <w:t>*Correspond</w:t>
      </w:r>
      <w:r>
        <w:rPr>
          <w:rFonts w:hint="eastAsia" w:ascii="Times New Roman" w:hAnsi="Times New Roman" w:eastAsia="宋体"/>
          <w:color w:val="auto"/>
          <w:kern w:val="0"/>
          <w:sz w:val="24"/>
          <w:szCs w:val="24"/>
          <w:highlight w:val="none"/>
          <w:lang w:val="en-US" w:eastAsia="zh-CN"/>
        </w:rPr>
        <w:t>ence:</w:t>
      </w:r>
      <w:r>
        <w:rPr>
          <w:rFonts w:ascii="Times New Roman" w:hAnsi="Times New Roman" w:eastAsia="宋体"/>
          <w:color w:val="auto"/>
          <w:kern w:val="0"/>
          <w:sz w:val="24"/>
          <w:szCs w:val="24"/>
          <w:highlight w:val="none"/>
          <w:lang w:val="en-CA"/>
        </w:rPr>
        <w:t xml:space="preserve"> </w:t>
      </w:r>
      <w:r>
        <w:rPr>
          <w:rFonts w:ascii="Times New Roman" w:hAnsi="Times New Roman" w:eastAsia="宋体"/>
          <w:iCs/>
          <w:color w:val="auto"/>
          <w:kern w:val="0"/>
          <w:sz w:val="24"/>
          <w:szCs w:val="24"/>
          <w:highlight w:val="none"/>
          <w:u w:val="single"/>
          <w:lang w:val="pt-BR"/>
        </w:rPr>
        <w:fldChar w:fldCharType="begin"/>
      </w:r>
      <w:r>
        <w:rPr>
          <w:rFonts w:ascii="Times New Roman" w:hAnsi="Times New Roman" w:eastAsia="宋体"/>
          <w:iCs/>
          <w:color w:val="auto"/>
          <w:kern w:val="0"/>
          <w:sz w:val="24"/>
          <w:szCs w:val="24"/>
          <w:highlight w:val="none"/>
          <w:u w:val="single"/>
          <w:lang w:val="pt-BR"/>
        </w:rPr>
        <w:instrText xml:space="preserve"> HYPERLINK "mailto:shuol9011@126.com;" </w:instrText>
      </w:r>
      <w:r>
        <w:rPr>
          <w:rFonts w:ascii="Times New Roman" w:hAnsi="Times New Roman" w:eastAsia="宋体"/>
          <w:iCs/>
          <w:color w:val="auto"/>
          <w:kern w:val="0"/>
          <w:sz w:val="24"/>
          <w:szCs w:val="24"/>
          <w:highlight w:val="none"/>
          <w:u w:val="single"/>
          <w:lang w:val="pt-BR"/>
        </w:rPr>
        <w:fldChar w:fldCharType="separate"/>
      </w:r>
      <w:r>
        <w:rPr>
          <w:rStyle w:val="12"/>
          <w:rFonts w:ascii="Times New Roman" w:hAnsi="Times New Roman" w:eastAsia="宋体"/>
          <w:iCs/>
          <w:color w:val="auto"/>
          <w:kern w:val="0"/>
          <w:sz w:val="24"/>
          <w:szCs w:val="24"/>
          <w:highlight w:val="none"/>
          <w:lang w:val="pt-BR"/>
        </w:rPr>
        <w:t>shuol9011@126.com</w:t>
      </w:r>
      <w:r>
        <w:rPr>
          <w:rFonts w:ascii="Times New Roman" w:hAnsi="Times New Roman" w:eastAsia="宋体"/>
          <w:iCs/>
          <w:color w:val="auto"/>
          <w:kern w:val="0"/>
          <w:sz w:val="24"/>
          <w:szCs w:val="24"/>
          <w:highlight w:val="none"/>
          <w:u w:val="single"/>
          <w:lang w:val="pt-BR"/>
        </w:rPr>
        <w:fldChar w:fldCharType="end"/>
      </w:r>
      <w:r>
        <w:rPr>
          <w:rFonts w:hint="eastAsia" w:ascii="Times New Roman" w:hAnsi="Times New Roman" w:eastAsia="宋体"/>
          <w:iCs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(S.L.)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ascii="Times New Roman" w:hAnsi="Times New Roman" w:eastAsia="宋体"/>
          <w:iCs/>
          <w:color w:val="auto"/>
          <w:kern w:val="0"/>
          <w:sz w:val="24"/>
          <w:szCs w:val="24"/>
          <w:highlight w:val="none"/>
          <w:u w:val="single"/>
          <w:lang w:val="pt-BR"/>
        </w:rPr>
        <w:sectPr>
          <w:pgSz w:w="11906" w:h="16838"/>
          <w:pgMar w:top="1440" w:right="1800" w:bottom="1440" w:left="1800" w:header="851" w:footer="992" w:gutter="0"/>
          <w:lnNumType w:countBy="0" w:restart="continuous"/>
          <w:cols w:space="425" w:num="1"/>
          <w:docGrid w:type="lines" w:linePitch="312" w:charSpace="0"/>
        </w:sectPr>
      </w:pPr>
    </w:p>
    <w:tbl>
      <w:tblPr>
        <w:tblStyle w:val="8"/>
        <w:tblpPr w:leftFromText="180" w:rightFromText="180" w:vertAnchor="page" w:horzAnchor="page" w:tblpX="1891" w:tblpY="1626"/>
        <w:tblOverlap w:val="never"/>
        <w:tblW w:w="5000" w:type="pct"/>
        <w:tblInd w:w="0" w:type="dxa"/>
        <w:tblLayout w:type="autofit"/>
        <w:tblCellMar>
          <w:top w:w="0" w:type="dxa"/>
          <w:left w:w="57" w:type="dxa"/>
          <w:bottom w:w="0" w:type="dxa"/>
          <w:right w:w="0" w:type="dxa"/>
        </w:tblCellMar>
      </w:tblPr>
      <w:tblGrid>
        <w:gridCol w:w="2553"/>
        <w:gridCol w:w="880"/>
        <w:gridCol w:w="880"/>
        <w:gridCol w:w="1041"/>
        <w:gridCol w:w="64"/>
        <w:gridCol w:w="875"/>
        <w:gridCol w:w="1029"/>
        <w:gridCol w:w="1041"/>
      </w:tblGrid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26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Particulars</w:t>
            </w:r>
          </w:p>
        </w:tc>
        <w:tc>
          <w:tcPr>
            <w:tcW w:w="1674" w:type="pct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Wheat period</w:t>
            </w:r>
          </w:p>
        </w:tc>
        <w:tc>
          <w:tcPr>
            <w:tcW w:w="38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pct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Maize period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2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CK</w:t>
            </w:r>
          </w:p>
        </w:tc>
        <w:tc>
          <w:tcPr>
            <w:tcW w:w="52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RF</w:t>
            </w:r>
          </w:p>
        </w:tc>
        <w:tc>
          <w:tcPr>
            <w:tcW w:w="62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RFPFM</w:t>
            </w:r>
          </w:p>
        </w:tc>
        <w:tc>
          <w:tcPr>
            <w:tcW w:w="3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CK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RF</w:t>
            </w:r>
          </w:p>
        </w:tc>
        <w:tc>
          <w:tcPr>
            <w:tcW w:w="62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RFPFM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Seeds (kg ha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150.00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150.00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150.00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21.60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21.60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21.60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Machinery (kg ha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4.44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4.44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12.70 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10.35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10.35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18.70 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Diesel (kg ha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102.01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102.01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113.01 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65.62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65.62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107.86 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Well–water (m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ha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4290.00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490.00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590.00 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2365.00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980.00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880.00 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Electricity (kWh ha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2886.05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335.13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402.26 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1592.55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662.81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595.68 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Human power (h ha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150.24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94.40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145.47 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129.15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92.00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138.53 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Nitrogen (N, kg ha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225.00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225.00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225.00 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225.00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225.00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225.00 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Phosphate (P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, kg ha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114.52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114.52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114.52 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114.52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114.52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114.52 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Potash (K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O, kg ha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60.26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60.26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60.26 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60.26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60.26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60.26 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Herbicide (kg ha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0.95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0.95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0.95 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1.95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1.95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0.90 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Insecticide (kg ha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0.45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0.45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0.45 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0.45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0.45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0.45 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2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Fungicide (kg ha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2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0.30 </w:t>
            </w:r>
          </w:p>
        </w:tc>
        <w:tc>
          <w:tcPr>
            <w:tcW w:w="52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0.30 </w:t>
            </w: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0.30 </w:t>
            </w:r>
          </w:p>
        </w:tc>
        <w:tc>
          <w:tcPr>
            <w:tcW w:w="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0.30 </w:t>
            </w:r>
          </w:p>
        </w:tc>
        <w:tc>
          <w:tcPr>
            <w:tcW w:w="6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0.30 </w:t>
            </w: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0.30 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526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Plastic film (kg ha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46.00 </w:t>
            </w:r>
          </w:p>
        </w:tc>
        <w:tc>
          <w:tcPr>
            <w:tcW w:w="3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38.00 </w:t>
            </w:r>
          </w:p>
        </w:tc>
      </w:tr>
    </w:tbl>
    <w:p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S1.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Agriculture inputs used under different planting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>strategies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in wheat–maize cropping system.</w:t>
      </w:r>
    </w:p>
    <w:p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lnNumType w:countBy="1" w:restart="continuous"/>
          <w:cols w:space="425" w:num="1"/>
          <w:docGrid w:type="lines" w:linePitch="312" w:charSpace="0"/>
        </w:sectPr>
      </w:pPr>
    </w:p>
    <w:tbl>
      <w:tblPr>
        <w:tblStyle w:val="8"/>
        <w:tblW w:w="5000" w:type="pct"/>
        <w:tblInd w:w="0" w:type="dxa"/>
        <w:tblLayout w:type="autofit"/>
        <w:tblCellMar>
          <w:top w:w="0" w:type="dxa"/>
          <w:left w:w="57" w:type="dxa"/>
          <w:bottom w:w="0" w:type="dxa"/>
          <w:right w:w="0" w:type="dxa"/>
        </w:tblCellMar>
      </w:tblPr>
      <w:tblGrid>
        <w:gridCol w:w="2109"/>
        <w:gridCol w:w="1064"/>
        <w:gridCol w:w="2950"/>
        <w:gridCol w:w="2240"/>
      </w:tblGrid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61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Particulars</w:t>
            </w:r>
          </w:p>
        </w:tc>
        <w:tc>
          <w:tcPr>
            <w:tcW w:w="636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Units</w:t>
            </w:r>
          </w:p>
        </w:tc>
        <w:tc>
          <w:tcPr>
            <w:tcW w:w="1764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Energy equivalent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(MJ unit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339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References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Input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Human labor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Man–hour</w:t>
            </w:r>
          </w:p>
        </w:tc>
        <w:tc>
          <w:tcPr>
            <w:tcW w:w="1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1.96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Singh et al. [42]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Machinery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kg</w:t>
            </w:r>
          </w:p>
        </w:tc>
        <w:tc>
          <w:tcPr>
            <w:tcW w:w="1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62.70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Singh et al. [42]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Diesel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kg</w:t>
            </w:r>
          </w:p>
        </w:tc>
        <w:tc>
          <w:tcPr>
            <w:tcW w:w="1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56.31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Singh et al. [42]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Nitrogen (N)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kg</w:t>
            </w:r>
          </w:p>
        </w:tc>
        <w:tc>
          <w:tcPr>
            <w:tcW w:w="1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60.60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Singh et al. [42]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Phosphorus (P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kg</w:t>
            </w:r>
          </w:p>
        </w:tc>
        <w:tc>
          <w:tcPr>
            <w:tcW w:w="1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11.10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Singh et al. [42]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Potassium (K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O)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kg</w:t>
            </w:r>
          </w:p>
        </w:tc>
        <w:tc>
          <w:tcPr>
            <w:tcW w:w="1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6.70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Singh et al. [42]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Herbicide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kg</w:t>
            </w:r>
          </w:p>
        </w:tc>
        <w:tc>
          <w:tcPr>
            <w:tcW w:w="1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254.45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Singh et al. [42]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Insecticide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kg</w:t>
            </w:r>
          </w:p>
        </w:tc>
        <w:tc>
          <w:tcPr>
            <w:tcW w:w="1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184.63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Singh et al. [42]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Fungicide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kg</w:t>
            </w:r>
          </w:p>
        </w:tc>
        <w:tc>
          <w:tcPr>
            <w:tcW w:w="1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97.00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Singh et al. [42]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Plastic film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kg</w:t>
            </w:r>
          </w:p>
        </w:tc>
        <w:tc>
          <w:tcPr>
            <w:tcW w:w="1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79.00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Yuan et al.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[8]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Well–water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0.30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Nasseri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[35]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Electricity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kWh</w:t>
            </w:r>
          </w:p>
        </w:tc>
        <w:tc>
          <w:tcPr>
            <w:tcW w:w="1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12.00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Nasseri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[35]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Wheat/maize seeds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kg</w:t>
            </w:r>
          </w:p>
        </w:tc>
        <w:tc>
          <w:tcPr>
            <w:tcW w:w="1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15.70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Singh et al.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[42]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Output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Wheat/maize grain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kg</w:t>
            </w:r>
          </w:p>
        </w:tc>
        <w:tc>
          <w:tcPr>
            <w:tcW w:w="1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14.70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Singh et al.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[42]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26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Wheat/maize straw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kg</w:t>
            </w:r>
          </w:p>
        </w:tc>
        <w:tc>
          <w:tcPr>
            <w:tcW w:w="176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12.50</w:t>
            </w:r>
          </w:p>
        </w:tc>
        <w:tc>
          <w:tcPr>
            <w:tcW w:w="133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Singh et al.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[42]</w:t>
            </w:r>
          </w:p>
        </w:tc>
      </w:tr>
    </w:tbl>
    <w:p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S2.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Energy equivalents used for energy input and output calculations.</w:t>
      </w:r>
    </w:p>
    <w:p>
      <w:pPr>
        <w:adjustRightInd w:val="0"/>
        <w:snapToGrid w:val="0"/>
        <w:spacing w:line="480" w:lineRule="auto"/>
        <w:ind w:left="480" w:hanging="480" w:hangingChars="200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480" w:lineRule="auto"/>
        <w:ind w:left="480" w:hanging="480" w:hangingChars="200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480" w:lineRule="auto"/>
        <w:ind w:left="480" w:hanging="480" w:hangingChars="200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lnNumType w:countBy="1" w:restart="continuous"/>
          <w:cols w:space="425" w:num="1"/>
          <w:docGrid w:type="lines" w:linePitch="312" w:charSpace="0"/>
        </w:sectPr>
      </w:pPr>
    </w:p>
    <w:tbl>
      <w:tblPr>
        <w:tblStyle w:val="8"/>
        <w:tblW w:w="5000" w:type="pct"/>
        <w:tblInd w:w="0" w:type="dxa"/>
        <w:tblLayout w:type="autofit"/>
        <w:tblCellMar>
          <w:top w:w="0" w:type="dxa"/>
          <w:left w:w="57" w:type="dxa"/>
          <w:bottom w:w="0" w:type="dxa"/>
          <w:right w:w="28" w:type="dxa"/>
        </w:tblCellMar>
      </w:tblPr>
      <w:tblGrid>
        <w:gridCol w:w="2722"/>
        <w:gridCol w:w="3071"/>
        <w:gridCol w:w="2598"/>
      </w:tblGrid>
      <w:tr>
        <w:tblPrEx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480" w:hRule="atLeast"/>
        </w:trPr>
        <w:tc>
          <w:tcPr>
            <w:tcW w:w="1622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Particulars</w:t>
            </w:r>
          </w:p>
        </w:tc>
        <w:tc>
          <w:tcPr>
            <w:tcW w:w="183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Emission factor</w:t>
            </w:r>
          </w:p>
        </w:tc>
        <w:tc>
          <w:tcPr>
            <w:tcW w:w="1549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References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450" w:hRule="atLeast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Human labor</w:t>
            </w: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0.86 kg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 xml:space="preserve"> CO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–eq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d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Zhu et al.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[45]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450" w:hRule="atLeast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Diesel</w:t>
            </w: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3.10 kg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 xml:space="preserve"> CO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–eq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kg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Zhu et al. [45]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450" w:hRule="atLeast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Nitrogen (N)</w:t>
            </w: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8.30 kg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 xml:space="preserve"> CO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–eq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kg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Zhu et al. [45]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450" w:hRule="atLeast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Phosphorus (P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0.61 kg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 xml:space="preserve"> CO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–eq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kg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Zhu et al. [45]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450" w:hRule="atLeast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Potassium (K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O)</w:t>
            </w: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0.44 kg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 xml:space="preserve"> CO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–eq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kg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Zhu et al. [45]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450" w:hRule="atLeast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Herbicide</w:t>
            </w: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17.24 kg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 xml:space="preserve"> CO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–eq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kg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Zhu et al. [45]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450" w:hRule="atLeast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Insecticide</w:t>
            </w: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18.08 kg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 xml:space="preserve"> CO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–eq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kg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Zhu et al. [45]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450" w:hRule="atLeast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Fungicide</w:t>
            </w: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18.98 kg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 xml:space="preserve"> CO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–eq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kg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Zhu et al. [45]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450" w:hRule="atLeast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Plastic film</w:t>
            </w: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22.72 kg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 xml:space="preserve"> CO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–eq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kg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Wang et al. [46]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450" w:hRule="atLeast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Electricity</w:t>
            </w: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0.80 kg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 xml:space="preserve"> CO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–eq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kWh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</w:p>
        </w:tc>
        <w:tc>
          <w:tcPr>
            <w:tcW w:w="1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Zhu et al. [45]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450" w:hRule="atLeast"/>
        </w:trPr>
        <w:tc>
          <w:tcPr>
            <w:tcW w:w="16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Maize seeds</w:t>
            </w:r>
          </w:p>
        </w:tc>
        <w:tc>
          <w:tcPr>
            <w:tcW w:w="18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3.85 kg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 xml:space="preserve"> CO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–eq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kg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</w:p>
        </w:tc>
        <w:tc>
          <w:tcPr>
            <w:tcW w:w="15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Zhu et al. [45]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450" w:hRule="atLeast"/>
        </w:trPr>
        <w:tc>
          <w:tcPr>
            <w:tcW w:w="162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Wheat seeds</w:t>
            </w:r>
          </w:p>
        </w:tc>
        <w:tc>
          <w:tcPr>
            <w:tcW w:w="183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0.40 kg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 xml:space="preserve"> CO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–eq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kg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–1</w:t>
            </w:r>
          </w:p>
        </w:tc>
        <w:tc>
          <w:tcPr>
            <w:tcW w:w="154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auto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Zhu et al. [45]</w:t>
            </w:r>
          </w:p>
        </w:tc>
      </w:tr>
    </w:tbl>
    <w:p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S3.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Emission factors of agriculture inputs used in the estimation.</w:t>
      </w:r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dvOT863180fb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dvOT863180fb+fb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TSY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dvPS44A44B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934"/>
    <w:rsid w:val="00075187"/>
    <w:rsid w:val="00121564"/>
    <w:rsid w:val="00174A12"/>
    <w:rsid w:val="00213F72"/>
    <w:rsid w:val="00293C71"/>
    <w:rsid w:val="002D7933"/>
    <w:rsid w:val="002E2E5E"/>
    <w:rsid w:val="002F65AB"/>
    <w:rsid w:val="00354BEF"/>
    <w:rsid w:val="003A2FAA"/>
    <w:rsid w:val="003F3B5A"/>
    <w:rsid w:val="00402607"/>
    <w:rsid w:val="0040419C"/>
    <w:rsid w:val="004128F3"/>
    <w:rsid w:val="004342F9"/>
    <w:rsid w:val="00452E3B"/>
    <w:rsid w:val="004838AE"/>
    <w:rsid w:val="00483D9C"/>
    <w:rsid w:val="00491455"/>
    <w:rsid w:val="004A7A19"/>
    <w:rsid w:val="00506C1B"/>
    <w:rsid w:val="00524924"/>
    <w:rsid w:val="0054080A"/>
    <w:rsid w:val="005E5309"/>
    <w:rsid w:val="00632977"/>
    <w:rsid w:val="0066569F"/>
    <w:rsid w:val="006758A9"/>
    <w:rsid w:val="006C0A41"/>
    <w:rsid w:val="006D40BE"/>
    <w:rsid w:val="00724FDC"/>
    <w:rsid w:val="007515EB"/>
    <w:rsid w:val="00752E83"/>
    <w:rsid w:val="00764063"/>
    <w:rsid w:val="007847F5"/>
    <w:rsid w:val="00801811"/>
    <w:rsid w:val="00835934"/>
    <w:rsid w:val="00887FF8"/>
    <w:rsid w:val="008C1CE4"/>
    <w:rsid w:val="0092491A"/>
    <w:rsid w:val="00932EA1"/>
    <w:rsid w:val="00936F79"/>
    <w:rsid w:val="009404E7"/>
    <w:rsid w:val="00AD327C"/>
    <w:rsid w:val="00AE4140"/>
    <w:rsid w:val="00B01F45"/>
    <w:rsid w:val="00B0401D"/>
    <w:rsid w:val="00B44A7E"/>
    <w:rsid w:val="00B473BD"/>
    <w:rsid w:val="00B4797E"/>
    <w:rsid w:val="00B47E45"/>
    <w:rsid w:val="00B56529"/>
    <w:rsid w:val="00B85678"/>
    <w:rsid w:val="00BB3EE3"/>
    <w:rsid w:val="00BE17E4"/>
    <w:rsid w:val="00C07798"/>
    <w:rsid w:val="00C108AE"/>
    <w:rsid w:val="00C16AFD"/>
    <w:rsid w:val="00C459C9"/>
    <w:rsid w:val="00C840FC"/>
    <w:rsid w:val="00CB3581"/>
    <w:rsid w:val="00D84E62"/>
    <w:rsid w:val="00EB3BDC"/>
    <w:rsid w:val="00F91BC6"/>
    <w:rsid w:val="00FC628E"/>
    <w:rsid w:val="00FD7A24"/>
    <w:rsid w:val="0CF71E95"/>
    <w:rsid w:val="12235A3B"/>
    <w:rsid w:val="14012AB2"/>
    <w:rsid w:val="38F86F17"/>
    <w:rsid w:val="3EDF0F58"/>
    <w:rsid w:val="42DC18B0"/>
    <w:rsid w:val="65A675DE"/>
    <w:rsid w:val="661C381A"/>
    <w:rsid w:val="705F4EA2"/>
    <w:rsid w:val="709A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3"/>
    <w:semiHidden/>
    <w:unhideWhenUsed/>
    <w:qFormat/>
    <w:uiPriority w:val="99"/>
    <w:pPr>
      <w:jc w:val="left"/>
    </w:pPr>
    <w:rPr>
      <w:rFonts w:ascii="Tahoma" w:hAnsi="Tahoma" w:cs="Tahoma"/>
      <w:sz w:val="16"/>
    </w:rPr>
  </w:style>
  <w:style w:type="paragraph" w:styleId="3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24"/>
    <w:semiHidden/>
    <w:unhideWhenUsed/>
    <w:qFormat/>
    <w:uiPriority w:val="99"/>
    <w:rPr>
      <w:b/>
      <w:bCs/>
    </w:rPr>
  </w:style>
  <w:style w:type="character" w:styleId="10">
    <w:name w:val="Emphasis"/>
    <w:basedOn w:val="9"/>
    <w:qFormat/>
    <w:uiPriority w:val="20"/>
    <w:rPr>
      <w:i/>
      <w:iCs/>
    </w:rPr>
  </w:style>
  <w:style w:type="character" w:styleId="11">
    <w:name w:val="line number"/>
    <w:basedOn w:val="9"/>
    <w:semiHidden/>
    <w:unhideWhenUsed/>
    <w:uiPriority w:val="99"/>
  </w:style>
  <w:style w:type="character" w:styleId="12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9"/>
    <w:semiHidden/>
    <w:unhideWhenUsed/>
    <w:qFormat/>
    <w:uiPriority w:val="99"/>
    <w:rPr>
      <w:rFonts w:ascii="Tahoma" w:hAnsi="Tahoma" w:cs="Tahoma"/>
      <w:sz w:val="16"/>
      <w:szCs w:val="21"/>
      <w:u w:val="none"/>
    </w:rPr>
  </w:style>
  <w:style w:type="character" w:customStyle="1" w:styleId="14">
    <w:name w:val="页眉 字符"/>
    <w:basedOn w:val="9"/>
    <w:link w:val="5"/>
    <w:uiPriority w:val="99"/>
    <w:rPr>
      <w:sz w:val="18"/>
      <w:szCs w:val="18"/>
    </w:rPr>
  </w:style>
  <w:style w:type="character" w:customStyle="1" w:styleId="15">
    <w:name w:val="页脚 字符"/>
    <w:basedOn w:val="9"/>
    <w:link w:val="4"/>
    <w:uiPriority w:val="99"/>
    <w:rPr>
      <w:sz w:val="18"/>
      <w:szCs w:val="18"/>
    </w:rPr>
  </w:style>
  <w:style w:type="character" w:customStyle="1" w:styleId="16">
    <w:name w:val="批注框文本 字符"/>
    <w:basedOn w:val="9"/>
    <w:link w:val="3"/>
    <w:semiHidden/>
    <w:uiPriority w:val="99"/>
    <w:rPr>
      <w:sz w:val="18"/>
      <w:szCs w:val="18"/>
    </w:rPr>
  </w:style>
  <w:style w:type="character" w:customStyle="1" w:styleId="17">
    <w:name w:val="批注框文本 字符1"/>
    <w:basedOn w:val="9"/>
    <w:semiHidden/>
    <w:uiPriority w:val="99"/>
    <w:rPr>
      <w:sz w:val="18"/>
      <w:szCs w:val="18"/>
    </w:rPr>
  </w:style>
  <w:style w:type="paragraph" w:customStyle="1" w:styleId="18">
    <w:name w:val="MTDisplayEquation"/>
    <w:basedOn w:val="1"/>
    <w:next w:val="1"/>
    <w:link w:val="19"/>
    <w:uiPriority w:val="0"/>
    <w:pPr>
      <w:tabs>
        <w:tab w:val="center" w:pos="4160"/>
        <w:tab w:val="right" w:pos="8300"/>
      </w:tabs>
      <w:ind w:firstLine="480" w:firstLineChars="200"/>
    </w:pPr>
    <w:rPr>
      <w:rFonts w:ascii="Times New Roman" w:hAnsi="Times New Roman" w:cs="Times New Roman"/>
      <w:color w:val="000000" w:themeColor="text1"/>
      <w:sz w:val="24"/>
      <w:szCs w:val="24"/>
      <w14:textFill>
        <w14:solidFill>
          <w14:schemeClr w14:val="tx1"/>
        </w14:solidFill>
      </w14:textFill>
    </w:rPr>
  </w:style>
  <w:style w:type="character" w:customStyle="1" w:styleId="19">
    <w:name w:val="MTDisplayEquation Char"/>
    <w:basedOn w:val="9"/>
    <w:link w:val="18"/>
    <w:qFormat/>
    <w:uiPriority w:val="0"/>
    <w:rPr>
      <w:rFonts w:ascii="Times New Roman" w:hAnsi="Times New Roman" w:cs="Times New Roman"/>
      <w:color w:val="000000" w:themeColor="text1"/>
      <w:sz w:val="24"/>
      <w:szCs w:val="24"/>
      <w14:textFill>
        <w14:solidFill>
          <w14:schemeClr w14:val="tx1"/>
        </w14:solidFill>
      </w14:textFill>
    </w:rPr>
  </w:style>
  <w:style w:type="character" w:customStyle="1" w:styleId="20">
    <w:name w:val="MTEquationSection"/>
    <w:basedOn w:val="9"/>
    <w:qFormat/>
    <w:uiPriority w:val="0"/>
    <w:rPr>
      <w:rFonts w:ascii="Times New Roman" w:hAnsi="Times New Roman" w:cs="Times New Roman"/>
      <w:vanish/>
      <w:color w:val="FF0000"/>
      <w:szCs w:val="21"/>
    </w:rPr>
  </w:style>
  <w:style w:type="character" w:customStyle="1" w:styleId="21">
    <w:name w:val="fontstyle01"/>
    <w:basedOn w:val="9"/>
    <w:qFormat/>
    <w:uiPriority w:val="0"/>
    <w:rPr>
      <w:rFonts w:hint="default" w:ascii="AdvOT863180fb" w:hAnsi="AdvOT863180fb"/>
      <w:color w:val="000000"/>
      <w:sz w:val="16"/>
      <w:szCs w:val="16"/>
    </w:rPr>
  </w:style>
  <w:style w:type="character" w:customStyle="1" w:styleId="22">
    <w:name w:val="fontstyle21"/>
    <w:basedOn w:val="9"/>
    <w:qFormat/>
    <w:uiPriority w:val="0"/>
    <w:rPr>
      <w:rFonts w:hint="default" w:ascii="AdvOT863180fb+fb" w:hAnsi="AdvOT863180fb+fb"/>
      <w:color w:val="000000"/>
      <w:sz w:val="16"/>
      <w:szCs w:val="16"/>
    </w:rPr>
  </w:style>
  <w:style w:type="character" w:customStyle="1" w:styleId="23">
    <w:name w:val="批注文字 字符"/>
    <w:basedOn w:val="9"/>
    <w:link w:val="2"/>
    <w:semiHidden/>
    <w:qFormat/>
    <w:uiPriority w:val="99"/>
    <w:rPr>
      <w:rFonts w:ascii="Tahoma" w:hAnsi="Tahoma" w:cs="Tahoma"/>
      <w:sz w:val="16"/>
    </w:rPr>
  </w:style>
  <w:style w:type="character" w:customStyle="1" w:styleId="24">
    <w:name w:val="批注主题 字符"/>
    <w:basedOn w:val="23"/>
    <w:link w:val="7"/>
    <w:semiHidden/>
    <w:qFormat/>
    <w:uiPriority w:val="99"/>
    <w:rPr>
      <w:rFonts w:ascii="Tahoma" w:hAnsi="Tahoma" w:cs="Tahoma"/>
      <w:b/>
      <w:bCs/>
      <w:sz w:val="16"/>
    </w:rPr>
  </w:style>
  <w:style w:type="character" w:customStyle="1" w:styleId="25">
    <w:name w:val="fontstyle31"/>
    <w:basedOn w:val="9"/>
    <w:qFormat/>
    <w:uiPriority w:val="0"/>
    <w:rPr>
      <w:rFonts w:hint="default" w:ascii="MTSY" w:hAnsi="MTSY"/>
      <w:color w:val="000000"/>
      <w:sz w:val="12"/>
      <w:szCs w:val="12"/>
    </w:rPr>
  </w:style>
  <w:style w:type="character" w:customStyle="1" w:styleId="26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7">
    <w:name w:val="fontstyle41"/>
    <w:basedOn w:val="9"/>
    <w:qFormat/>
    <w:uiPriority w:val="0"/>
    <w:rPr>
      <w:rFonts w:hint="default" w:ascii="AdvPS44A44B" w:hAnsi="AdvPS44A44B"/>
      <w:color w:val="000000"/>
      <w:sz w:val="16"/>
      <w:szCs w:val="16"/>
    </w:rPr>
  </w:style>
  <w:style w:type="character" w:customStyle="1" w:styleId="28">
    <w:name w:val="apple-converted-space"/>
    <w:basedOn w:val="9"/>
    <w:qFormat/>
    <w:uiPriority w:val="0"/>
  </w:style>
  <w:style w:type="paragraph" w:customStyle="1" w:styleId="29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0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character" w:customStyle="1" w:styleId="31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68CCDD-1B7B-4F3D-ACA5-C70F79FC68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950</Words>
  <Characters>5420</Characters>
  <Lines>45</Lines>
  <Paragraphs>12</Paragraphs>
  <TotalTime>3</TotalTime>
  <ScaleCrop>false</ScaleCrop>
  <LinksUpToDate>false</LinksUpToDate>
  <CharactersWithSpaces>6358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2019-09-03T08:47:00Z</dcterms:created>
  <dc:creator>硕 李</dc:creator>
  <cp:lastModifiedBy>lichangjiang</cp:lastModifiedBy>
  <dcterms:modified xsi:type="dcterms:W3CDTF">2021-01-05T08:30:19Z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