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10" w:rsidRPr="00E903AC" w:rsidRDefault="00247110" w:rsidP="00247110">
      <w:pPr>
        <w:pStyle w:val="3"/>
        <w:rPr>
          <w:rFonts w:eastAsia="宋体"/>
          <w:b w:val="0"/>
          <w:bCs w:val="0"/>
          <w:color w:val="000000" w:themeColor="text1"/>
          <w:sz w:val="24"/>
          <w:szCs w:val="24"/>
        </w:rPr>
      </w:pPr>
      <w:r w:rsidRPr="00691320">
        <w:t>Supplementary</w:t>
      </w:r>
      <w:r w:rsidRPr="00691320">
        <w:rPr>
          <w:rFonts w:hint="eastAsia"/>
        </w:rPr>
        <w:t xml:space="preserve"> </w:t>
      </w:r>
      <w:r w:rsidRPr="005D7830">
        <w:t>F</w:t>
      </w:r>
      <w:r>
        <w:rPr>
          <w:rFonts w:hint="eastAsia"/>
        </w:rPr>
        <w:t>igure</w:t>
      </w:r>
      <w:r w:rsidRPr="005D7830">
        <w:t xml:space="preserve"> </w:t>
      </w:r>
      <w:proofErr w:type="gramStart"/>
      <w:r>
        <w:rPr>
          <w:rFonts w:hint="eastAsia"/>
        </w:rPr>
        <w:t>1</w:t>
      </w:r>
      <w:r w:rsidRPr="003502C9">
        <w:rPr>
          <w:b w:val="0"/>
          <w:bCs w:val="0"/>
        </w:rPr>
        <w:t xml:space="preserve"> </w:t>
      </w:r>
      <w:r w:rsidRPr="003502C9">
        <w:rPr>
          <w:rFonts w:hint="eastAsia"/>
          <w:b w:val="0"/>
          <w:bCs w:val="0"/>
        </w:rPr>
        <w:t xml:space="preserve"> 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T</w:t>
      </w:r>
      <w:r w:rsidRPr="00327755">
        <w:rPr>
          <w:rFonts w:eastAsia="宋体"/>
          <w:b w:val="0"/>
          <w:bCs w:val="0"/>
          <w:color w:val="000000" w:themeColor="text1"/>
          <w:sz w:val="24"/>
          <w:szCs w:val="24"/>
        </w:rPr>
        <w:t>he</w:t>
      </w:r>
      <w:proofErr w:type="gramEnd"/>
      <w:r w:rsidRPr="00327755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overexpression of KDM6B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promotes the proliferation </w:t>
      </w:r>
      <w:r w:rsidRPr="003502C9">
        <w:rPr>
          <w:rFonts w:eastAsia="宋体"/>
          <w:b w:val="0"/>
          <w:bCs w:val="0"/>
          <w:color w:val="000000" w:themeColor="text1"/>
          <w:sz w:val="24"/>
          <w:szCs w:val="24"/>
        </w:rPr>
        <w:t>and Metastasis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of ESCC cells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. (A)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Western blotting and RT-qPCR were performed to measure the KDM6B protein and mRNA expression level changes following KDM6B overexpression.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(B)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The CCK-8 assay was used to determine cell viability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after overexpress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ing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KDM6B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every 24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h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for 4 days. 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(C)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ESCC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cells were seeded at a density </w:t>
      </w:r>
      <w:proofErr w:type="gramStart"/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of 500 cells/well for clone formation assays</w:t>
      </w:r>
      <w:proofErr w:type="gramEnd"/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. Representative crystal viole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t staining of clone formation (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upper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panels)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and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statistical graphs of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clone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numbers (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lower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panels)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. 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(D)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Cell cycle distribution was analyzed following the overexpressing of KDM6B in Eca9706 and TE11</w:t>
      </w:r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. </w:t>
      </w:r>
      <w:r w:rsidRPr="005D7830">
        <w:rPr>
          <w:rFonts w:eastAsia="宋体"/>
          <w:b w:val="0"/>
          <w:bCs w:val="0"/>
          <w:color w:val="000000" w:themeColor="text1"/>
          <w:sz w:val="24"/>
          <w:szCs w:val="24"/>
        </w:rPr>
        <w:t>Representative images of cell cycle distribution (left panels) and statistical graphs of cell cycle changes (right panels)</w:t>
      </w:r>
      <w:proofErr w:type="gramStart"/>
      <w:r w:rsidRPr="005D7830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.</w:t>
      </w:r>
      <w:r w:rsidRPr="00E903AC">
        <w:rPr>
          <w:rFonts w:hint="eastAsia"/>
          <w:b w:val="0"/>
          <w:bCs w:val="0"/>
          <w:sz w:val="24"/>
          <w:szCs w:val="24"/>
        </w:rPr>
        <w:t>.</w:t>
      </w:r>
      <w:proofErr w:type="gramEnd"/>
      <w:r>
        <w:rPr>
          <w:b w:val="0"/>
          <w:bCs w:val="0"/>
          <w:sz w:val="24"/>
          <w:szCs w:val="24"/>
        </w:rPr>
        <w:t xml:space="preserve"> (E)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Cell migration was determined using the wound healing migration assay (magnification, ×100) Representative images of Eca9706 and TE11 HA-KDM6B transfected at 0 and 24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h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of wound healing assay.</w:t>
      </w:r>
      <w:r w:rsidRPr="00E903AC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Image j was used to analyze the results of wound scratch images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.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A bar graph shows the quantitative results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of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scratch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healing.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(F)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Cell migration or invasion was determined using </w:t>
      </w:r>
      <w:proofErr w:type="spellStart"/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Transwell</w:t>
      </w:r>
      <w:proofErr w:type="spellEnd"/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migration or invasion assay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.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Representative images of crystal violet stained for HA-KDM6B transfected of Eca9706 and TE11 by </w:t>
      </w:r>
      <w:proofErr w:type="spellStart"/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transwell</w:t>
      </w:r>
      <w:proofErr w:type="spellEnd"/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migration or invasion assays. </w:t>
      </w:r>
      <w:r w:rsidRPr="00E903AC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A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statistical graph</w:t>
      </w:r>
      <w:r w:rsidRPr="00E903AC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shows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 w:rsidRPr="00E903AC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C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ell </w:t>
      </w:r>
      <w:proofErr w:type="gramStart"/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number(</w:t>
      </w:r>
      <w:proofErr w:type="gramEnd"/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lower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panels)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.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Results are representative of three independent experiments and are expressed as the </w:t>
      </w:r>
      <w:proofErr w:type="spellStart"/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mean±S.D</w:t>
      </w:r>
      <w:proofErr w:type="spellEnd"/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. *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E903AC">
        <w:rPr>
          <w:rFonts w:eastAsia="宋体"/>
          <w:b w:val="0"/>
          <w:bCs w:val="0"/>
          <w:i/>
          <w:iCs/>
          <w:color w:val="000000" w:themeColor="text1"/>
          <w:sz w:val="24"/>
          <w:szCs w:val="24"/>
        </w:rPr>
        <w:t>p</w:t>
      </w:r>
      <w:r>
        <w:rPr>
          <w:rFonts w:eastAsia="宋体" w:hint="eastAsia"/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>&lt;0.05, **</w:t>
      </w:r>
      <w:r w:rsidRPr="00E903AC">
        <w:rPr>
          <w:rFonts w:eastAsia="宋体"/>
          <w:b w:val="0"/>
          <w:bCs w:val="0"/>
          <w:i/>
          <w:iCs/>
          <w:color w:val="000000" w:themeColor="text1"/>
          <w:sz w:val="24"/>
          <w:szCs w:val="24"/>
        </w:rPr>
        <w:t xml:space="preserve"> p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&lt;0.01, ***</w:t>
      </w:r>
      <w:r w:rsidRPr="00E903AC">
        <w:rPr>
          <w:rFonts w:eastAsia="宋体"/>
          <w:b w:val="0"/>
          <w:bCs w:val="0"/>
          <w:i/>
          <w:iCs/>
          <w:color w:val="000000" w:themeColor="text1"/>
          <w:sz w:val="24"/>
          <w:szCs w:val="24"/>
        </w:rPr>
        <w:t xml:space="preserve"> p</w:t>
      </w:r>
      <w:r w:rsidRPr="00E903AC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&lt;0.001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.</w:t>
      </w:r>
    </w:p>
    <w:p w:rsidR="00247110" w:rsidRPr="00854DA2" w:rsidRDefault="00247110" w:rsidP="00247110">
      <w:pPr>
        <w:pStyle w:val="3"/>
      </w:pPr>
      <w:bookmarkStart w:id="0" w:name="_GoBack"/>
      <w:bookmarkEnd w:id="0"/>
      <w:r w:rsidRPr="00691320">
        <w:lastRenderedPageBreak/>
        <w:t>Supplementary</w:t>
      </w:r>
      <w:r w:rsidRPr="00691320">
        <w:rPr>
          <w:rFonts w:hint="eastAsia"/>
        </w:rPr>
        <w:t xml:space="preserve"> </w:t>
      </w:r>
      <w:r w:rsidRPr="00691320">
        <w:t>F</w:t>
      </w:r>
      <w:r w:rsidRPr="00691320">
        <w:rPr>
          <w:rFonts w:hint="eastAsia"/>
        </w:rPr>
        <w:t>igure</w:t>
      </w:r>
      <w:r w:rsidRPr="00691320">
        <w:t xml:space="preserve"> </w:t>
      </w:r>
      <w:proofErr w:type="gramStart"/>
      <w:r>
        <w:rPr>
          <w:rFonts w:hint="eastAsia"/>
        </w:rPr>
        <w:t xml:space="preserve">2  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>Interference</w:t>
      </w:r>
      <w:proofErr w:type="gramEnd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with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C/EBP</w:t>
      </w:r>
      <w:r w:rsidRPr="003C1426">
        <w:rPr>
          <w:rFonts w:cs="Times New Roman"/>
          <w:b w:val="0"/>
          <w:bCs w:val="0"/>
          <w:i/>
          <w:iCs/>
          <w:color w:val="000000"/>
          <w:sz w:val="24"/>
          <w:szCs w:val="24"/>
        </w:rPr>
        <w:t>β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inhibits the proliferation, migration and invasion of ESCC cells</w:t>
      </w:r>
      <w:r w:rsidRPr="00854DA2"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.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A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RT-qPCR was performed to measure the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C/EBP</w:t>
      </w:r>
      <w:r w:rsidRPr="003C1426">
        <w:rPr>
          <w:rFonts w:cs="Times New Roman"/>
          <w:b w:val="0"/>
          <w:bCs w:val="0"/>
          <w:i/>
          <w:iCs/>
          <w:color w:val="000000"/>
          <w:sz w:val="24"/>
          <w:szCs w:val="24"/>
        </w:rPr>
        <w:t>β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mRNA expression level changes following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C/EBP</w:t>
      </w:r>
      <w:r w:rsidRPr="003C1426">
        <w:rPr>
          <w:rFonts w:cs="Times New Roman"/>
          <w:b w:val="0"/>
          <w:bCs w:val="0"/>
          <w:i/>
          <w:iCs/>
          <w:color w:val="000000"/>
          <w:sz w:val="24"/>
          <w:szCs w:val="24"/>
        </w:rPr>
        <w:t>β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interference.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B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proofErr w:type="gramStart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>The</w:t>
      </w:r>
      <w:proofErr w:type="gramEnd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CCK-8 assay was used to determine cell proliferation of ESCC cells after transfection with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C/EBP</w:t>
      </w:r>
      <w:r w:rsidRPr="003C1426">
        <w:rPr>
          <w:rFonts w:cs="Times New Roman"/>
          <w:b w:val="0"/>
          <w:bCs w:val="0"/>
          <w:i/>
          <w:iCs/>
          <w:color w:val="000000"/>
          <w:sz w:val="24"/>
          <w:szCs w:val="24"/>
        </w:rPr>
        <w:t>β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every 24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h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for 4 days.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C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KYSE150 cells were seeded at a density </w:t>
      </w:r>
      <w:proofErr w:type="gramStart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>of 500 cells/well for clone formation assays</w:t>
      </w:r>
      <w:proofErr w:type="gramEnd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. Representative crystal violet staining of clone formation (left panels) and statistical graphs of Clone numbers (right panels).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(D)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Cell cycle distribution was analyzed following the silencing of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C/EBP</w:t>
      </w:r>
      <w:r w:rsidRPr="003C1426">
        <w:rPr>
          <w:rFonts w:cs="Times New Roman"/>
          <w:b w:val="0"/>
          <w:bCs w:val="0"/>
          <w:i/>
          <w:iCs/>
          <w:color w:val="000000"/>
          <w:sz w:val="24"/>
          <w:szCs w:val="24"/>
        </w:rPr>
        <w:t>β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in KYSE150. Representative images of cell cycle distribution (left panels) and statistical graphs of cell cycle changes (right panels).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(E)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Cell migration was determined using the wound healing migration assay (magnification, </w:t>
      </w:r>
      <w:r w:rsidRPr="002E129D">
        <w:rPr>
          <w:rFonts w:eastAsia="宋体"/>
          <w:b w:val="0"/>
          <w:bCs w:val="0"/>
          <w:color w:val="000000" w:themeColor="text1"/>
          <w:sz w:val="24"/>
          <w:szCs w:val="24"/>
        </w:rPr>
        <w:t>×100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>) Representative images of KYSE150 lentivirus stable transfected at 0 and 24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h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of wound healing assay. Image j was used to analyze the results of wound scratch images. A bar graph shows the quantitative results of scratch healing. 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>(F)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Cell migration or invasion was determined using </w:t>
      </w:r>
      <w:proofErr w:type="spellStart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>Transwell</w:t>
      </w:r>
      <w:proofErr w:type="spellEnd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migration or invasion assay. A representative images of crystal violet stained for lentivirus stable transfected of KYSE150 by </w:t>
      </w:r>
      <w:proofErr w:type="spellStart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>transwell</w:t>
      </w:r>
      <w:proofErr w:type="spellEnd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migration or invasion assays. A</w:t>
      </w:r>
      <w:r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 </w:t>
      </w:r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statistical graph shows Cell </w:t>
      </w:r>
      <w:proofErr w:type="gramStart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>number(</w:t>
      </w:r>
      <w:proofErr w:type="gramEnd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 xml:space="preserve">right panels). Results are representative of three independent experiments and are expressed as the </w:t>
      </w:r>
      <w:proofErr w:type="spellStart"/>
      <w:r w:rsidRPr="00854DA2">
        <w:rPr>
          <w:rFonts w:eastAsia="宋体"/>
          <w:b w:val="0"/>
          <w:bCs w:val="0"/>
          <w:color w:val="000000" w:themeColor="text1"/>
          <w:sz w:val="24"/>
          <w:szCs w:val="24"/>
        </w:rPr>
        <w:t>mean±S.D</w:t>
      </w:r>
      <w:proofErr w:type="spellEnd"/>
      <w:r w:rsidRPr="009511BE">
        <w:rPr>
          <w:rFonts w:eastAsia="宋体"/>
          <w:b w:val="0"/>
          <w:bCs w:val="0"/>
          <w:color w:val="000000" w:themeColor="text1"/>
          <w:sz w:val="24"/>
          <w:szCs w:val="24"/>
        </w:rPr>
        <w:t>. *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854DA2">
        <w:rPr>
          <w:rFonts w:eastAsia="宋体" w:hint="eastAsia"/>
          <w:b w:val="0"/>
          <w:bCs w:val="0"/>
          <w:i/>
          <w:iCs/>
          <w:color w:val="000000" w:themeColor="text1"/>
          <w:sz w:val="24"/>
          <w:szCs w:val="24"/>
        </w:rPr>
        <w:t>p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9511BE">
        <w:rPr>
          <w:rFonts w:eastAsia="宋体"/>
          <w:b w:val="0"/>
          <w:bCs w:val="0"/>
          <w:color w:val="000000" w:themeColor="text1"/>
          <w:sz w:val="24"/>
          <w:szCs w:val="24"/>
        </w:rPr>
        <w:t>&lt;0.05, **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9511BE">
        <w:rPr>
          <w:rFonts w:eastAsia="宋体" w:hint="eastAsia"/>
          <w:b w:val="0"/>
          <w:bCs w:val="0"/>
          <w:i/>
          <w:color w:val="000000" w:themeColor="text1"/>
          <w:sz w:val="24"/>
          <w:szCs w:val="24"/>
        </w:rPr>
        <w:t>p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9511BE">
        <w:rPr>
          <w:rFonts w:eastAsia="宋体"/>
          <w:b w:val="0"/>
          <w:bCs w:val="0"/>
          <w:color w:val="000000" w:themeColor="text1"/>
          <w:sz w:val="24"/>
          <w:szCs w:val="24"/>
        </w:rPr>
        <w:t>&lt;0.01, ***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9511BE">
        <w:rPr>
          <w:rFonts w:eastAsia="宋体" w:hint="eastAsia"/>
          <w:b w:val="0"/>
          <w:bCs w:val="0"/>
          <w:i/>
          <w:color w:val="000000" w:themeColor="text1"/>
          <w:sz w:val="24"/>
          <w:szCs w:val="24"/>
        </w:rPr>
        <w:t>p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 xml:space="preserve"> </w:t>
      </w:r>
      <w:r w:rsidRPr="009511BE">
        <w:rPr>
          <w:rFonts w:eastAsia="宋体"/>
          <w:b w:val="0"/>
          <w:bCs w:val="0"/>
          <w:color w:val="000000" w:themeColor="text1"/>
          <w:sz w:val="24"/>
          <w:szCs w:val="24"/>
        </w:rPr>
        <w:t>&lt;0.001</w:t>
      </w:r>
      <w:r>
        <w:rPr>
          <w:rFonts w:eastAsia="宋体" w:hint="eastAsia"/>
          <w:b w:val="0"/>
          <w:bCs w:val="0"/>
          <w:color w:val="000000" w:themeColor="text1"/>
          <w:sz w:val="24"/>
          <w:szCs w:val="24"/>
        </w:rPr>
        <w:t>.</w:t>
      </w:r>
    </w:p>
    <w:p w:rsidR="00247110" w:rsidRPr="00475F69" w:rsidRDefault="00247110" w:rsidP="00247110">
      <w:pPr>
        <w:ind w:firstLine="560"/>
        <w:rPr>
          <w:rFonts w:eastAsiaTheme="minorEastAsia"/>
        </w:rPr>
      </w:pPr>
    </w:p>
    <w:p w:rsidR="00247110" w:rsidRDefault="00247110" w:rsidP="00247110">
      <w:pPr>
        <w:widowControl/>
        <w:spacing w:line="240" w:lineRule="auto"/>
        <w:ind w:firstLineChars="0" w:firstLine="0"/>
        <w:jc w:val="left"/>
        <w:rPr>
          <w:rFonts w:asciiTheme="minorHAnsi" w:eastAsiaTheme="minorEastAsia" w:hAnsiTheme="minorHAnsi"/>
          <w:sz w:val="21"/>
        </w:rPr>
      </w:pPr>
    </w:p>
    <w:p w:rsidR="009B3911" w:rsidRPr="00247110" w:rsidRDefault="009B3911" w:rsidP="00247110">
      <w:pPr>
        <w:ind w:firstLine="560"/>
      </w:pPr>
    </w:p>
    <w:sectPr w:rsidR="009B3911" w:rsidRPr="0024711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6A" w:rsidRDefault="00247110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6A" w:rsidRDefault="00247110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6A" w:rsidRDefault="00247110">
    <w:pPr>
      <w:pStyle w:val="a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6A" w:rsidRDefault="00247110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6A" w:rsidRDefault="00247110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6A" w:rsidRDefault="00247110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10"/>
    <w:rsid w:val="00247110"/>
    <w:rsid w:val="007D288B"/>
    <w:rsid w:val="009B3911"/>
    <w:rsid w:val="00B3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10"/>
    <w:pPr>
      <w:widowControl w:val="0"/>
      <w:spacing w:line="600" w:lineRule="exact"/>
      <w:ind w:firstLineChars="200" w:firstLine="200"/>
      <w:jc w:val="both"/>
    </w:pPr>
    <w:rPr>
      <w:rFonts w:ascii="Times New Roman" w:eastAsia="Times New Roman" w:hAnsi="Times New Roman"/>
      <w:sz w:val="28"/>
    </w:rPr>
  </w:style>
  <w:style w:type="paragraph" w:styleId="3">
    <w:name w:val="heading 3"/>
    <w:basedOn w:val="a"/>
    <w:next w:val="a"/>
    <w:link w:val="3Char"/>
    <w:unhideWhenUsed/>
    <w:qFormat/>
    <w:rsid w:val="00247110"/>
    <w:pPr>
      <w:keepNext/>
      <w:keepLines/>
      <w:ind w:firstLineChars="0" w:firstLine="0"/>
      <w:jc w:val="left"/>
      <w:outlineLvl w:val="2"/>
    </w:pPr>
    <w:rPr>
      <w:rFonts w:eastAsia="黑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三号黑体，居中"/>
    <w:basedOn w:val="a"/>
    <w:autoRedefine/>
    <w:qFormat/>
    <w:rsid w:val="007D288B"/>
    <w:pPr>
      <w:adjustRightInd w:val="0"/>
      <w:snapToGrid w:val="0"/>
      <w:ind w:firstLineChars="0" w:firstLine="0"/>
      <w:jc w:val="center"/>
    </w:pPr>
    <w:rPr>
      <w:rFonts w:eastAsia="黑体" w:cs="Times New Roman"/>
      <w:sz w:val="32"/>
      <w:szCs w:val="20"/>
    </w:rPr>
  </w:style>
  <w:style w:type="paragraph" w:customStyle="1" w:styleId="a4">
    <w:name w:val="四号黑体"/>
    <w:basedOn w:val="a"/>
    <w:autoRedefine/>
    <w:qFormat/>
    <w:rsid w:val="007D288B"/>
    <w:pPr>
      <w:adjustRightInd w:val="0"/>
      <w:snapToGrid w:val="0"/>
      <w:ind w:firstLineChars="0" w:firstLine="0"/>
    </w:pPr>
    <w:rPr>
      <w:rFonts w:ascii="黑体" w:eastAsia="黑体" w:hAnsi="黑体" w:cs="黑体"/>
      <w:szCs w:val="20"/>
    </w:rPr>
  </w:style>
  <w:style w:type="paragraph" w:customStyle="1" w:styleId="a5">
    <w:name w:val="四号宋体"/>
    <w:basedOn w:val="a"/>
    <w:autoRedefine/>
    <w:qFormat/>
    <w:rsid w:val="007D288B"/>
    <w:pPr>
      <w:adjustRightInd w:val="0"/>
      <w:snapToGrid w:val="0"/>
      <w:ind w:firstLineChars="0" w:firstLine="0"/>
    </w:pPr>
    <w:rPr>
      <w:rFonts w:ascii="宋体" w:eastAsia="宋体" w:hAnsi="宋体" w:cs="Times New Roman"/>
      <w:szCs w:val="20"/>
    </w:rPr>
  </w:style>
  <w:style w:type="character" w:customStyle="1" w:styleId="3Char">
    <w:name w:val="标题 3 Char"/>
    <w:basedOn w:val="a0"/>
    <w:link w:val="3"/>
    <w:rsid w:val="00247110"/>
    <w:rPr>
      <w:rFonts w:ascii="Times New Roman" w:eastAsia="黑体" w:hAnsi="Times New Roman"/>
      <w:b/>
      <w:bCs/>
      <w:sz w:val="30"/>
      <w:szCs w:val="32"/>
    </w:rPr>
  </w:style>
  <w:style w:type="paragraph" w:styleId="a6">
    <w:name w:val="header"/>
    <w:basedOn w:val="a"/>
    <w:link w:val="Char"/>
    <w:uiPriority w:val="99"/>
    <w:unhideWhenUsed/>
    <w:rsid w:val="0024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47110"/>
    <w:rPr>
      <w:rFonts w:ascii="Times New Roman" w:eastAsia="Times New Roman" w:hAnsi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471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47110"/>
    <w:rPr>
      <w:rFonts w:ascii="Times New Roman" w:eastAsia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10"/>
    <w:pPr>
      <w:widowControl w:val="0"/>
      <w:spacing w:line="600" w:lineRule="exact"/>
      <w:ind w:firstLineChars="200" w:firstLine="200"/>
      <w:jc w:val="both"/>
    </w:pPr>
    <w:rPr>
      <w:rFonts w:ascii="Times New Roman" w:eastAsia="Times New Roman" w:hAnsi="Times New Roman"/>
      <w:sz w:val="28"/>
    </w:rPr>
  </w:style>
  <w:style w:type="paragraph" w:styleId="3">
    <w:name w:val="heading 3"/>
    <w:basedOn w:val="a"/>
    <w:next w:val="a"/>
    <w:link w:val="3Char"/>
    <w:unhideWhenUsed/>
    <w:qFormat/>
    <w:rsid w:val="00247110"/>
    <w:pPr>
      <w:keepNext/>
      <w:keepLines/>
      <w:ind w:firstLineChars="0" w:firstLine="0"/>
      <w:jc w:val="left"/>
      <w:outlineLvl w:val="2"/>
    </w:pPr>
    <w:rPr>
      <w:rFonts w:eastAsia="黑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三号黑体，居中"/>
    <w:basedOn w:val="a"/>
    <w:autoRedefine/>
    <w:qFormat/>
    <w:rsid w:val="007D288B"/>
    <w:pPr>
      <w:adjustRightInd w:val="0"/>
      <w:snapToGrid w:val="0"/>
      <w:ind w:firstLineChars="0" w:firstLine="0"/>
      <w:jc w:val="center"/>
    </w:pPr>
    <w:rPr>
      <w:rFonts w:eastAsia="黑体" w:cs="Times New Roman"/>
      <w:sz w:val="32"/>
      <w:szCs w:val="20"/>
    </w:rPr>
  </w:style>
  <w:style w:type="paragraph" w:customStyle="1" w:styleId="a4">
    <w:name w:val="四号黑体"/>
    <w:basedOn w:val="a"/>
    <w:autoRedefine/>
    <w:qFormat/>
    <w:rsid w:val="007D288B"/>
    <w:pPr>
      <w:adjustRightInd w:val="0"/>
      <w:snapToGrid w:val="0"/>
      <w:ind w:firstLineChars="0" w:firstLine="0"/>
    </w:pPr>
    <w:rPr>
      <w:rFonts w:ascii="黑体" w:eastAsia="黑体" w:hAnsi="黑体" w:cs="黑体"/>
      <w:szCs w:val="20"/>
    </w:rPr>
  </w:style>
  <w:style w:type="paragraph" w:customStyle="1" w:styleId="a5">
    <w:name w:val="四号宋体"/>
    <w:basedOn w:val="a"/>
    <w:autoRedefine/>
    <w:qFormat/>
    <w:rsid w:val="007D288B"/>
    <w:pPr>
      <w:adjustRightInd w:val="0"/>
      <w:snapToGrid w:val="0"/>
      <w:ind w:firstLineChars="0" w:firstLine="0"/>
    </w:pPr>
    <w:rPr>
      <w:rFonts w:ascii="宋体" w:eastAsia="宋体" w:hAnsi="宋体" w:cs="Times New Roman"/>
      <w:szCs w:val="20"/>
    </w:rPr>
  </w:style>
  <w:style w:type="character" w:customStyle="1" w:styleId="3Char">
    <w:name w:val="标题 3 Char"/>
    <w:basedOn w:val="a0"/>
    <w:link w:val="3"/>
    <w:rsid w:val="00247110"/>
    <w:rPr>
      <w:rFonts w:ascii="Times New Roman" w:eastAsia="黑体" w:hAnsi="Times New Roman"/>
      <w:b/>
      <w:bCs/>
      <w:sz w:val="30"/>
      <w:szCs w:val="32"/>
    </w:rPr>
  </w:style>
  <w:style w:type="paragraph" w:styleId="a6">
    <w:name w:val="header"/>
    <w:basedOn w:val="a"/>
    <w:link w:val="Char"/>
    <w:uiPriority w:val="99"/>
    <w:unhideWhenUsed/>
    <w:rsid w:val="0024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47110"/>
    <w:rPr>
      <w:rFonts w:ascii="Times New Roman" w:eastAsia="Times New Roman" w:hAnsi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471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47110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2021-01-16T14:32:00Z</dcterms:created>
  <dcterms:modified xsi:type="dcterms:W3CDTF">2021-01-16T14:34:00Z</dcterms:modified>
</cp:coreProperties>
</file>