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22E07D" w14:textId="77777777" w:rsidR="00FE286D" w:rsidRPr="00FB6539" w:rsidRDefault="00FB6539" w:rsidP="00FB6539">
      <w:pPr>
        <w:spacing w:after="0" w:line="480" w:lineRule="auto"/>
        <w:jc w:val="both"/>
        <w:rPr>
          <w:rFonts w:ascii="Arial" w:hAnsi="Arial" w:cs="Arial"/>
          <w:b/>
          <w:bCs/>
          <w:szCs w:val="24"/>
        </w:rPr>
      </w:pPr>
      <w:r w:rsidRPr="00FB6539">
        <w:rPr>
          <w:rFonts w:ascii="Arial" w:hAnsi="Arial" w:cs="Arial"/>
          <w:b/>
          <w:bCs/>
          <w:szCs w:val="24"/>
        </w:rPr>
        <w:t>SUPPLEMENTAL INFORMATION</w:t>
      </w:r>
    </w:p>
    <w:p w14:paraId="3B0AD6AE" w14:textId="77777777" w:rsidR="00FB6539" w:rsidRPr="00FB6539" w:rsidRDefault="00FB6539" w:rsidP="00FB6539">
      <w:pPr>
        <w:spacing w:after="0" w:line="480" w:lineRule="auto"/>
        <w:jc w:val="both"/>
        <w:rPr>
          <w:rFonts w:ascii="Arial" w:hAnsi="Arial" w:cs="Arial"/>
          <w:b/>
        </w:rPr>
      </w:pPr>
      <w:r w:rsidRPr="00FB6539">
        <w:rPr>
          <w:rFonts w:ascii="Arial" w:hAnsi="Arial" w:cs="Arial"/>
          <w:b/>
        </w:rPr>
        <w:t>A glycoside analog of</w:t>
      </w:r>
      <w:r w:rsidRPr="00FB6539">
        <w:rPr>
          <w:rFonts w:ascii="Arial" w:hAnsi="Arial" w:cs="Arial"/>
          <w:b/>
          <w:bCs/>
        </w:rPr>
        <w:t xml:space="preserve"> mammalian</w:t>
      </w:r>
      <w:r w:rsidRPr="00FB6539">
        <w:rPr>
          <w:rFonts w:ascii="Arial" w:hAnsi="Arial" w:cs="Arial"/>
          <w:b/>
        </w:rPr>
        <w:t xml:space="preserve"> oligomannose formulated with a TLR4-stimulating adjuvant elicits HIV-1 cross-reactive antibodies</w:t>
      </w:r>
      <w:bookmarkStart w:id="0" w:name="_GoBack"/>
      <w:bookmarkEnd w:id="0"/>
    </w:p>
    <w:p w14:paraId="29DA9EB0" w14:textId="77777777" w:rsidR="00FB6539" w:rsidRPr="008138BC" w:rsidRDefault="00FB6539" w:rsidP="00FB6539">
      <w:pPr>
        <w:pStyle w:val="NormalWeb"/>
        <w:spacing w:after="0" w:afterAutospacing="0" w:line="480" w:lineRule="auto"/>
        <w:jc w:val="both"/>
        <w:rPr>
          <w:rFonts w:ascii="Arial" w:hAnsi="Arial" w:cs="Arial"/>
          <w:color w:val="000000"/>
          <w:vertAlign w:val="superscript"/>
        </w:rPr>
      </w:pPr>
      <w:r w:rsidRPr="008138BC">
        <w:rPr>
          <w:rFonts w:ascii="Arial" w:hAnsi="Arial" w:cs="Arial"/>
          <w:color w:val="000000"/>
        </w:rPr>
        <w:t xml:space="preserve">Jean-François Bruxelle, Tess Kirilenko, </w:t>
      </w:r>
      <w:r w:rsidRPr="00B65D35">
        <w:rPr>
          <w:rFonts w:ascii="Arial" w:hAnsi="Arial" w:cs="Arial"/>
          <w:color w:val="000000"/>
        </w:rPr>
        <w:t xml:space="preserve">Nino Trattnig, </w:t>
      </w:r>
      <w:r w:rsidRPr="008138BC">
        <w:rPr>
          <w:rFonts w:ascii="Arial" w:hAnsi="Arial" w:cs="Arial"/>
          <w:color w:val="000000"/>
        </w:rPr>
        <w:t>Y</w:t>
      </w:r>
      <w:r>
        <w:rPr>
          <w:rFonts w:ascii="Arial" w:hAnsi="Arial" w:cs="Arial"/>
          <w:color w:val="000000"/>
        </w:rPr>
        <w:t>iqiu</w:t>
      </w:r>
      <w:r w:rsidRPr="008138BC">
        <w:rPr>
          <w:rFonts w:ascii="Arial" w:hAnsi="Arial" w:cs="Arial"/>
          <w:color w:val="000000"/>
        </w:rPr>
        <w:t xml:space="preserve"> Yang, Matteo Cattin, Paul Kosma, Ralph Pantophlet</w:t>
      </w:r>
      <w:r>
        <w:rPr>
          <w:rFonts w:ascii="Arial" w:hAnsi="Arial" w:cs="Arial"/>
          <w:color w:val="000000"/>
        </w:rPr>
        <w:t>*</w:t>
      </w:r>
    </w:p>
    <w:p w14:paraId="430698BC" w14:textId="77777777" w:rsidR="00FB6539" w:rsidRDefault="00FB6539" w:rsidP="00FB6539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F1E331E" w14:textId="77777777" w:rsidR="00FB6539" w:rsidRPr="006A7585" w:rsidRDefault="00FB6539" w:rsidP="00FB6539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6A7585">
        <w:rPr>
          <w:rFonts w:ascii="Arial" w:hAnsi="Arial" w:cs="Arial"/>
        </w:rPr>
        <w:t>*Correspondence and requests for materials should be addressed to:</w:t>
      </w:r>
    </w:p>
    <w:p w14:paraId="749C0965" w14:textId="77777777" w:rsidR="00FB6539" w:rsidRDefault="00FB6539" w:rsidP="00FB6539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A7585">
        <w:rPr>
          <w:rFonts w:ascii="Arial" w:hAnsi="Arial" w:cs="Arial"/>
        </w:rPr>
        <w:t>R.P. (</w:t>
      </w:r>
      <w:hyperlink r:id="rId6" w:history="1">
        <w:r w:rsidRPr="00D90092">
          <w:rPr>
            <w:rStyle w:val="Hyperlink"/>
            <w:rFonts w:ascii="Arial" w:hAnsi="Arial" w:cs="Arial"/>
          </w:rPr>
          <w:t>rpantophlet@sfu.ca</w:t>
        </w:r>
      </w:hyperlink>
      <w:r>
        <w:rPr>
          <w:rFonts w:ascii="Arial" w:hAnsi="Arial" w:cs="Arial"/>
        </w:rPr>
        <w:t>)</w:t>
      </w:r>
    </w:p>
    <w:p w14:paraId="21215F81" w14:textId="77777777" w:rsidR="00FB6539" w:rsidRDefault="00FB6539" w:rsidP="00FB6539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8599C6D" w14:textId="77777777" w:rsidR="00FB6539" w:rsidRDefault="00FB6539" w:rsidP="00FB6539">
      <w:pPr>
        <w:spacing w:line="36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SUPPLEMENTARY FIGURES</w:t>
      </w:r>
    </w:p>
    <w:p w14:paraId="40D2BCCB" w14:textId="77777777" w:rsidR="00FB6539" w:rsidRPr="007000DE" w:rsidRDefault="00FB6539" w:rsidP="00FB6539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FA17E40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FE286D"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66E0D096" wp14:editId="59AEE8E7">
            <wp:extent cx="5486400" cy="3017520"/>
            <wp:effectExtent l="0" t="0" r="0" b="0"/>
            <wp:docPr id="1" name="Picture 1" descr="S:\Research Staff\RP Pantophlet Lab\Current Lab Members\Jean-François Bruxelle (JFB)\Manuscripts\Plospath\V8\S1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Research Staff\RP Pantophlet Lab\Current Lab Members\Jean-François Bruxelle (JFB)\Manuscripts\Plospath\V8\S1 Fig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55A88" w14:textId="77777777" w:rsidR="00FE286D" w:rsidRPr="00587A8D" w:rsidRDefault="00BB6FEC" w:rsidP="00FE286D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Supplementary Figure </w:t>
      </w:r>
      <w:r w:rsidR="00FE286D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.</w:t>
      </w:r>
      <w:r w:rsidR="00FE286D">
        <w:rPr>
          <w:rFonts w:ascii="Arial" w:hAnsi="Arial" w:cs="Arial"/>
          <w:b/>
          <w:sz w:val="24"/>
          <w:szCs w:val="24"/>
        </w:rPr>
        <w:t xml:space="preserve"> Prime immunization of Trianni mice, induces a robust antigen-specific IgG response. </w:t>
      </w:r>
      <w:r w:rsidR="00FE286D" w:rsidRPr="007000DE">
        <w:rPr>
          <w:rFonts w:ascii="Arial" w:hAnsi="Arial" w:cs="Arial"/>
          <w:sz w:val="24"/>
          <w:szCs w:val="24"/>
        </w:rPr>
        <w:t>(</w:t>
      </w:r>
      <w:r w:rsidR="00FE286D">
        <w:rPr>
          <w:rFonts w:ascii="Arial" w:hAnsi="Arial" w:cs="Arial"/>
          <w:sz w:val="24"/>
          <w:szCs w:val="24"/>
        </w:rPr>
        <w:t xml:space="preserve">A) </w:t>
      </w:r>
      <w:r w:rsidR="00FE286D" w:rsidRPr="008138BC">
        <w:rPr>
          <w:rFonts w:ascii="Arial" w:hAnsi="Arial" w:cs="Arial"/>
          <w:sz w:val="24"/>
          <w:szCs w:val="24"/>
        </w:rPr>
        <w:t xml:space="preserve">Binding of total IgG </w:t>
      </w:r>
      <w:r w:rsidR="00FE286D">
        <w:rPr>
          <w:rFonts w:ascii="Arial" w:hAnsi="Arial" w:cs="Arial"/>
          <w:sz w:val="24"/>
          <w:szCs w:val="24"/>
        </w:rPr>
        <w:t>from</w:t>
      </w:r>
      <w:r w:rsidR="00FE286D" w:rsidRPr="008138BC">
        <w:rPr>
          <w:rFonts w:ascii="Arial" w:hAnsi="Arial" w:cs="Arial"/>
          <w:sz w:val="24"/>
          <w:szCs w:val="24"/>
        </w:rPr>
        <w:t xml:space="preserve"> pre-immune </w:t>
      </w:r>
      <w:r w:rsidR="00FE286D">
        <w:rPr>
          <w:rFonts w:ascii="Arial" w:hAnsi="Arial" w:cs="Arial"/>
          <w:sz w:val="24"/>
          <w:szCs w:val="24"/>
        </w:rPr>
        <w:t xml:space="preserve">sera (n=3 per animal group) collected on day 0 </w:t>
      </w:r>
      <w:r w:rsidR="00FE286D" w:rsidRPr="008138BC">
        <w:rPr>
          <w:rFonts w:ascii="Arial" w:hAnsi="Arial" w:cs="Arial"/>
          <w:sz w:val="24"/>
          <w:szCs w:val="24"/>
        </w:rPr>
        <w:t xml:space="preserve">and </w:t>
      </w:r>
      <w:r w:rsidR="00FE286D">
        <w:rPr>
          <w:rFonts w:ascii="Arial" w:hAnsi="Arial" w:cs="Arial"/>
          <w:sz w:val="24"/>
          <w:szCs w:val="24"/>
        </w:rPr>
        <w:t>post-</w:t>
      </w:r>
      <w:r w:rsidR="00FE286D" w:rsidRPr="008138BC">
        <w:rPr>
          <w:rFonts w:ascii="Arial" w:hAnsi="Arial" w:cs="Arial"/>
          <w:sz w:val="24"/>
          <w:szCs w:val="24"/>
        </w:rPr>
        <w:t xml:space="preserve">immune sera </w:t>
      </w:r>
      <w:r w:rsidR="00FE286D">
        <w:rPr>
          <w:rFonts w:ascii="Arial" w:hAnsi="Arial" w:cs="Arial"/>
          <w:sz w:val="24"/>
          <w:szCs w:val="24"/>
        </w:rPr>
        <w:t xml:space="preserve">collected at </w:t>
      </w:r>
      <w:r w:rsidR="00FE286D">
        <w:rPr>
          <w:rFonts w:ascii="Arial" w:hAnsi="Arial" w:cs="Arial"/>
          <w:sz w:val="24"/>
          <w:szCs w:val="24"/>
        </w:rPr>
        <w:lastRenderedPageBreak/>
        <w:t xml:space="preserve">day 30 (BL/6 mice; n=3) or day 34 (Trianni mice; n=7) </w:t>
      </w:r>
      <w:r w:rsidR="00FE286D" w:rsidRPr="008138BC">
        <w:rPr>
          <w:rFonts w:ascii="Arial" w:hAnsi="Arial" w:cs="Arial"/>
          <w:sz w:val="24"/>
          <w:szCs w:val="24"/>
        </w:rPr>
        <w:t xml:space="preserve">to </w:t>
      </w:r>
      <w:r w:rsidR="00FE286D">
        <w:rPr>
          <w:rFonts w:ascii="Arial" w:hAnsi="Arial" w:cs="Arial"/>
          <w:sz w:val="24"/>
          <w:szCs w:val="24"/>
        </w:rPr>
        <w:t>KLH</w:t>
      </w:r>
      <w:r w:rsidR="00FE286D" w:rsidRPr="008138BC">
        <w:rPr>
          <w:rFonts w:ascii="Arial" w:hAnsi="Arial" w:cs="Arial"/>
          <w:sz w:val="24"/>
          <w:szCs w:val="24"/>
        </w:rPr>
        <w:t>.</w:t>
      </w:r>
      <w:r w:rsidR="00FE286D">
        <w:rPr>
          <w:rFonts w:ascii="Arial" w:hAnsi="Arial" w:cs="Arial"/>
          <w:sz w:val="24"/>
          <w:szCs w:val="24"/>
        </w:rPr>
        <w:t xml:space="preserve"> (B) </w:t>
      </w:r>
      <w:r w:rsidR="00FE286D" w:rsidRPr="008138BC">
        <w:rPr>
          <w:rFonts w:ascii="Arial" w:hAnsi="Arial" w:cs="Arial"/>
          <w:sz w:val="24"/>
          <w:szCs w:val="24"/>
        </w:rPr>
        <w:t xml:space="preserve">Binding of IgG1, IgG2b, IgG2c, IgG3 antibody </w:t>
      </w:r>
      <w:r w:rsidR="00FE286D">
        <w:rPr>
          <w:rFonts w:ascii="Arial" w:hAnsi="Arial" w:cs="Arial"/>
          <w:sz w:val="24"/>
          <w:szCs w:val="24"/>
        </w:rPr>
        <w:t>in post-</w:t>
      </w:r>
      <w:r w:rsidR="00FE286D" w:rsidRPr="008138BC">
        <w:rPr>
          <w:rFonts w:ascii="Arial" w:hAnsi="Arial" w:cs="Arial"/>
          <w:sz w:val="24"/>
          <w:szCs w:val="24"/>
        </w:rPr>
        <w:t>immune sera</w:t>
      </w:r>
      <w:r w:rsidR="00FE286D">
        <w:rPr>
          <w:rFonts w:ascii="Arial" w:hAnsi="Arial" w:cs="Arial"/>
          <w:sz w:val="24"/>
          <w:szCs w:val="24"/>
        </w:rPr>
        <w:t xml:space="preserve"> to KLH. </w:t>
      </w:r>
      <w:r w:rsidR="00FE286D" w:rsidRPr="00587A8D">
        <w:rPr>
          <w:rFonts w:ascii="Arial" w:hAnsi="Arial" w:cs="Arial"/>
          <w:bCs/>
          <w:sz w:val="24"/>
          <w:szCs w:val="24"/>
        </w:rPr>
        <w:t xml:space="preserve">Graphs depict </w:t>
      </w:r>
      <w:r w:rsidR="00FE286D">
        <w:rPr>
          <w:rFonts w:ascii="Arial" w:hAnsi="Arial" w:cs="Arial"/>
          <w:bCs/>
          <w:sz w:val="24"/>
          <w:szCs w:val="24"/>
        </w:rPr>
        <w:t>the</w:t>
      </w:r>
      <w:r w:rsidR="00FE286D" w:rsidRPr="00587A8D">
        <w:rPr>
          <w:rFonts w:ascii="Arial" w:hAnsi="Arial" w:cs="Arial"/>
          <w:bCs/>
          <w:sz w:val="24"/>
          <w:szCs w:val="24"/>
        </w:rPr>
        <w:t xml:space="preserve"> mean values for the </w:t>
      </w:r>
      <w:r w:rsidR="00FE286D">
        <w:rPr>
          <w:rFonts w:ascii="Arial" w:hAnsi="Arial" w:cs="Arial"/>
          <w:bCs/>
          <w:sz w:val="24"/>
          <w:szCs w:val="24"/>
        </w:rPr>
        <w:t xml:space="preserve">assayed </w:t>
      </w:r>
      <w:r w:rsidR="00FE286D" w:rsidRPr="00587A8D">
        <w:rPr>
          <w:rFonts w:ascii="Arial" w:hAnsi="Arial" w:cs="Arial"/>
          <w:bCs/>
          <w:sz w:val="24"/>
          <w:szCs w:val="24"/>
        </w:rPr>
        <w:t xml:space="preserve">serum samples, each </w:t>
      </w:r>
      <w:r w:rsidR="00FE286D">
        <w:rPr>
          <w:rFonts w:ascii="Arial" w:hAnsi="Arial" w:cs="Arial"/>
          <w:bCs/>
          <w:sz w:val="24"/>
          <w:szCs w:val="24"/>
        </w:rPr>
        <w:t>tested</w:t>
      </w:r>
      <w:r w:rsidR="00FE286D" w:rsidRPr="00587A8D">
        <w:rPr>
          <w:rFonts w:ascii="Arial" w:hAnsi="Arial" w:cs="Arial"/>
          <w:bCs/>
          <w:sz w:val="24"/>
          <w:szCs w:val="24"/>
        </w:rPr>
        <w:t xml:space="preserve"> in duplicate, with error bars denoting the standard deviation from the mean.</w:t>
      </w:r>
    </w:p>
    <w:p w14:paraId="2E1EE1DC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71CB6F37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247676F6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FE286D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2629BAAA" wp14:editId="29EACFF2">
            <wp:extent cx="5486400" cy="2208508"/>
            <wp:effectExtent l="0" t="0" r="0" b="1905"/>
            <wp:docPr id="2" name="Picture 2" descr="S:\Research Staff\RP Pantophlet Lab\Current Lab Members\Jean-François Bruxelle (JFB)\Manuscripts\Plospath\V8\S2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:\Research Staff\RP Pantophlet Lab\Current Lab Members\Jean-François Bruxelle (JFB)\Manuscripts\Plospath\V8\S2 Fig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08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E7715" w14:textId="77777777" w:rsidR="00FE286D" w:rsidRDefault="00BB6FEC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Figure 2</w:t>
      </w:r>
      <w:r w:rsidR="00FE286D">
        <w:rPr>
          <w:rFonts w:ascii="Arial" w:hAnsi="Arial" w:cs="Arial"/>
          <w:b/>
          <w:sz w:val="24"/>
          <w:szCs w:val="24"/>
        </w:rPr>
        <w:t xml:space="preserve">. Trianni mice develop adequate germinal center Tfh responses in draining lymph nodes after a priming immunization with a model antigen. </w:t>
      </w:r>
      <w:r w:rsidR="00FE286D" w:rsidRPr="007000DE">
        <w:rPr>
          <w:rFonts w:ascii="Arial" w:hAnsi="Arial" w:cs="Arial"/>
          <w:sz w:val="24"/>
          <w:szCs w:val="24"/>
        </w:rPr>
        <w:t xml:space="preserve">Inguinal lymph nodes on day 8 post-prime of </w:t>
      </w:r>
      <w:r w:rsidR="00FE286D" w:rsidRPr="00391994">
        <w:rPr>
          <w:rFonts w:ascii="Arial" w:hAnsi="Arial" w:cs="Arial"/>
          <w:sz w:val="24"/>
          <w:szCs w:val="24"/>
        </w:rPr>
        <w:t>Trianni</w:t>
      </w:r>
      <w:r w:rsidR="00FE286D">
        <w:rPr>
          <w:rFonts w:ascii="Arial" w:hAnsi="Arial" w:cs="Arial"/>
          <w:sz w:val="24"/>
          <w:szCs w:val="24"/>
        </w:rPr>
        <w:t xml:space="preserve"> mice (n=3) injected with KLH formulated in Alhydrogel plus CpG ODN1826 were collected and analyzed by flow cytometry for Tfh cell frequencies (B220</w:t>
      </w:r>
      <w:r w:rsidR="00FE286D" w:rsidRPr="007000DE">
        <w:rPr>
          <w:rFonts w:ascii="Arial" w:hAnsi="Arial" w:cs="Arial"/>
          <w:sz w:val="24"/>
          <w:szCs w:val="24"/>
          <w:vertAlign w:val="superscript"/>
        </w:rPr>
        <w:t>-</w:t>
      </w:r>
      <w:r w:rsidR="00FE286D">
        <w:rPr>
          <w:rFonts w:ascii="Arial" w:hAnsi="Arial" w:cs="Arial"/>
          <w:sz w:val="24"/>
          <w:szCs w:val="24"/>
        </w:rPr>
        <w:t>CD4</w:t>
      </w:r>
      <w:r w:rsidR="00FE286D" w:rsidRPr="007000DE">
        <w:rPr>
          <w:rFonts w:ascii="Arial" w:hAnsi="Arial" w:cs="Arial"/>
          <w:sz w:val="24"/>
          <w:szCs w:val="24"/>
          <w:vertAlign w:val="superscript"/>
        </w:rPr>
        <w:t>+</w:t>
      </w:r>
      <w:r w:rsidR="00FE286D">
        <w:rPr>
          <w:rFonts w:ascii="Arial" w:hAnsi="Arial" w:cs="Arial"/>
          <w:sz w:val="24"/>
          <w:szCs w:val="24"/>
        </w:rPr>
        <w:t>CD44</w:t>
      </w:r>
      <w:r w:rsidR="00FE286D" w:rsidRPr="007000DE">
        <w:rPr>
          <w:rFonts w:ascii="Arial" w:hAnsi="Arial" w:cs="Arial"/>
          <w:sz w:val="24"/>
          <w:szCs w:val="24"/>
          <w:vertAlign w:val="superscript"/>
        </w:rPr>
        <w:t>hi</w:t>
      </w:r>
      <w:r w:rsidR="00FE286D">
        <w:rPr>
          <w:rFonts w:ascii="Arial" w:hAnsi="Arial" w:cs="Arial"/>
          <w:sz w:val="24"/>
          <w:szCs w:val="24"/>
        </w:rPr>
        <w:t>PD-1</w:t>
      </w:r>
      <w:r w:rsidR="00FE286D" w:rsidRPr="007000DE">
        <w:rPr>
          <w:rFonts w:ascii="Arial" w:hAnsi="Arial" w:cs="Arial"/>
          <w:sz w:val="24"/>
          <w:szCs w:val="24"/>
          <w:vertAlign w:val="superscript"/>
        </w:rPr>
        <w:t>+</w:t>
      </w:r>
      <w:r w:rsidR="00FE286D">
        <w:rPr>
          <w:rFonts w:ascii="Arial" w:hAnsi="Arial" w:cs="Arial"/>
          <w:sz w:val="24"/>
          <w:szCs w:val="24"/>
        </w:rPr>
        <w:t xml:space="preserve"> CXCR5</w:t>
      </w:r>
      <w:r w:rsidR="00FE286D" w:rsidRPr="007000DE">
        <w:rPr>
          <w:rFonts w:ascii="Arial" w:hAnsi="Arial" w:cs="Arial"/>
          <w:sz w:val="24"/>
          <w:szCs w:val="24"/>
          <w:vertAlign w:val="superscript"/>
        </w:rPr>
        <w:t>+</w:t>
      </w:r>
      <w:r w:rsidR="00FE286D">
        <w:rPr>
          <w:rFonts w:ascii="Arial" w:hAnsi="Arial" w:cs="Arial"/>
          <w:sz w:val="24"/>
          <w:szCs w:val="24"/>
        </w:rPr>
        <w:t>). Bar graphs depict the average of 3 mice. On the right, flow cytometry plots representative for</w:t>
      </w:r>
      <w:r w:rsidR="00FE286D" w:rsidRPr="006C32AE">
        <w:rPr>
          <w:rFonts w:ascii="Arial" w:hAnsi="Arial" w:cs="Arial"/>
          <w:sz w:val="24"/>
          <w:szCs w:val="24"/>
        </w:rPr>
        <w:t xml:space="preserve"> each group is shown</w:t>
      </w:r>
      <w:r w:rsidR="00FE286D">
        <w:rPr>
          <w:rFonts w:ascii="Arial" w:hAnsi="Arial" w:cs="Arial"/>
          <w:sz w:val="24"/>
          <w:szCs w:val="24"/>
        </w:rPr>
        <w:t xml:space="preserve">. </w:t>
      </w:r>
    </w:p>
    <w:p w14:paraId="78EB57E9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77988C70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32509C33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FE286D"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303835A1" wp14:editId="776E3C99">
            <wp:extent cx="5486400" cy="4282440"/>
            <wp:effectExtent l="0" t="0" r="0" b="3810"/>
            <wp:docPr id="3" name="Picture 3" descr="S:\Research Staff\RP Pantophlet Lab\Current Lab Members\Jean-François Bruxelle (JFB)\Manuscripts\Plospath\V8\S3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:\Research Staff\RP Pantophlet Lab\Current Lab Members\Jean-François Bruxelle (JFB)\Manuscripts\Plospath\V8\S3 Fig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8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51F93" w14:textId="77777777" w:rsidR="00FE286D" w:rsidRDefault="00BB6FEC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Figure 3</w:t>
      </w:r>
      <w:r w:rsidR="00FE286D">
        <w:rPr>
          <w:rFonts w:ascii="Arial" w:hAnsi="Arial" w:cs="Arial"/>
          <w:b/>
          <w:sz w:val="24"/>
          <w:szCs w:val="24"/>
        </w:rPr>
        <w:t>. NIT211</w:t>
      </w:r>
      <w:r w:rsidR="00FE286D" w:rsidRPr="008138BC">
        <w:rPr>
          <w:rFonts w:ascii="Arial" w:hAnsi="Arial" w:cs="Arial"/>
          <w:b/>
          <w:sz w:val="24"/>
          <w:szCs w:val="24"/>
        </w:rPr>
        <w:t xml:space="preserve"> formulated in Alhydrogel, AddaVax or GLA-SE elicits robust IgG response to CRM</w:t>
      </w:r>
      <w:r w:rsidR="00FE286D" w:rsidRPr="00265BFD">
        <w:rPr>
          <w:rFonts w:ascii="Arial" w:hAnsi="Arial" w:cs="Arial"/>
          <w:b/>
          <w:sz w:val="24"/>
          <w:szCs w:val="24"/>
          <w:vertAlign w:val="subscript"/>
        </w:rPr>
        <w:t>197</w:t>
      </w:r>
      <w:r w:rsidR="00FE286D" w:rsidRPr="008138BC">
        <w:rPr>
          <w:rFonts w:ascii="Arial" w:hAnsi="Arial" w:cs="Arial"/>
          <w:b/>
          <w:sz w:val="24"/>
          <w:szCs w:val="24"/>
        </w:rPr>
        <w:t xml:space="preserve">. </w:t>
      </w:r>
      <w:r w:rsidR="00FE286D" w:rsidRPr="007E1894">
        <w:rPr>
          <w:rFonts w:ascii="Arial" w:hAnsi="Arial" w:cs="Arial"/>
          <w:sz w:val="24"/>
          <w:szCs w:val="24"/>
        </w:rPr>
        <w:t>Trianni</w:t>
      </w:r>
      <w:r w:rsidR="00FE286D">
        <w:rPr>
          <w:rFonts w:ascii="Arial" w:hAnsi="Arial" w:cs="Arial"/>
          <w:sz w:val="24"/>
          <w:szCs w:val="24"/>
        </w:rPr>
        <w:t xml:space="preserve"> mice </w:t>
      </w:r>
      <w:r w:rsidR="00FE286D" w:rsidRPr="008138BC">
        <w:rPr>
          <w:rFonts w:ascii="Arial" w:hAnsi="Arial" w:cs="Arial"/>
          <w:sz w:val="24"/>
          <w:szCs w:val="24"/>
        </w:rPr>
        <w:t>(n = 5</w:t>
      </w:r>
      <w:r w:rsidR="00FE286D">
        <w:rPr>
          <w:rFonts w:ascii="Arial" w:hAnsi="Arial" w:cs="Arial"/>
          <w:sz w:val="24"/>
          <w:szCs w:val="24"/>
        </w:rPr>
        <w:t>/group</w:t>
      </w:r>
      <w:r w:rsidR="00FE286D" w:rsidRPr="008138BC">
        <w:rPr>
          <w:rFonts w:ascii="Arial" w:hAnsi="Arial" w:cs="Arial"/>
          <w:sz w:val="24"/>
          <w:szCs w:val="24"/>
        </w:rPr>
        <w:t xml:space="preserve">) </w:t>
      </w:r>
      <w:r w:rsidR="00FE286D">
        <w:rPr>
          <w:rFonts w:ascii="Arial" w:hAnsi="Arial" w:cs="Arial"/>
          <w:sz w:val="24"/>
          <w:szCs w:val="24"/>
        </w:rPr>
        <w:t>were immunized subcutaneously on</w:t>
      </w:r>
      <w:r w:rsidR="00FE286D" w:rsidRPr="008138BC">
        <w:rPr>
          <w:rFonts w:ascii="Arial" w:hAnsi="Arial" w:cs="Arial"/>
          <w:sz w:val="24"/>
          <w:szCs w:val="24"/>
        </w:rPr>
        <w:t xml:space="preserve"> day</w:t>
      </w:r>
      <w:r w:rsidR="00FE286D">
        <w:rPr>
          <w:rFonts w:ascii="Arial" w:hAnsi="Arial" w:cs="Arial"/>
          <w:sz w:val="24"/>
          <w:szCs w:val="24"/>
        </w:rPr>
        <w:t>s</w:t>
      </w:r>
      <w:r w:rsidR="00FE286D" w:rsidRPr="008138BC">
        <w:rPr>
          <w:rFonts w:ascii="Arial" w:hAnsi="Arial" w:cs="Arial"/>
          <w:sz w:val="24"/>
          <w:szCs w:val="24"/>
        </w:rPr>
        <w:t xml:space="preserve"> 0, 21, 42 and 105</w:t>
      </w:r>
      <w:r w:rsidR="00FE286D">
        <w:rPr>
          <w:rFonts w:ascii="Arial" w:hAnsi="Arial" w:cs="Arial"/>
          <w:sz w:val="24"/>
          <w:szCs w:val="24"/>
        </w:rPr>
        <w:t xml:space="preserve"> with NIT211 formulated in Alhydro</w:t>
      </w:r>
      <w:r w:rsidR="00FE286D" w:rsidRPr="008138BC">
        <w:rPr>
          <w:rFonts w:ascii="Arial" w:hAnsi="Arial" w:cs="Arial"/>
          <w:sz w:val="24"/>
          <w:szCs w:val="24"/>
        </w:rPr>
        <w:t xml:space="preserve">gel, Addavax or </w:t>
      </w:r>
      <w:r w:rsidR="00FE286D">
        <w:rPr>
          <w:rFonts w:ascii="Arial" w:hAnsi="Arial" w:cs="Arial"/>
          <w:sz w:val="24"/>
          <w:szCs w:val="24"/>
        </w:rPr>
        <w:t xml:space="preserve">GLA-SE and sera collected on days 0 </w:t>
      </w:r>
      <w:r w:rsidR="00FE286D" w:rsidRPr="008138BC">
        <w:rPr>
          <w:rFonts w:ascii="Arial" w:hAnsi="Arial" w:cs="Arial"/>
          <w:sz w:val="24"/>
          <w:szCs w:val="24"/>
        </w:rPr>
        <w:t xml:space="preserve">10, 28, 49 </w:t>
      </w:r>
      <w:r w:rsidR="00FE286D">
        <w:rPr>
          <w:rFonts w:ascii="Arial" w:hAnsi="Arial" w:cs="Arial"/>
          <w:sz w:val="24"/>
          <w:szCs w:val="24"/>
        </w:rPr>
        <w:t xml:space="preserve">and </w:t>
      </w:r>
      <w:r w:rsidR="00FE286D" w:rsidRPr="008138BC">
        <w:rPr>
          <w:rFonts w:ascii="Arial" w:hAnsi="Arial" w:cs="Arial"/>
          <w:sz w:val="24"/>
          <w:szCs w:val="24"/>
        </w:rPr>
        <w:t>119.</w:t>
      </w:r>
      <w:r w:rsidR="00FE286D">
        <w:rPr>
          <w:rFonts w:ascii="Arial" w:hAnsi="Arial" w:cs="Arial"/>
          <w:sz w:val="24"/>
          <w:szCs w:val="24"/>
        </w:rPr>
        <w:t xml:space="preserve"> </w:t>
      </w:r>
      <w:bookmarkStart w:id="1" w:name="OLE_LINK5"/>
      <w:r w:rsidR="00FE286D">
        <w:rPr>
          <w:rFonts w:ascii="Arial" w:hAnsi="Arial" w:cs="Arial"/>
          <w:sz w:val="24"/>
          <w:szCs w:val="24"/>
        </w:rPr>
        <w:t xml:space="preserve">Shown is total IgG binding </w:t>
      </w:r>
      <w:r w:rsidR="00FE286D" w:rsidRPr="008138BC">
        <w:rPr>
          <w:rFonts w:ascii="Arial" w:hAnsi="Arial" w:cs="Arial"/>
          <w:sz w:val="24"/>
          <w:szCs w:val="24"/>
        </w:rPr>
        <w:t>t</w:t>
      </w:r>
      <w:bookmarkEnd w:id="1"/>
      <w:r w:rsidR="00FE286D" w:rsidRPr="008138BC">
        <w:rPr>
          <w:rFonts w:ascii="Arial" w:hAnsi="Arial" w:cs="Arial"/>
          <w:sz w:val="24"/>
          <w:szCs w:val="24"/>
        </w:rPr>
        <w:t>o CRM</w:t>
      </w:r>
      <w:r w:rsidR="00FE286D" w:rsidRPr="00265BFD">
        <w:rPr>
          <w:rFonts w:ascii="Arial" w:hAnsi="Arial" w:cs="Arial"/>
          <w:sz w:val="24"/>
          <w:szCs w:val="24"/>
          <w:vertAlign w:val="subscript"/>
        </w:rPr>
        <w:t>197</w:t>
      </w:r>
      <w:r w:rsidR="00FE286D" w:rsidRPr="008138BC">
        <w:rPr>
          <w:rFonts w:ascii="Arial" w:hAnsi="Arial" w:cs="Arial"/>
          <w:sz w:val="24"/>
          <w:szCs w:val="24"/>
        </w:rPr>
        <w:t xml:space="preserve">. </w:t>
      </w:r>
      <w:r w:rsidR="00FE286D" w:rsidRPr="007545B4">
        <w:rPr>
          <w:rFonts w:ascii="Arial" w:hAnsi="Arial" w:cs="Arial"/>
          <w:sz w:val="24"/>
          <w:szCs w:val="24"/>
        </w:rPr>
        <w:t xml:space="preserve">Graphs depict mean values for the five serum samples from each </w:t>
      </w:r>
      <w:r w:rsidR="00FE286D">
        <w:rPr>
          <w:rFonts w:ascii="Arial" w:hAnsi="Arial" w:cs="Arial"/>
          <w:sz w:val="24"/>
          <w:szCs w:val="24"/>
        </w:rPr>
        <w:t xml:space="preserve">animal </w:t>
      </w:r>
      <w:r w:rsidR="00FE286D" w:rsidRPr="007545B4">
        <w:rPr>
          <w:rFonts w:ascii="Arial" w:hAnsi="Arial" w:cs="Arial"/>
          <w:sz w:val="24"/>
          <w:szCs w:val="24"/>
        </w:rPr>
        <w:t>group</w:t>
      </w:r>
      <w:r w:rsidR="00FE286D">
        <w:rPr>
          <w:rFonts w:ascii="Arial" w:hAnsi="Arial" w:cs="Arial"/>
          <w:sz w:val="24"/>
          <w:szCs w:val="24"/>
        </w:rPr>
        <w:t>, with error bars denoting the standard error of the mean</w:t>
      </w:r>
      <w:r w:rsidR="00FE286D" w:rsidRPr="007545B4">
        <w:rPr>
          <w:rFonts w:ascii="Arial" w:hAnsi="Arial" w:cs="Arial"/>
          <w:sz w:val="24"/>
          <w:szCs w:val="24"/>
        </w:rPr>
        <w:t>.</w:t>
      </w:r>
    </w:p>
    <w:p w14:paraId="63193C71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5A30A66C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176D623E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FE286D"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5B17B4FD" wp14:editId="37872E0B">
            <wp:extent cx="5486400" cy="3352800"/>
            <wp:effectExtent l="0" t="0" r="0" b="0"/>
            <wp:docPr id="4" name="Picture 4" descr="S:\Research Staff\RP Pantophlet Lab\Current Lab Members\Jean-François Bruxelle (JFB)\Manuscripts\Plospath\V8\S4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:\Research Staff\RP Pantophlet Lab\Current Lab Members\Jean-François Bruxelle (JFB)\Manuscripts\Plospath\V8\S4 Fig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E924E" w14:textId="77777777" w:rsidR="00FE286D" w:rsidRPr="008138BC" w:rsidRDefault="00BB6FEC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Figure 4</w:t>
      </w:r>
      <w:r w:rsidR="00FE286D">
        <w:rPr>
          <w:rFonts w:ascii="Arial" w:hAnsi="Arial" w:cs="Arial"/>
          <w:b/>
          <w:sz w:val="24"/>
          <w:szCs w:val="24"/>
        </w:rPr>
        <w:t>. Confirmation that Trianni mouse sera collected post-immunization do not bind BSA.</w:t>
      </w:r>
      <w:r w:rsidR="00FE286D">
        <w:rPr>
          <w:rFonts w:ascii="Arial" w:hAnsi="Arial" w:cs="Arial"/>
          <w:sz w:val="24"/>
          <w:szCs w:val="24"/>
        </w:rPr>
        <w:t xml:space="preserve"> Sera collected on day 119 from animals immunized with N211 formulated in Alhydrogel, Addavax and GLA-SE, respectively, were assayed for binding to BSA by ELISA to assess the level of potential non-specific binding. </w:t>
      </w:r>
      <w:r w:rsidR="00FE286D" w:rsidRPr="007545B4">
        <w:rPr>
          <w:rFonts w:ascii="Arial" w:hAnsi="Arial" w:cs="Arial"/>
          <w:sz w:val="24"/>
          <w:szCs w:val="24"/>
        </w:rPr>
        <w:t xml:space="preserve">Graphs depict mean values for the five serum samples from each </w:t>
      </w:r>
      <w:r w:rsidR="00FE286D">
        <w:rPr>
          <w:rFonts w:ascii="Arial" w:hAnsi="Arial" w:cs="Arial"/>
          <w:sz w:val="24"/>
          <w:szCs w:val="24"/>
        </w:rPr>
        <w:t xml:space="preserve">animal </w:t>
      </w:r>
      <w:r w:rsidR="00FE286D" w:rsidRPr="007545B4">
        <w:rPr>
          <w:rFonts w:ascii="Arial" w:hAnsi="Arial" w:cs="Arial"/>
          <w:sz w:val="24"/>
          <w:szCs w:val="24"/>
        </w:rPr>
        <w:t>group.</w:t>
      </w:r>
      <w:r w:rsidR="00FE286D">
        <w:rPr>
          <w:rFonts w:ascii="Arial" w:hAnsi="Arial" w:cs="Arial"/>
          <w:sz w:val="24"/>
          <w:szCs w:val="24"/>
        </w:rPr>
        <w:t xml:space="preserve"> Error bars represent the standard error of the mean.</w:t>
      </w:r>
    </w:p>
    <w:p w14:paraId="791F937F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4B6A752F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FE286D"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57FE378F" wp14:editId="4EA64170">
            <wp:extent cx="5486400" cy="4191000"/>
            <wp:effectExtent l="0" t="0" r="0" b="0"/>
            <wp:docPr id="5" name="Picture 5" descr="S:\Research Staff\RP Pantophlet Lab\Current Lab Members\Jean-François Bruxelle (JFB)\Manuscripts\Plospath\V8\S5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:\Research Staff\RP Pantophlet Lab\Current Lab Members\Jean-François Bruxelle (JFB)\Manuscripts\Plospath\V8\S5 Fig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E6444" w14:textId="77777777" w:rsidR="00FE286D" w:rsidRPr="008138BC" w:rsidRDefault="00BB6FEC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Figure 5</w:t>
      </w:r>
      <w:r w:rsidR="00FE286D">
        <w:rPr>
          <w:rFonts w:ascii="Arial" w:hAnsi="Arial" w:cs="Arial"/>
          <w:b/>
          <w:sz w:val="24"/>
          <w:szCs w:val="24"/>
        </w:rPr>
        <w:t>. NIT211</w:t>
      </w:r>
      <w:r w:rsidR="00FE286D" w:rsidRPr="008138BC">
        <w:rPr>
          <w:rFonts w:ascii="Arial" w:hAnsi="Arial" w:cs="Arial"/>
          <w:b/>
          <w:sz w:val="24"/>
          <w:szCs w:val="24"/>
        </w:rPr>
        <w:t xml:space="preserve"> formulated in Alhydrogel, AddaVax or GLA-SE </w:t>
      </w:r>
      <w:r w:rsidR="00FE286D">
        <w:rPr>
          <w:rFonts w:ascii="Arial" w:hAnsi="Arial" w:cs="Arial"/>
          <w:b/>
          <w:sz w:val="24"/>
          <w:szCs w:val="24"/>
        </w:rPr>
        <w:t>does not evoke substantial IgM</w:t>
      </w:r>
      <w:r w:rsidR="00FE286D" w:rsidRPr="008138BC">
        <w:rPr>
          <w:rFonts w:ascii="Arial" w:hAnsi="Arial" w:cs="Arial"/>
          <w:b/>
          <w:sz w:val="24"/>
          <w:szCs w:val="24"/>
        </w:rPr>
        <w:t xml:space="preserve"> response</w:t>
      </w:r>
      <w:r w:rsidR="00FE286D">
        <w:rPr>
          <w:rFonts w:ascii="Arial" w:hAnsi="Arial" w:cs="Arial"/>
          <w:b/>
          <w:sz w:val="24"/>
          <w:szCs w:val="24"/>
        </w:rPr>
        <w:t>s</w:t>
      </w:r>
      <w:r w:rsidR="00FE286D" w:rsidRPr="008138BC">
        <w:rPr>
          <w:rFonts w:ascii="Arial" w:hAnsi="Arial" w:cs="Arial"/>
          <w:b/>
          <w:sz w:val="24"/>
          <w:szCs w:val="24"/>
        </w:rPr>
        <w:t xml:space="preserve"> to the </w:t>
      </w:r>
      <w:r w:rsidR="00FE286D">
        <w:rPr>
          <w:rFonts w:ascii="Arial" w:hAnsi="Arial" w:cs="Arial"/>
          <w:b/>
          <w:sz w:val="24"/>
          <w:szCs w:val="24"/>
        </w:rPr>
        <w:t>oligomannose</w:t>
      </w:r>
      <w:r w:rsidR="00FE286D" w:rsidRPr="008138BC">
        <w:rPr>
          <w:rFonts w:ascii="Arial" w:hAnsi="Arial" w:cs="Arial"/>
          <w:b/>
          <w:sz w:val="24"/>
          <w:szCs w:val="24"/>
        </w:rPr>
        <w:t xml:space="preserve"> mimetic. </w:t>
      </w:r>
      <w:r w:rsidR="00FE286D">
        <w:rPr>
          <w:rFonts w:ascii="Arial" w:hAnsi="Arial" w:cs="Arial"/>
          <w:sz w:val="24"/>
          <w:szCs w:val="24"/>
        </w:rPr>
        <w:t xml:space="preserve">The IgM response to </w:t>
      </w:r>
      <w:r w:rsidR="00FE286D" w:rsidRPr="00DE688F">
        <w:rPr>
          <w:rFonts w:ascii="Arial" w:hAnsi="Arial" w:cs="Arial"/>
          <w:sz w:val="24"/>
          <w:szCs w:val="24"/>
        </w:rPr>
        <w:t xml:space="preserve">the oligomannose mimetic </w:t>
      </w:r>
      <w:r w:rsidR="00FE286D">
        <w:rPr>
          <w:rFonts w:ascii="Arial" w:hAnsi="Arial" w:cs="Arial"/>
          <w:sz w:val="24"/>
          <w:szCs w:val="24"/>
        </w:rPr>
        <w:t>was assessed by ELISA with the heterologous BSA conjugate NIT82b. Binding of total IgG antibodies</w:t>
      </w:r>
      <w:r w:rsidR="00FE286D" w:rsidRPr="008138BC">
        <w:rPr>
          <w:rFonts w:ascii="Arial" w:hAnsi="Arial" w:cs="Arial"/>
          <w:sz w:val="24"/>
          <w:szCs w:val="24"/>
        </w:rPr>
        <w:t xml:space="preserve"> in pre-immune and </w:t>
      </w:r>
      <w:r w:rsidR="00FE286D">
        <w:rPr>
          <w:rFonts w:ascii="Arial" w:hAnsi="Arial" w:cs="Arial"/>
          <w:sz w:val="24"/>
          <w:szCs w:val="24"/>
        </w:rPr>
        <w:t>post-</w:t>
      </w:r>
      <w:r w:rsidR="00FE286D" w:rsidRPr="008138BC">
        <w:rPr>
          <w:rFonts w:ascii="Arial" w:hAnsi="Arial" w:cs="Arial"/>
          <w:sz w:val="24"/>
          <w:szCs w:val="24"/>
        </w:rPr>
        <w:t xml:space="preserve">immune sera to </w:t>
      </w:r>
      <w:r w:rsidR="00FE286D">
        <w:rPr>
          <w:rFonts w:ascii="Arial" w:hAnsi="Arial" w:cs="Arial"/>
          <w:sz w:val="24"/>
          <w:szCs w:val="24"/>
        </w:rPr>
        <w:t>the oligomannose mimetic BSA-conjugate</w:t>
      </w:r>
      <w:r w:rsidR="00FE286D" w:rsidRPr="008138BC">
        <w:rPr>
          <w:rFonts w:ascii="Arial" w:hAnsi="Arial" w:cs="Arial"/>
          <w:sz w:val="24"/>
          <w:szCs w:val="24"/>
        </w:rPr>
        <w:t xml:space="preserve">. </w:t>
      </w:r>
      <w:r w:rsidR="00FE286D" w:rsidRPr="007545B4">
        <w:rPr>
          <w:rFonts w:ascii="Arial" w:hAnsi="Arial" w:cs="Arial"/>
          <w:sz w:val="24"/>
          <w:szCs w:val="24"/>
        </w:rPr>
        <w:t>Graphs depict mean values for the five serum samples from each group.</w:t>
      </w:r>
    </w:p>
    <w:p w14:paraId="7EF95685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14:paraId="3E793A02" w14:textId="77777777" w:rsidR="00FE286D" w:rsidRDefault="00FE286D" w:rsidP="00FE286D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FE286D">
        <w:rPr>
          <w:rFonts w:ascii="Arial" w:hAnsi="Arial" w:cs="Arial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5B295362" wp14:editId="5B70AD71">
            <wp:extent cx="5486400" cy="1935480"/>
            <wp:effectExtent l="0" t="0" r="0" b="7620"/>
            <wp:docPr id="6" name="Picture 6" descr="S:\Research Staff\RP Pantophlet Lab\Current Lab Members\Jean-François Bruxelle (JFB)\Manuscripts\Plospath\V8\S6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:\Research Staff\RP Pantophlet Lab\Current Lab Members\Jean-François Bruxelle (JFB)\Manuscripts\Plospath\V8\S6 Fig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324C9" w14:textId="77777777" w:rsidR="00FE286D" w:rsidRDefault="00BB6FEC" w:rsidP="00FE286D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Figure 6</w:t>
      </w:r>
      <w:r w:rsidR="00FE286D" w:rsidRPr="000F1ECA">
        <w:rPr>
          <w:rFonts w:ascii="Arial" w:hAnsi="Arial" w:cs="Arial"/>
          <w:b/>
          <w:bCs/>
          <w:sz w:val="24"/>
          <w:szCs w:val="24"/>
        </w:rPr>
        <w:t xml:space="preserve">. </w:t>
      </w:r>
      <w:r w:rsidR="00FE286D">
        <w:rPr>
          <w:rFonts w:ascii="Arial" w:hAnsi="Arial" w:cs="Arial"/>
          <w:b/>
          <w:bCs/>
          <w:sz w:val="24"/>
          <w:szCs w:val="24"/>
        </w:rPr>
        <w:t>Post-immunization sera from Trianni mice inoculated with adjuvanted NIT211 do not bind mannosidase-trimmed oligomannose mimetic preferentially</w:t>
      </w:r>
      <w:r w:rsidR="00FE286D">
        <w:rPr>
          <w:rFonts w:ascii="Arial" w:hAnsi="Arial" w:cs="Arial"/>
          <w:b/>
          <w:sz w:val="24"/>
          <w:szCs w:val="24"/>
        </w:rPr>
        <w:t xml:space="preserve">. </w:t>
      </w:r>
      <w:r w:rsidR="00FE286D">
        <w:rPr>
          <w:rFonts w:ascii="Arial" w:hAnsi="Arial" w:cs="Arial"/>
          <w:bCs/>
          <w:sz w:val="24"/>
          <w:szCs w:val="24"/>
        </w:rPr>
        <w:t xml:space="preserve">Sera collected on day 119 at the end of the immunization series </w:t>
      </w:r>
      <w:r w:rsidR="00FE286D" w:rsidRPr="00587A8D">
        <w:rPr>
          <w:rFonts w:ascii="Arial" w:hAnsi="Arial" w:cs="Arial"/>
          <w:bCs/>
          <w:sz w:val="24"/>
          <w:szCs w:val="24"/>
        </w:rPr>
        <w:t xml:space="preserve">were assayed for binding to </w:t>
      </w:r>
      <w:r w:rsidR="00FE286D">
        <w:rPr>
          <w:rFonts w:ascii="Arial" w:hAnsi="Arial" w:cs="Arial"/>
          <w:bCs/>
          <w:sz w:val="24"/>
          <w:szCs w:val="24"/>
        </w:rPr>
        <w:t xml:space="preserve">the BSA-conjugated oligomannose mimetic </w:t>
      </w:r>
      <w:r w:rsidR="00FE286D" w:rsidRPr="00587A8D">
        <w:rPr>
          <w:rFonts w:ascii="Arial" w:hAnsi="Arial" w:cs="Arial"/>
          <w:bCs/>
          <w:sz w:val="24"/>
          <w:szCs w:val="24"/>
        </w:rPr>
        <w:t xml:space="preserve">after </w:t>
      </w:r>
      <w:r w:rsidR="00FE286D">
        <w:rPr>
          <w:rFonts w:ascii="Arial" w:hAnsi="Arial" w:cs="Arial"/>
          <w:bCs/>
          <w:sz w:val="24"/>
          <w:szCs w:val="24"/>
        </w:rPr>
        <w:t xml:space="preserve">overnight </w:t>
      </w:r>
      <w:r w:rsidR="00FE286D" w:rsidRPr="00587A8D">
        <w:rPr>
          <w:rFonts w:ascii="Arial" w:hAnsi="Arial" w:cs="Arial"/>
          <w:bCs/>
          <w:sz w:val="24"/>
          <w:szCs w:val="24"/>
        </w:rPr>
        <w:t xml:space="preserve">incubation of glycoconjugate-coated </w:t>
      </w:r>
      <w:r w:rsidR="00FE286D">
        <w:rPr>
          <w:rFonts w:ascii="Arial" w:hAnsi="Arial" w:cs="Arial"/>
          <w:bCs/>
          <w:sz w:val="24"/>
          <w:szCs w:val="24"/>
        </w:rPr>
        <w:t xml:space="preserve">ELISA plate </w:t>
      </w:r>
      <w:r w:rsidR="00FE286D" w:rsidRPr="00587A8D">
        <w:rPr>
          <w:rFonts w:ascii="Arial" w:hAnsi="Arial" w:cs="Arial"/>
          <w:bCs/>
          <w:sz w:val="24"/>
          <w:szCs w:val="24"/>
        </w:rPr>
        <w:t xml:space="preserve">wells with </w:t>
      </w:r>
      <w:r w:rsidR="00FE286D">
        <w:rPr>
          <w:rFonts w:ascii="Arial" w:hAnsi="Arial" w:cs="Arial"/>
          <w:bCs/>
          <w:sz w:val="24"/>
          <w:szCs w:val="24"/>
        </w:rPr>
        <w:t xml:space="preserve">untreated </w:t>
      </w:r>
      <w:r w:rsidR="00FE286D" w:rsidRPr="00587A8D">
        <w:rPr>
          <w:rFonts w:ascii="Arial" w:hAnsi="Arial" w:cs="Arial"/>
          <w:bCs/>
          <w:sz w:val="24"/>
          <w:szCs w:val="24"/>
        </w:rPr>
        <w:t>human serum</w:t>
      </w:r>
      <w:r w:rsidR="00FE286D">
        <w:rPr>
          <w:rFonts w:ascii="Arial" w:hAnsi="Arial" w:cs="Arial"/>
          <w:bCs/>
          <w:sz w:val="24"/>
          <w:szCs w:val="24"/>
        </w:rPr>
        <w:t xml:space="preserve"> (Sigma) to achieve mannosidase trimming </w:t>
      </w:r>
      <w:r w:rsidR="00FE286D" w:rsidRPr="004F1824">
        <w:rPr>
          <w:rFonts w:ascii="Arial" w:hAnsi="Arial" w:cs="Arial"/>
          <w:bCs/>
          <w:i/>
          <w:sz w:val="24"/>
          <w:szCs w:val="24"/>
        </w:rPr>
        <w:t>in situ</w:t>
      </w:r>
      <w:r w:rsidR="00F92FA5" w:rsidRPr="00F92FA5">
        <w:rPr>
          <w:rFonts w:ascii="Arial" w:hAnsi="Arial" w:cs="Arial"/>
          <w:bCs/>
          <w:sz w:val="24"/>
          <w:szCs w:val="24"/>
          <w:vertAlign w:val="superscript"/>
        </w:rPr>
        <w:t>19</w:t>
      </w:r>
      <w:r w:rsidR="00FE286D">
        <w:rPr>
          <w:rFonts w:ascii="Arial" w:hAnsi="Arial" w:cs="Arial"/>
          <w:bCs/>
          <w:sz w:val="24"/>
          <w:szCs w:val="24"/>
        </w:rPr>
        <w:t xml:space="preserve"> or with buffer control</w:t>
      </w:r>
      <w:r w:rsidR="00FE286D" w:rsidRPr="00587A8D">
        <w:rPr>
          <w:rFonts w:ascii="Arial" w:hAnsi="Arial" w:cs="Arial"/>
          <w:bCs/>
          <w:sz w:val="24"/>
          <w:szCs w:val="24"/>
        </w:rPr>
        <w:t>.</w:t>
      </w:r>
      <w:r w:rsidR="00FE286D">
        <w:rPr>
          <w:rFonts w:ascii="Arial" w:hAnsi="Arial" w:cs="Arial"/>
          <w:bCs/>
          <w:sz w:val="24"/>
          <w:szCs w:val="24"/>
        </w:rPr>
        <w:t xml:space="preserve"> (A) Binding of day 119 post-immunization sera from animals immunized with NIT211 adjuvanted with GLA-SE. (B) Binding of day 119 post-immunization sera from animals immunized with NIT211 adjuvanted with Alhydrogel and AddaVax, respectively. </w:t>
      </w:r>
      <w:r w:rsidR="00FE286D">
        <w:rPr>
          <w:rFonts w:ascii="Arial" w:hAnsi="Arial" w:cs="Arial"/>
          <w:sz w:val="24"/>
          <w:szCs w:val="24"/>
        </w:rPr>
        <w:t>All binding curves</w:t>
      </w:r>
      <w:r w:rsidR="00FE286D" w:rsidRPr="007545B4">
        <w:rPr>
          <w:rFonts w:ascii="Arial" w:hAnsi="Arial" w:cs="Arial"/>
          <w:sz w:val="24"/>
          <w:szCs w:val="24"/>
        </w:rPr>
        <w:t xml:space="preserve"> depict </w:t>
      </w:r>
      <w:r w:rsidR="00FE286D" w:rsidRPr="00CD1954">
        <w:rPr>
          <w:rFonts w:ascii="Arial" w:hAnsi="Arial" w:cs="Arial"/>
          <w:sz w:val="24"/>
          <w:szCs w:val="24"/>
        </w:rPr>
        <w:t xml:space="preserve">geometric </w:t>
      </w:r>
      <w:r w:rsidR="00FE286D" w:rsidRPr="007545B4">
        <w:rPr>
          <w:rFonts w:ascii="Arial" w:hAnsi="Arial" w:cs="Arial"/>
          <w:sz w:val="24"/>
          <w:szCs w:val="24"/>
        </w:rPr>
        <w:t xml:space="preserve">mean values for the five serum samples from each </w:t>
      </w:r>
      <w:r w:rsidR="00FE286D">
        <w:rPr>
          <w:rFonts w:ascii="Arial" w:hAnsi="Arial" w:cs="Arial"/>
          <w:sz w:val="24"/>
          <w:szCs w:val="24"/>
        </w:rPr>
        <w:t xml:space="preserve">immunization </w:t>
      </w:r>
      <w:r w:rsidR="00FE286D" w:rsidRPr="007545B4">
        <w:rPr>
          <w:rFonts w:ascii="Arial" w:hAnsi="Arial" w:cs="Arial"/>
          <w:sz w:val="24"/>
          <w:szCs w:val="24"/>
        </w:rPr>
        <w:t>group</w:t>
      </w:r>
      <w:r w:rsidR="00FE286D" w:rsidRPr="00CD1954">
        <w:rPr>
          <w:rFonts w:ascii="Arial" w:hAnsi="Arial" w:cs="Arial"/>
          <w:sz w:val="24"/>
          <w:szCs w:val="24"/>
        </w:rPr>
        <w:t xml:space="preserve">, each assayed in duplicate, with error bars denoting the standard </w:t>
      </w:r>
      <w:r w:rsidR="00FE286D">
        <w:rPr>
          <w:rFonts w:ascii="Arial" w:hAnsi="Arial" w:cs="Arial"/>
          <w:sz w:val="24"/>
          <w:szCs w:val="24"/>
        </w:rPr>
        <w:t>error</w:t>
      </w:r>
      <w:r w:rsidR="00FE286D" w:rsidRPr="00CD1954">
        <w:rPr>
          <w:rFonts w:ascii="Arial" w:hAnsi="Arial" w:cs="Arial"/>
          <w:sz w:val="24"/>
          <w:szCs w:val="24"/>
        </w:rPr>
        <w:t xml:space="preserve"> from the mean.</w:t>
      </w:r>
    </w:p>
    <w:p w14:paraId="3297067E" w14:textId="77777777" w:rsidR="001C6FCA" w:rsidRDefault="00592BAD"/>
    <w:sectPr w:rsidR="001C6FCA" w:rsidSect="00B1442D">
      <w:footerReference w:type="default" r:id="rId13"/>
      <w:pgSz w:w="12240" w:h="15840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B6B816" w14:textId="77777777" w:rsidR="005031B9" w:rsidRDefault="00F92FA5">
      <w:pPr>
        <w:spacing w:after="0" w:line="240" w:lineRule="auto"/>
      </w:pPr>
      <w:r>
        <w:separator/>
      </w:r>
    </w:p>
  </w:endnote>
  <w:endnote w:type="continuationSeparator" w:id="0">
    <w:p w14:paraId="0C6A7008" w14:textId="77777777" w:rsidR="005031B9" w:rsidRDefault="00F92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2876572"/>
      <w:docPartObj>
        <w:docPartGallery w:val="Page Numbers (Bottom of Page)"/>
        <w:docPartUnique/>
      </w:docPartObj>
    </w:sdtPr>
    <w:sdtEndPr/>
    <w:sdtContent>
      <w:p w14:paraId="620710DC" w14:textId="2CF50439" w:rsidR="003029A4" w:rsidRDefault="00BB6FE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2BAD" w:rsidRPr="00592BAD">
          <w:rPr>
            <w:noProof/>
            <w:lang w:val="fr-FR"/>
          </w:rPr>
          <w:t>6</w:t>
        </w:r>
        <w:r>
          <w:fldChar w:fldCharType="end"/>
        </w:r>
      </w:p>
    </w:sdtContent>
  </w:sdt>
  <w:p w14:paraId="441EB8B0" w14:textId="77777777" w:rsidR="003029A4" w:rsidRDefault="00592B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85FEAE" w14:textId="77777777" w:rsidR="005031B9" w:rsidRDefault="00F92FA5">
      <w:pPr>
        <w:spacing w:after="0" w:line="240" w:lineRule="auto"/>
      </w:pPr>
      <w:r>
        <w:separator/>
      </w:r>
    </w:p>
  </w:footnote>
  <w:footnote w:type="continuationSeparator" w:id="0">
    <w:p w14:paraId="680EC6ED" w14:textId="77777777" w:rsidR="005031B9" w:rsidRDefault="00F92F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CA" w:vendorID="64" w:dllVersion="131078" w:nlCheck="1" w:checkStyle="1"/>
  <w:activeWritingStyle w:appName="MSWord" w:lang="fr-CA" w:vendorID="64" w:dllVersion="131078" w:nlCheck="1" w:checkStyle="0"/>
  <w:activeWritingStyle w:appName="MSWord" w:lang="en-US" w:vendorID="64" w:dllVersion="131078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86D"/>
    <w:rsid w:val="00483297"/>
    <w:rsid w:val="005031B9"/>
    <w:rsid w:val="00592BAD"/>
    <w:rsid w:val="00610D55"/>
    <w:rsid w:val="00BB6FEC"/>
    <w:rsid w:val="00E363E8"/>
    <w:rsid w:val="00F92FA5"/>
    <w:rsid w:val="00FB6539"/>
    <w:rsid w:val="00FE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7725F"/>
  <w15:chartTrackingRefBased/>
  <w15:docId w15:val="{F30ACAF6-79B3-4797-8651-86BAC2E00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86D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E286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286D"/>
    <w:rPr>
      <w:lang w:val="en-CA"/>
    </w:rPr>
  </w:style>
  <w:style w:type="character" w:styleId="LineNumber">
    <w:name w:val="line number"/>
    <w:basedOn w:val="DefaultParagraphFont"/>
    <w:uiPriority w:val="99"/>
    <w:semiHidden/>
    <w:unhideWhenUsed/>
    <w:rsid w:val="00FE286D"/>
  </w:style>
  <w:style w:type="paragraph" w:styleId="BalloonText">
    <w:name w:val="Balloon Text"/>
    <w:basedOn w:val="Normal"/>
    <w:link w:val="BalloonTextChar"/>
    <w:uiPriority w:val="99"/>
    <w:semiHidden/>
    <w:unhideWhenUsed/>
    <w:rsid w:val="00BB6F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FEC"/>
    <w:rPr>
      <w:rFonts w:ascii="Segoe UI" w:hAnsi="Segoe UI" w:cs="Segoe UI"/>
      <w:sz w:val="18"/>
      <w:szCs w:val="18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FB65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65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6539"/>
    <w:rPr>
      <w:sz w:val="20"/>
      <w:szCs w:val="20"/>
      <w:lang w:val="en-CA"/>
    </w:rPr>
  </w:style>
  <w:style w:type="paragraph" w:styleId="NormalWeb">
    <w:name w:val="Normal (Web)"/>
    <w:basedOn w:val="Normal"/>
    <w:uiPriority w:val="99"/>
    <w:unhideWhenUsed/>
    <w:rsid w:val="00FB6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CA" w:eastAsia="fr-CA"/>
    </w:rPr>
  </w:style>
  <w:style w:type="character" w:styleId="Hyperlink">
    <w:name w:val="Hyperlink"/>
    <w:basedOn w:val="DefaultParagraphFont"/>
    <w:uiPriority w:val="99"/>
    <w:unhideWhenUsed/>
    <w:rsid w:val="00FB65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rpantophlet@sfu.ca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Simon Fraser University</Company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Jean-Francois Bruxelle</dc:creator>
  <cp:keywords/>
  <dc:description/>
  <cp:lastModifiedBy>Jean-Francois Bruxelle</cp:lastModifiedBy>
  <cp:revision>6</cp:revision>
  <cp:lastPrinted>2020-12-08T01:17:00Z</cp:lastPrinted>
  <dcterms:created xsi:type="dcterms:W3CDTF">2020-12-08T01:12:00Z</dcterms:created>
  <dcterms:modified xsi:type="dcterms:W3CDTF">2021-01-04T19:49:00Z</dcterms:modified>
</cp:coreProperties>
</file>