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150" w:rsidRDefault="00822FB5" w:rsidP="00E34168">
      <w:pPr>
        <w:snapToGrid w:val="0"/>
        <w:spacing w:after="0" w:line="36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  <w:r>
        <w:rPr>
          <w:rFonts w:ascii="Times New Roman" w:eastAsia="新細明體" w:hAnsi="Times New Roman" w:cs="Times New Roman"/>
          <w:b/>
          <w:kern w:val="2"/>
          <w:sz w:val="28"/>
          <w:szCs w:val="28"/>
        </w:rPr>
        <w:t>B</w:t>
      </w:r>
      <w:r w:rsidRPr="0041487F">
        <w:rPr>
          <w:rFonts w:ascii="Times New Roman" w:eastAsia="新細明體" w:hAnsi="Times New Roman" w:cs="Times New Roman"/>
          <w:b/>
          <w:kern w:val="2"/>
          <w:sz w:val="28"/>
          <w:szCs w:val="28"/>
        </w:rPr>
        <w:t xml:space="preserve">ile duct stone size may influence the efficacy of endoscopic sphincterotomy with or without large-balloon dilation </w:t>
      </w:r>
      <w:r>
        <w:rPr>
          <w:rFonts w:ascii="Times New Roman" w:eastAsia="新細明體" w:hAnsi="Times New Roman" w:cs="Times New Roman"/>
          <w:b/>
          <w:kern w:val="2"/>
          <w:sz w:val="28"/>
          <w:szCs w:val="28"/>
        </w:rPr>
        <w:t xml:space="preserve">- </w:t>
      </w:r>
      <w:r w:rsidRPr="0041487F">
        <w:rPr>
          <w:rFonts w:ascii="Times New Roman" w:eastAsia="新細明體" w:hAnsi="Times New Roman" w:cs="Times New Roman"/>
          <w:b/>
          <w:kern w:val="2"/>
          <w:sz w:val="28"/>
          <w:szCs w:val="28"/>
        </w:rPr>
        <w:t>A meta-analysis</w:t>
      </w:r>
    </w:p>
    <w:p w:rsidR="00826150" w:rsidRDefault="00826150">
      <w:pPr>
        <w:spacing w:after="0" w:line="240" w:lineRule="auto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6150" w:rsidRDefault="00826150" w:rsidP="00826150">
      <w:pPr>
        <w:spacing w:after="0" w:line="24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  <w:r w:rsidRPr="00826150">
        <w:rPr>
          <w:rFonts w:ascii="Times New Roman" w:eastAsia="新細明體" w:hAnsi="Times New Roman" w:cs="Times New Roman"/>
          <w:b/>
          <w:kern w:val="2"/>
          <w:sz w:val="28"/>
          <w:szCs w:val="28"/>
        </w:rPr>
        <w:t>Supplemental materia</w:t>
      </w:r>
      <w:r>
        <w:rPr>
          <w:rFonts w:ascii="Times New Roman" w:eastAsia="新細明體" w:hAnsi="Times New Roman" w:cs="Times New Roman"/>
          <w:b/>
          <w:kern w:val="2"/>
          <w:sz w:val="28"/>
          <w:szCs w:val="28"/>
        </w:rPr>
        <w:t>l</w:t>
      </w:r>
    </w:p>
    <w:p w:rsidR="00826150" w:rsidRDefault="00826150" w:rsidP="00826150">
      <w:pPr>
        <w:pStyle w:val="EndNoteBibliography"/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6150" w:rsidRPr="00826150" w:rsidRDefault="00826150" w:rsidP="00826150">
      <w:pPr>
        <w:pStyle w:val="EndNoteBibliography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26150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826150">
        <w:rPr>
          <w:rFonts w:ascii="Times New Roman" w:hAnsi="Times New Roman" w:cs="Times New Roman"/>
          <w:sz w:val="24"/>
          <w:szCs w:val="24"/>
        </w:rPr>
        <w:t xml:space="preserve"> </w:t>
      </w:r>
      <w:r w:rsidRPr="00826150">
        <w:rPr>
          <w:rFonts w:ascii="Times New Roman" w:hAnsi="Times New Roman" w:cs="Times New Roman"/>
          <w:b/>
          <w:sz w:val="24"/>
          <w:szCs w:val="24"/>
        </w:rPr>
        <w:t>Pooled Rate Ratio for Procedure Time in RCT and non-RCT Analysis (left panel) and Subgroup Analysis (right panel) of EPT+EPBD vs EPT in Removing CBD Stones</w:t>
      </w:r>
    </w:p>
    <w:p w:rsidR="00826150" w:rsidRPr="00826150" w:rsidRDefault="00826150" w:rsidP="00826150">
      <w:pPr>
        <w:pStyle w:val="EndNoteBibliography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26150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826150">
        <w:rPr>
          <w:rFonts w:ascii="Times New Roman" w:hAnsi="Times New Roman" w:cs="Times New Roman"/>
          <w:sz w:val="24"/>
          <w:szCs w:val="24"/>
        </w:rPr>
        <w:t xml:space="preserve"> </w:t>
      </w:r>
      <w:r w:rsidRPr="00826150">
        <w:rPr>
          <w:rFonts w:ascii="Times New Roman" w:hAnsi="Times New Roman" w:cs="Times New Roman"/>
          <w:b/>
          <w:sz w:val="24"/>
          <w:szCs w:val="24"/>
        </w:rPr>
        <w:t>Pooled Rate Ratio for Subgroup Analysis according CBD stone size in Mechanical Lithotripsy Usage Rate of EPT+EPBD vs EPT in CBD Stones in the RCTs (A) and non-RCTs(B)</w:t>
      </w:r>
    </w:p>
    <w:p w:rsidR="00826150" w:rsidRPr="00826150" w:rsidRDefault="00826150" w:rsidP="00826150">
      <w:pPr>
        <w:pStyle w:val="EndNoteBibliography"/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2615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826150">
        <w:rPr>
          <w:rFonts w:ascii="Times New Roman" w:hAnsi="Times New Roman" w:cs="Times New Roman"/>
          <w:b/>
          <w:sz w:val="24"/>
          <w:szCs w:val="24"/>
        </w:rPr>
        <w:t>S3. Risk of Bias Summary. Two scoring systems were used to qualify and assess bias of the included articles; the Cochrane Risk of Bias assessment tool for RCTs (left panel), and the modified Newcastle-Ottawa Scale (NOS) according to Cummel 2010 for non-RCTs (right panel)</w:t>
      </w:r>
    </w:p>
    <w:p w:rsidR="00826150" w:rsidRPr="00826150" w:rsidRDefault="00826150" w:rsidP="00826150">
      <w:pPr>
        <w:snapToGrid w:val="0"/>
        <w:spacing w:after="0" w:line="360" w:lineRule="auto"/>
        <w:rPr>
          <w:rFonts w:ascii="Times New Roman" w:eastAsia="新細明體" w:hAnsi="Times New Roman" w:cs="Times New Roman"/>
          <w:b/>
          <w:kern w:val="2"/>
          <w:sz w:val="24"/>
          <w:szCs w:val="24"/>
        </w:rPr>
      </w:pPr>
      <w:r w:rsidRPr="00826150">
        <w:rPr>
          <w:rFonts w:ascii="Times New Roman" w:eastAsia="新細明體" w:hAnsi="Times New Roman" w:cs="Times New Roman"/>
          <w:b/>
          <w:bCs/>
          <w:kern w:val="2"/>
          <w:sz w:val="24"/>
          <w:szCs w:val="24"/>
        </w:rPr>
        <w:t>Figure S4.</w:t>
      </w:r>
      <w:r w:rsidRPr="00826150">
        <w:rPr>
          <w:rFonts w:ascii="Times New Roman" w:eastAsia="新細明體" w:hAnsi="Times New Roman" w:cs="Times New Roman"/>
          <w:kern w:val="2"/>
          <w:sz w:val="24"/>
          <w:szCs w:val="24"/>
        </w:rPr>
        <w:t xml:space="preserve"> </w:t>
      </w:r>
      <w:r w:rsidRPr="00826150">
        <w:rPr>
          <w:rFonts w:ascii="Times New Roman" w:eastAsia="新細明體" w:hAnsi="Times New Roman" w:cs="Times New Roman"/>
          <w:b/>
          <w:kern w:val="2"/>
          <w:sz w:val="24"/>
          <w:szCs w:val="24"/>
        </w:rPr>
        <w:t>Pooled Rate Ratio for Publication Bias of EPT+EPBD vs EPT in RCTs and non-RCTs (right panel) Analysis</w:t>
      </w:r>
    </w:p>
    <w:p w:rsidR="00826150" w:rsidRPr="00826150" w:rsidRDefault="00826150" w:rsidP="00826150">
      <w:pPr>
        <w:pStyle w:val="EndNoteBibliography"/>
        <w:snapToGrid w:val="0"/>
      </w:pPr>
    </w:p>
    <w:p w:rsidR="00826150" w:rsidRPr="00826150" w:rsidRDefault="00826150" w:rsidP="00826150">
      <w:pPr>
        <w:pStyle w:val="EndNoteBibliography"/>
        <w:snapToGrid w:val="0"/>
        <w:rPr>
          <w:rFonts w:ascii="Times New Roman" w:hAnsi="Times New Roman" w:cs="Times New Roman"/>
          <w:b/>
          <w:sz w:val="24"/>
        </w:rPr>
      </w:pPr>
    </w:p>
    <w:p w:rsidR="00826150" w:rsidRPr="00826150" w:rsidRDefault="00826150" w:rsidP="00826150">
      <w:pPr>
        <w:pStyle w:val="EndNoteBibliography"/>
        <w:snapToGrid w:val="0"/>
      </w:pPr>
    </w:p>
    <w:p w:rsidR="00826150" w:rsidRPr="00826150" w:rsidRDefault="00826150" w:rsidP="00826150">
      <w:pPr>
        <w:spacing w:after="0" w:line="24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6150" w:rsidRDefault="00826150" w:rsidP="00826150">
      <w:pPr>
        <w:spacing w:after="0" w:line="24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6150" w:rsidRDefault="00826150" w:rsidP="00826150">
      <w:pPr>
        <w:spacing w:after="0" w:line="24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6150" w:rsidRDefault="00826150">
      <w:pPr>
        <w:spacing w:after="0" w:line="240" w:lineRule="auto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2FB5" w:rsidRPr="0041487F" w:rsidRDefault="00822FB5" w:rsidP="00822FB5">
      <w:pPr>
        <w:spacing w:after="0" w:line="480" w:lineRule="auto"/>
        <w:jc w:val="center"/>
        <w:rPr>
          <w:rFonts w:ascii="Times New Roman" w:eastAsia="新細明體" w:hAnsi="Times New Roman" w:cs="Times New Roman"/>
          <w:b/>
          <w:kern w:val="2"/>
          <w:sz w:val="28"/>
          <w:szCs w:val="28"/>
        </w:rPr>
      </w:pPr>
    </w:p>
    <w:p w:rsidR="00826150" w:rsidRDefault="00822FB5" w:rsidP="00822FB5">
      <w:pPr>
        <w:spacing w:after="0" w:line="480" w:lineRule="auto"/>
        <w:rPr>
          <w:rFonts w:ascii="Times New Roman" w:eastAsia="新細明體" w:hAnsi="Times New Roman" w:cs="Times New Roman"/>
          <w:kern w:val="2"/>
          <w:sz w:val="36"/>
          <w:szCs w:val="36"/>
        </w:rPr>
      </w:pPr>
      <w:r w:rsidRPr="00980967">
        <w:rPr>
          <w:rFonts w:ascii="Times New Roman" w:eastAsia="新細明體" w:hAnsi="Times New Roman" w:cs="Times New Roman"/>
          <w:kern w:val="2"/>
          <w:sz w:val="36"/>
          <w:szCs w:val="36"/>
        </w:rPr>
        <w:t xml:space="preserve"> </w:t>
      </w:r>
    </w:p>
    <w:p w:rsidR="00826150" w:rsidRDefault="00826150">
      <w:pPr>
        <w:spacing w:after="0" w:line="240" w:lineRule="auto"/>
        <w:rPr>
          <w:rFonts w:ascii="Times New Roman" w:eastAsia="新細明體" w:hAnsi="Times New Roman" w:cs="Times New Roman"/>
          <w:kern w:val="2"/>
          <w:sz w:val="36"/>
          <w:szCs w:val="36"/>
        </w:rPr>
      </w:pPr>
      <w:r>
        <w:rPr>
          <w:rFonts w:ascii="Times New Roman" w:eastAsia="新細明體" w:hAnsi="Times New Roman" w:cs="Times New Roman"/>
          <w:kern w:val="2"/>
          <w:sz w:val="36"/>
          <w:szCs w:val="36"/>
        </w:rPr>
        <w:br w:type="page"/>
      </w:r>
    </w:p>
    <w:tbl>
      <w:tblPr>
        <w:tblStyle w:val="a7"/>
        <w:tblW w:w="10632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245"/>
      </w:tblGrid>
      <w:tr w:rsidR="00B747BF" w:rsidTr="00B6581D">
        <w:tc>
          <w:tcPr>
            <w:tcW w:w="5387" w:type="dxa"/>
          </w:tcPr>
          <w:p w:rsidR="00B747BF" w:rsidRPr="00B747BF" w:rsidRDefault="00B747BF" w:rsidP="00B747BF">
            <w:pPr>
              <w:snapToGrid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lastRenderedPageBreak/>
              <w:t xml:space="preserve">Fig S1A </w:t>
            </w:r>
            <w:r w:rsidRPr="001C5F76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>Procedure Time in RCT and non-RCT Analysis</w:t>
            </w:r>
          </w:p>
        </w:tc>
        <w:tc>
          <w:tcPr>
            <w:tcW w:w="5245" w:type="dxa"/>
          </w:tcPr>
          <w:p w:rsidR="00B747BF" w:rsidRPr="00B747BF" w:rsidRDefault="00B747BF" w:rsidP="00B747BF">
            <w:pPr>
              <w:snapToGrid w:val="0"/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 xml:space="preserve">Fig S1B </w:t>
            </w:r>
            <w:r w:rsidRPr="001C5F76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 xml:space="preserve">Procedure Time in </w:t>
            </w:r>
            <w:r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>Subgroup</w:t>
            </w:r>
          </w:p>
        </w:tc>
      </w:tr>
      <w:tr w:rsidR="00B747BF" w:rsidTr="00B6581D">
        <w:trPr>
          <w:trHeight w:val="4335"/>
        </w:trPr>
        <w:tc>
          <w:tcPr>
            <w:tcW w:w="5387" w:type="dxa"/>
          </w:tcPr>
          <w:p w:rsidR="00B747BF" w:rsidRDefault="00F1599B" w:rsidP="00527BBF">
            <w:pPr>
              <w:spacing w:after="0" w:line="480" w:lineRule="auto"/>
              <w:ind w:leftChars="-49" w:hangingChars="49" w:hanging="108"/>
            </w:pPr>
            <w:r>
              <w:rPr>
                <w:noProof/>
              </w:rPr>
              <w:drawing>
                <wp:inline distT="0" distB="0" distL="0" distR="0" wp14:anchorId="7D70EEC7" wp14:editId="4A5384FD">
                  <wp:extent cx="3404870" cy="2644923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7497" cy="2654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B747BF" w:rsidRPr="002321D2" w:rsidRDefault="00F1599B" w:rsidP="00527BBF">
            <w:pPr>
              <w:tabs>
                <w:tab w:val="left" w:pos="1882"/>
              </w:tabs>
              <w:snapToGrid w:val="0"/>
              <w:spacing w:after="0" w:line="240" w:lineRule="auto"/>
              <w:ind w:leftChars="-49" w:hangingChars="49" w:hanging="108"/>
              <w:rPr>
                <w:sz w:val="6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62C1BE8E" wp14:editId="3DB82747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45720</wp:posOffset>
                  </wp:positionV>
                  <wp:extent cx="3332480" cy="2632075"/>
                  <wp:effectExtent l="0" t="0" r="1270" b="0"/>
                  <wp:wrapTight wrapText="bothSides">
                    <wp:wrapPolygon edited="0">
                      <wp:start x="0" y="0"/>
                      <wp:lineTo x="0" y="21418"/>
                      <wp:lineTo x="21485" y="21418"/>
                      <wp:lineTo x="21485" y="0"/>
                      <wp:lineTo x="0" y="0"/>
                    </wp:wrapPolygon>
                  </wp:wrapTight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2480" cy="263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47BF">
              <w:tab/>
            </w:r>
          </w:p>
        </w:tc>
      </w:tr>
      <w:tr w:rsidR="00B747BF" w:rsidRPr="003024AA" w:rsidTr="00B6581D">
        <w:tc>
          <w:tcPr>
            <w:tcW w:w="5387" w:type="dxa"/>
          </w:tcPr>
          <w:p w:rsidR="00B747BF" w:rsidRPr="003024AA" w:rsidRDefault="00B747BF" w:rsidP="00B747BF">
            <w:pPr>
              <w:snapToGrid w:val="0"/>
              <w:spacing w:after="0" w:line="240" w:lineRule="auto"/>
              <w:ind w:firstLineChars="500" w:firstLine="900"/>
              <w:rPr>
                <w:sz w:val="18"/>
              </w:rPr>
            </w:pPr>
            <w:r w:rsidRPr="002E0B8D">
              <w:rPr>
                <w:sz w:val="18"/>
              </w:rPr>
              <w:t xml:space="preserve">Favor EPT+EPBD </w:t>
            </w:r>
            <w:r>
              <w:rPr>
                <w:sz w:val="18"/>
              </w:rPr>
              <w:t xml:space="preserve">      </w:t>
            </w:r>
            <w:r w:rsidRPr="002E0B8D">
              <w:rPr>
                <w:sz w:val="18"/>
              </w:rPr>
              <w:t xml:space="preserve">Favor EPT </w:t>
            </w:r>
            <w:r>
              <w:rPr>
                <w:sz w:val="18"/>
              </w:rPr>
              <w:t xml:space="preserve">          </w:t>
            </w:r>
          </w:p>
        </w:tc>
        <w:tc>
          <w:tcPr>
            <w:tcW w:w="5245" w:type="dxa"/>
          </w:tcPr>
          <w:p w:rsidR="00B747BF" w:rsidRPr="003024AA" w:rsidRDefault="00B747BF" w:rsidP="00F1599B">
            <w:pPr>
              <w:snapToGrid w:val="0"/>
              <w:spacing w:after="0" w:line="240" w:lineRule="auto"/>
              <w:ind w:firstLineChars="550" w:firstLine="990"/>
              <w:rPr>
                <w:sz w:val="18"/>
              </w:rPr>
            </w:pPr>
            <w:r w:rsidRPr="002E0B8D">
              <w:rPr>
                <w:sz w:val="18"/>
              </w:rPr>
              <w:t xml:space="preserve">Favor EPT+EPBD </w:t>
            </w:r>
            <w:r>
              <w:rPr>
                <w:sz w:val="18"/>
              </w:rPr>
              <w:t xml:space="preserve">      </w:t>
            </w:r>
            <w:r w:rsidRPr="002E0B8D">
              <w:rPr>
                <w:sz w:val="18"/>
              </w:rPr>
              <w:t xml:space="preserve">Favor EPT </w:t>
            </w:r>
            <w:r>
              <w:rPr>
                <w:sz w:val="18"/>
              </w:rPr>
              <w:t xml:space="preserve">   </w:t>
            </w:r>
          </w:p>
        </w:tc>
      </w:tr>
    </w:tbl>
    <w:p w:rsidR="00DF7404" w:rsidRPr="00230792" w:rsidRDefault="00DF7404" w:rsidP="00DF7404">
      <w:pPr>
        <w:snapToGrid w:val="0"/>
        <w:spacing w:after="0" w:line="240" w:lineRule="auto"/>
        <w:rPr>
          <w:rFonts w:ascii="Times New Roman" w:eastAsia="新細明體" w:hAnsi="Times New Roman" w:cs="Times New Roman"/>
          <w:b/>
          <w:kern w:val="2"/>
          <w:sz w:val="24"/>
        </w:rPr>
      </w:pPr>
    </w:p>
    <w:p w:rsidR="00DF7404" w:rsidRDefault="00635350" w:rsidP="00635350">
      <w:pPr>
        <w:pStyle w:val="EndNoteBibliography"/>
        <w:snapToGrid w:val="0"/>
      </w:pPr>
      <w:r w:rsidRPr="00743BE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743BE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43BE0">
        <w:rPr>
          <w:rFonts w:ascii="Times New Roman" w:hAnsi="Times New Roman" w:cs="Times New Roman"/>
          <w:sz w:val="24"/>
          <w:szCs w:val="24"/>
        </w:rPr>
        <w:t xml:space="preserve"> </w:t>
      </w:r>
      <w:r w:rsidRPr="00A32DBD">
        <w:rPr>
          <w:rFonts w:ascii="Times New Roman" w:hAnsi="Times New Roman" w:cs="Times New Roman"/>
          <w:b/>
          <w:sz w:val="24"/>
          <w:szCs w:val="24"/>
        </w:rPr>
        <w:t>Pooled</w:t>
      </w:r>
      <w:r>
        <w:rPr>
          <w:rFonts w:ascii="Times New Roman" w:hAnsi="Times New Roman" w:cs="Times New Roman"/>
          <w:b/>
          <w:sz w:val="24"/>
        </w:rPr>
        <w:t xml:space="preserve"> Rate Ratio for </w:t>
      </w:r>
      <w:r w:rsidRPr="00A32DBD">
        <w:rPr>
          <w:rFonts w:ascii="Times New Roman" w:hAnsi="Times New Roman" w:cs="Times New Roman"/>
          <w:b/>
          <w:sz w:val="24"/>
        </w:rPr>
        <w:t xml:space="preserve">Procedure </w:t>
      </w:r>
      <w:r>
        <w:rPr>
          <w:rFonts w:ascii="Times New Roman" w:hAnsi="Times New Roman" w:cs="Times New Roman"/>
          <w:b/>
          <w:sz w:val="24"/>
        </w:rPr>
        <w:t>T</w:t>
      </w:r>
      <w:r w:rsidRPr="00A32DBD">
        <w:rPr>
          <w:rFonts w:ascii="Times New Roman" w:hAnsi="Times New Roman" w:cs="Times New Roman"/>
          <w:b/>
          <w:sz w:val="24"/>
        </w:rPr>
        <w:t xml:space="preserve">ime in RCT and non-RCT </w:t>
      </w:r>
      <w:r>
        <w:rPr>
          <w:rFonts w:ascii="Times New Roman" w:hAnsi="Times New Roman" w:cs="Times New Roman"/>
          <w:b/>
          <w:sz w:val="24"/>
        </w:rPr>
        <w:t>A</w:t>
      </w:r>
      <w:r w:rsidRPr="00A32DBD">
        <w:rPr>
          <w:rFonts w:ascii="Times New Roman" w:hAnsi="Times New Roman" w:cs="Times New Roman"/>
          <w:b/>
          <w:sz w:val="24"/>
        </w:rPr>
        <w:t>nalysis (left panel) and</w:t>
      </w:r>
      <w:r>
        <w:rPr>
          <w:rFonts w:ascii="Times New Roman" w:hAnsi="Times New Roman" w:cs="Times New Roman"/>
          <w:b/>
          <w:sz w:val="24"/>
        </w:rPr>
        <w:t xml:space="preserve"> S</w:t>
      </w:r>
      <w:r w:rsidRPr="00A32DBD">
        <w:rPr>
          <w:rFonts w:ascii="Times New Roman" w:hAnsi="Times New Roman" w:cs="Times New Roman"/>
          <w:b/>
          <w:sz w:val="24"/>
        </w:rPr>
        <w:t xml:space="preserve">ubgroup </w:t>
      </w:r>
      <w:r>
        <w:rPr>
          <w:rFonts w:ascii="Times New Roman" w:hAnsi="Times New Roman" w:cs="Times New Roman"/>
          <w:b/>
          <w:sz w:val="24"/>
        </w:rPr>
        <w:t>A</w:t>
      </w:r>
      <w:r w:rsidRPr="00A32DBD">
        <w:rPr>
          <w:rFonts w:ascii="Times New Roman" w:hAnsi="Times New Roman" w:cs="Times New Roman"/>
          <w:b/>
          <w:sz w:val="24"/>
        </w:rPr>
        <w:t xml:space="preserve">nalysis (right panel) of </w:t>
      </w:r>
      <w:r>
        <w:rPr>
          <w:rFonts w:ascii="Times New Roman" w:hAnsi="Times New Roman" w:cs="Times New Roman"/>
          <w:b/>
          <w:sz w:val="24"/>
        </w:rPr>
        <w:t xml:space="preserve">EPT+EPBD </w:t>
      </w:r>
      <w:r w:rsidRPr="00A32DBD">
        <w:rPr>
          <w:rFonts w:ascii="Times New Roman" w:hAnsi="Times New Roman" w:cs="Times New Roman"/>
          <w:b/>
          <w:sz w:val="24"/>
        </w:rPr>
        <w:t>vs E</w:t>
      </w:r>
      <w:r>
        <w:rPr>
          <w:rFonts w:ascii="Times New Roman" w:hAnsi="Times New Roman" w:cs="Times New Roman"/>
          <w:b/>
          <w:sz w:val="24"/>
        </w:rPr>
        <w:t>P</w:t>
      </w:r>
      <w:r w:rsidRPr="00A32DBD">
        <w:rPr>
          <w:rFonts w:ascii="Times New Roman" w:hAnsi="Times New Roman" w:cs="Times New Roman"/>
          <w:b/>
          <w:sz w:val="24"/>
        </w:rPr>
        <w:t xml:space="preserve">T in </w:t>
      </w:r>
      <w:r>
        <w:rPr>
          <w:rFonts w:ascii="Times New Roman" w:hAnsi="Times New Roman" w:cs="Times New Roman"/>
          <w:b/>
          <w:sz w:val="24"/>
        </w:rPr>
        <w:t>R</w:t>
      </w:r>
      <w:r w:rsidRPr="00A32DBD">
        <w:rPr>
          <w:rFonts w:ascii="Times New Roman" w:hAnsi="Times New Roman" w:cs="Times New Roman"/>
          <w:b/>
          <w:sz w:val="24"/>
        </w:rPr>
        <w:t>emov</w:t>
      </w:r>
      <w:r>
        <w:rPr>
          <w:rFonts w:ascii="Times New Roman" w:hAnsi="Times New Roman" w:cs="Times New Roman"/>
          <w:b/>
          <w:sz w:val="24"/>
        </w:rPr>
        <w:t>ing</w:t>
      </w:r>
      <w:r w:rsidRPr="00A32DBD">
        <w:rPr>
          <w:rFonts w:ascii="Times New Roman" w:hAnsi="Times New Roman" w:cs="Times New Roman"/>
          <w:b/>
          <w:sz w:val="24"/>
        </w:rPr>
        <w:t xml:space="preserve"> CBD </w:t>
      </w:r>
      <w:r>
        <w:rPr>
          <w:rFonts w:ascii="Times New Roman" w:hAnsi="Times New Roman" w:cs="Times New Roman"/>
          <w:b/>
          <w:sz w:val="24"/>
        </w:rPr>
        <w:t>Stones</w:t>
      </w:r>
    </w:p>
    <w:p w:rsidR="00FD0C69" w:rsidRDefault="00FD0C69" w:rsidP="00C02F36">
      <w:pPr>
        <w:pStyle w:val="EndNoteBibliography"/>
        <w:snapToGrid w:val="0"/>
        <w:spacing w:line="360" w:lineRule="auto"/>
      </w:pPr>
    </w:p>
    <w:p w:rsidR="0070428B" w:rsidRDefault="0070428B">
      <w:pPr>
        <w:spacing w:after="0" w:line="240" w:lineRule="auto"/>
        <w:rPr>
          <w:rFonts w:ascii="Calibri" w:eastAsia="新細明體" w:hAnsi="Calibri" w:cs="Calibri"/>
          <w:noProof/>
          <w:kern w:val="2"/>
        </w:rPr>
      </w:pPr>
      <w:r>
        <w:br w:type="page"/>
      </w:r>
    </w:p>
    <w:tbl>
      <w:tblPr>
        <w:tblStyle w:val="a7"/>
        <w:tblW w:w="10632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245"/>
      </w:tblGrid>
      <w:tr w:rsidR="001B10DE" w:rsidTr="00B6581D">
        <w:tc>
          <w:tcPr>
            <w:tcW w:w="5387" w:type="dxa"/>
          </w:tcPr>
          <w:p w:rsidR="00AF3D55" w:rsidRDefault="001B10DE" w:rsidP="00527BBF">
            <w:pPr>
              <w:snapToGrid w:val="0"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b/>
                <w:kern w:val="2"/>
                <w:sz w:val="20"/>
                <w:szCs w:val="16"/>
              </w:rPr>
            </w:pPr>
            <w:bookmarkStart w:id="0" w:name="_Hlk64501669"/>
            <w:bookmarkStart w:id="1" w:name="_Hlk64501670"/>
            <w:r w:rsidRPr="00AF3D55">
              <w:rPr>
                <w:rFonts w:ascii="Times New Roman" w:eastAsia="新細明體" w:hAnsi="Times New Roman" w:cs="Times New Roman"/>
                <w:b/>
                <w:kern w:val="2"/>
                <w:sz w:val="20"/>
                <w:szCs w:val="18"/>
              </w:rPr>
              <w:lastRenderedPageBreak/>
              <w:t xml:space="preserve">Fig S2A </w:t>
            </w:r>
            <w:r w:rsidRPr="00AF3D55">
              <w:rPr>
                <w:rFonts w:ascii="Times New Roman" w:eastAsia="新細明體" w:hAnsi="Times New Roman" w:cs="Times New Roman"/>
                <w:b/>
                <w:kern w:val="2"/>
                <w:sz w:val="20"/>
                <w:szCs w:val="16"/>
              </w:rPr>
              <w:t xml:space="preserve">Subgroup Analysis for ML usage Rate </w:t>
            </w:r>
          </w:p>
          <w:p w:rsidR="001B10DE" w:rsidRPr="00AF3D55" w:rsidRDefault="001B10DE" w:rsidP="00527BBF">
            <w:pPr>
              <w:snapToGri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AF3D55">
              <w:rPr>
                <w:rFonts w:ascii="Times New Roman" w:eastAsia="新細明體" w:hAnsi="Times New Roman" w:cs="Times New Roman"/>
                <w:b/>
                <w:kern w:val="2"/>
                <w:sz w:val="20"/>
                <w:szCs w:val="16"/>
              </w:rPr>
              <w:t>in RCTs</w:t>
            </w:r>
            <w:bookmarkEnd w:id="0"/>
            <w:bookmarkEnd w:id="1"/>
          </w:p>
        </w:tc>
        <w:tc>
          <w:tcPr>
            <w:tcW w:w="5245" w:type="dxa"/>
          </w:tcPr>
          <w:p w:rsidR="00AF3D55" w:rsidRDefault="001B10DE" w:rsidP="001B10DE">
            <w:pPr>
              <w:snapToGrid w:val="0"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b/>
                <w:kern w:val="2"/>
                <w:sz w:val="20"/>
                <w:szCs w:val="18"/>
              </w:rPr>
            </w:pPr>
            <w:r w:rsidRPr="00AF3D55">
              <w:rPr>
                <w:rFonts w:ascii="Times New Roman" w:eastAsia="新細明體" w:hAnsi="Times New Roman" w:cs="Times New Roman"/>
                <w:b/>
                <w:kern w:val="2"/>
                <w:sz w:val="20"/>
                <w:szCs w:val="18"/>
              </w:rPr>
              <w:t xml:space="preserve">Fig S2B Subgroup Analysis for ML usage Rate </w:t>
            </w:r>
          </w:p>
          <w:p w:rsidR="001B10DE" w:rsidRPr="00AF3D55" w:rsidRDefault="001B10DE" w:rsidP="001B10DE">
            <w:pPr>
              <w:snapToGrid w:val="0"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b/>
                <w:kern w:val="2"/>
                <w:sz w:val="20"/>
                <w:szCs w:val="18"/>
              </w:rPr>
            </w:pPr>
            <w:r w:rsidRPr="00AF3D55">
              <w:rPr>
                <w:rFonts w:ascii="Times New Roman" w:eastAsia="新細明體" w:hAnsi="Times New Roman" w:cs="Times New Roman"/>
                <w:b/>
                <w:kern w:val="2"/>
                <w:sz w:val="20"/>
                <w:szCs w:val="18"/>
              </w:rPr>
              <w:t>in Non-RCTs</w:t>
            </w:r>
          </w:p>
        </w:tc>
      </w:tr>
      <w:tr w:rsidR="001B10DE" w:rsidTr="00B6581D">
        <w:trPr>
          <w:trHeight w:val="4335"/>
        </w:trPr>
        <w:tc>
          <w:tcPr>
            <w:tcW w:w="5387" w:type="dxa"/>
          </w:tcPr>
          <w:p w:rsidR="001B10DE" w:rsidRDefault="006E6530" w:rsidP="00527BBF">
            <w:pPr>
              <w:spacing w:after="0" w:line="480" w:lineRule="auto"/>
              <w:ind w:leftChars="-49" w:hangingChars="49" w:hanging="108"/>
            </w:pPr>
            <w:r>
              <w:rPr>
                <w:noProof/>
              </w:rPr>
              <w:drawing>
                <wp:inline distT="0" distB="0" distL="0" distR="0" wp14:anchorId="07D1694C" wp14:editId="63BC5087">
                  <wp:extent cx="3409315" cy="2660147"/>
                  <wp:effectExtent l="0" t="0" r="635" b="698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8133" cy="2682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1B10DE" w:rsidRPr="002321D2" w:rsidRDefault="009C0773" w:rsidP="00527BBF">
            <w:pPr>
              <w:tabs>
                <w:tab w:val="left" w:pos="1882"/>
              </w:tabs>
              <w:snapToGrid w:val="0"/>
              <w:spacing w:after="0" w:line="240" w:lineRule="auto"/>
              <w:ind w:leftChars="-49" w:hangingChars="49" w:hanging="108"/>
              <w:rPr>
                <w:sz w:val="6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3FD50DF9" wp14:editId="6B85DA87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39370</wp:posOffset>
                  </wp:positionV>
                  <wp:extent cx="3298190" cy="2648585"/>
                  <wp:effectExtent l="0" t="0" r="0" b="0"/>
                  <wp:wrapTight wrapText="bothSides">
                    <wp:wrapPolygon edited="0">
                      <wp:start x="0" y="0"/>
                      <wp:lineTo x="0" y="21439"/>
                      <wp:lineTo x="21459" y="21439"/>
                      <wp:lineTo x="21459" y="0"/>
                      <wp:lineTo x="0" y="0"/>
                    </wp:wrapPolygon>
                  </wp:wrapTight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8190" cy="264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B10DE">
              <w:tab/>
            </w:r>
          </w:p>
        </w:tc>
      </w:tr>
      <w:tr w:rsidR="001B10DE" w:rsidRPr="003024AA" w:rsidTr="00B6581D">
        <w:tc>
          <w:tcPr>
            <w:tcW w:w="5387" w:type="dxa"/>
          </w:tcPr>
          <w:p w:rsidR="001B10DE" w:rsidRPr="003024AA" w:rsidRDefault="001B10DE" w:rsidP="00170538">
            <w:pPr>
              <w:snapToGrid w:val="0"/>
              <w:spacing w:after="0" w:line="240" w:lineRule="auto"/>
              <w:ind w:firstLineChars="500" w:firstLine="900"/>
              <w:rPr>
                <w:sz w:val="18"/>
              </w:rPr>
            </w:pPr>
            <w:r w:rsidRPr="002E0B8D">
              <w:rPr>
                <w:sz w:val="18"/>
              </w:rPr>
              <w:t xml:space="preserve">Favor EPT </w:t>
            </w:r>
            <w:r>
              <w:rPr>
                <w:sz w:val="18"/>
              </w:rPr>
              <w:t xml:space="preserve">          </w:t>
            </w:r>
            <w:r w:rsidRPr="002E0B8D">
              <w:rPr>
                <w:sz w:val="18"/>
              </w:rPr>
              <w:t>Favor EPT+EPBD</w:t>
            </w:r>
          </w:p>
        </w:tc>
        <w:tc>
          <w:tcPr>
            <w:tcW w:w="5245" w:type="dxa"/>
          </w:tcPr>
          <w:p w:rsidR="001B10DE" w:rsidRPr="003024AA" w:rsidRDefault="001B10DE" w:rsidP="00170538">
            <w:pPr>
              <w:snapToGrid w:val="0"/>
              <w:spacing w:after="0" w:line="240" w:lineRule="auto"/>
              <w:ind w:firstLineChars="500" w:firstLine="900"/>
              <w:rPr>
                <w:sz w:val="18"/>
              </w:rPr>
            </w:pPr>
            <w:r w:rsidRPr="002E0B8D">
              <w:rPr>
                <w:sz w:val="18"/>
              </w:rPr>
              <w:t xml:space="preserve">Favor EPT </w:t>
            </w:r>
            <w:r>
              <w:rPr>
                <w:sz w:val="18"/>
              </w:rPr>
              <w:t xml:space="preserve">          </w:t>
            </w:r>
            <w:r w:rsidRPr="002E0B8D">
              <w:rPr>
                <w:sz w:val="18"/>
              </w:rPr>
              <w:t>Favor EPT+EPBD</w:t>
            </w:r>
          </w:p>
        </w:tc>
      </w:tr>
    </w:tbl>
    <w:p w:rsidR="00FD0C69" w:rsidRDefault="00FD0C69" w:rsidP="00C02F36">
      <w:pPr>
        <w:pStyle w:val="EndNoteBibliography"/>
        <w:snapToGrid w:val="0"/>
        <w:spacing w:line="360" w:lineRule="auto"/>
      </w:pPr>
    </w:p>
    <w:p w:rsidR="0070428B" w:rsidRDefault="0070428B" w:rsidP="0070428B">
      <w:pPr>
        <w:pStyle w:val="EndNoteBibliography"/>
        <w:snapToGrid w:val="0"/>
        <w:rPr>
          <w:rFonts w:ascii="Times New Roman" w:hAnsi="Times New Roman" w:cs="Times New Roman"/>
          <w:b/>
          <w:sz w:val="24"/>
        </w:rPr>
      </w:pPr>
      <w:r w:rsidRPr="00A32DBD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A32D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32DBD">
        <w:rPr>
          <w:rFonts w:ascii="Times New Roman" w:hAnsi="Times New Roman" w:cs="Times New Roman"/>
          <w:sz w:val="24"/>
          <w:szCs w:val="24"/>
        </w:rPr>
        <w:t xml:space="preserve"> </w:t>
      </w:r>
      <w:r w:rsidRPr="00A32DBD">
        <w:rPr>
          <w:rFonts w:ascii="Times New Roman" w:hAnsi="Times New Roman" w:cs="Times New Roman"/>
          <w:b/>
          <w:sz w:val="24"/>
          <w:szCs w:val="24"/>
        </w:rPr>
        <w:t>Pooled</w:t>
      </w:r>
      <w:r w:rsidRPr="00A32DBD">
        <w:rPr>
          <w:rFonts w:ascii="Times New Roman" w:hAnsi="Times New Roman" w:cs="Times New Roman"/>
          <w:b/>
          <w:sz w:val="24"/>
        </w:rPr>
        <w:t xml:space="preserve"> Rate Ratio for</w:t>
      </w:r>
      <w:r w:rsidRPr="00386B3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S</w:t>
      </w:r>
      <w:r w:rsidRPr="00A32DBD">
        <w:rPr>
          <w:rFonts w:ascii="Times New Roman" w:hAnsi="Times New Roman" w:cs="Times New Roman"/>
          <w:b/>
          <w:sz w:val="24"/>
        </w:rPr>
        <w:t xml:space="preserve">ubgroup </w:t>
      </w:r>
      <w:r>
        <w:rPr>
          <w:rFonts w:ascii="Times New Roman" w:hAnsi="Times New Roman" w:cs="Times New Roman"/>
          <w:b/>
          <w:sz w:val="24"/>
        </w:rPr>
        <w:t>A</w:t>
      </w:r>
      <w:r w:rsidRPr="00A32DBD">
        <w:rPr>
          <w:rFonts w:ascii="Times New Roman" w:hAnsi="Times New Roman" w:cs="Times New Roman"/>
          <w:b/>
          <w:sz w:val="24"/>
        </w:rPr>
        <w:t>nalysis</w:t>
      </w:r>
      <w:r w:rsidRPr="00364D7B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according CBD stone size in </w:t>
      </w:r>
      <w:r w:rsidRPr="00A32DBD">
        <w:rPr>
          <w:rFonts w:ascii="Times New Roman" w:hAnsi="Times New Roman" w:cs="Times New Roman"/>
          <w:b/>
          <w:sz w:val="24"/>
        </w:rPr>
        <w:t xml:space="preserve">Mechanical Lithotripsy Usage </w:t>
      </w:r>
      <w:r w:rsidRPr="007A6947">
        <w:rPr>
          <w:rFonts w:ascii="Times New Roman" w:hAnsi="Times New Roman" w:cs="Times New Roman"/>
          <w:b/>
          <w:sz w:val="24"/>
        </w:rPr>
        <w:t xml:space="preserve">Rate of </w:t>
      </w:r>
      <w:r>
        <w:rPr>
          <w:rFonts w:ascii="Times New Roman" w:hAnsi="Times New Roman" w:cs="Times New Roman"/>
          <w:b/>
          <w:sz w:val="24"/>
        </w:rPr>
        <w:t>EPT+EPBD</w:t>
      </w:r>
      <w:r w:rsidRPr="007A6947">
        <w:rPr>
          <w:rFonts w:ascii="Times New Roman" w:hAnsi="Times New Roman" w:cs="Times New Roman"/>
          <w:b/>
          <w:sz w:val="24"/>
        </w:rPr>
        <w:t xml:space="preserve"> vs E</w:t>
      </w:r>
      <w:r>
        <w:rPr>
          <w:rFonts w:ascii="Times New Roman" w:hAnsi="Times New Roman" w:cs="Times New Roman"/>
          <w:b/>
          <w:sz w:val="24"/>
        </w:rPr>
        <w:t>P</w:t>
      </w:r>
      <w:r w:rsidRPr="007A6947">
        <w:rPr>
          <w:rFonts w:ascii="Times New Roman" w:hAnsi="Times New Roman" w:cs="Times New Roman"/>
          <w:b/>
          <w:sz w:val="24"/>
        </w:rPr>
        <w:t>T in CBD Stones in the RCT</w:t>
      </w:r>
      <w:r>
        <w:rPr>
          <w:rFonts w:ascii="Times New Roman" w:hAnsi="Times New Roman" w:cs="Times New Roman"/>
          <w:b/>
          <w:sz w:val="24"/>
        </w:rPr>
        <w:t>s</w:t>
      </w:r>
      <w:r w:rsidRPr="007A6947">
        <w:rPr>
          <w:rFonts w:ascii="Times New Roman" w:hAnsi="Times New Roman" w:cs="Times New Roman"/>
          <w:b/>
          <w:sz w:val="24"/>
        </w:rPr>
        <w:t xml:space="preserve"> (</w:t>
      </w:r>
      <w:r>
        <w:rPr>
          <w:rFonts w:ascii="Times New Roman" w:hAnsi="Times New Roman" w:cs="Times New Roman"/>
          <w:b/>
          <w:sz w:val="24"/>
        </w:rPr>
        <w:t>A</w:t>
      </w:r>
      <w:r w:rsidRPr="007A6947">
        <w:rPr>
          <w:rFonts w:ascii="Times New Roman" w:hAnsi="Times New Roman" w:cs="Times New Roman"/>
          <w:b/>
          <w:sz w:val="24"/>
        </w:rPr>
        <w:t>) and non-RCT</w:t>
      </w:r>
      <w:r>
        <w:rPr>
          <w:rFonts w:ascii="Times New Roman" w:hAnsi="Times New Roman" w:cs="Times New Roman"/>
          <w:b/>
          <w:sz w:val="24"/>
        </w:rPr>
        <w:t>s</w:t>
      </w:r>
      <w:r w:rsidRPr="007A6947"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</w:rPr>
        <w:t>B)</w:t>
      </w:r>
    </w:p>
    <w:p w:rsidR="0070428B" w:rsidRDefault="0070428B" w:rsidP="00C02F36">
      <w:pPr>
        <w:pStyle w:val="EndNoteBibliography"/>
        <w:snapToGrid w:val="0"/>
        <w:spacing w:line="360" w:lineRule="auto"/>
        <w:rPr>
          <w:rFonts w:ascii="Times New Roman" w:hAnsi="Times New Roman" w:cs="Times New Roman"/>
          <w:b/>
          <w:sz w:val="24"/>
        </w:rPr>
      </w:pPr>
    </w:p>
    <w:p w:rsidR="00600AAB" w:rsidRDefault="00600AAB">
      <w:pPr>
        <w:spacing w:after="0" w:line="240" w:lineRule="auto"/>
        <w:rPr>
          <w:rFonts w:ascii="Calibri" w:eastAsia="新細明體" w:hAnsi="Calibri" w:cs="Calibri"/>
          <w:noProof/>
          <w:kern w:val="2"/>
        </w:rPr>
      </w:pPr>
      <w:r>
        <w:br w:type="page"/>
      </w:r>
    </w:p>
    <w:tbl>
      <w:tblPr>
        <w:tblStyle w:val="a7"/>
        <w:tblW w:w="10632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245"/>
      </w:tblGrid>
      <w:tr w:rsidR="00726137" w:rsidTr="00B747EC">
        <w:tc>
          <w:tcPr>
            <w:tcW w:w="5387" w:type="dxa"/>
          </w:tcPr>
          <w:p w:rsidR="00726137" w:rsidRPr="00726137" w:rsidRDefault="00726137" w:rsidP="00726137">
            <w:pPr>
              <w:snapToGrid w:val="0"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14591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lastRenderedPageBreak/>
              <w:t>Fig S3A Cochrane Risk of Bias assessment tool for RCTs</w:t>
            </w:r>
          </w:p>
        </w:tc>
        <w:tc>
          <w:tcPr>
            <w:tcW w:w="5245" w:type="dxa"/>
          </w:tcPr>
          <w:p w:rsidR="00726137" w:rsidRPr="00726137" w:rsidRDefault="00726137" w:rsidP="00726137">
            <w:pPr>
              <w:snapToGrid w:val="0"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C14591">
              <w:rPr>
                <w:rFonts w:ascii="Times New Roman" w:eastAsia="新細明體" w:hAnsi="Times New Roman" w:cs="Times New Roman"/>
                <w:b/>
                <w:sz w:val="20"/>
                <w:szCs w:val="20"/>
              </w:rPr>
              <w:t>Fig S3B The modified Newcastle-Ottawa Scale (NOS) according to Cummel 2010 for non-RCTs</w:t>
            </w:r>
          </w:p>
        </w:tc>
      </w:tr>
      <w:tr w:rsidR="00726137" w:rsidTr="00B747EC">
        <w:trPr>
          <w:trHeight w:val="4335"/>
        </w:trPr>
        <w:tc>
          <w:tcPr>
            <w:tcW w:w="5387" w:type="dxa"/>
          </w:tcPr>
          <w:p w:rsidR="00726137" w:rsidRDefault="00F06F39" w:rsidP="00527BBF">
            <w:pPr>
              <w:spacing w:after="0" w:line="480" w:lineRule="auto"/>
              <w:ind w:leftChars="-49" w:hangingChars="49" w:hanging="108"/>
            </w:pPr>
            <w:r>
              <w:rPr>
                <w:noProof/>
              </w:rPr>
              <w:drawing>
                <wp:inline distT="0" distB="0" distL="0" distR="0" wp14:anchorId="6483036A" wp14:editId="1CE52835">
                  <wp:extent cx="3266667" cy="6580952"/>
                  <wp:effectExtent l="0" t="0" r="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6667" cy="65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726137" w:rsidRPr="002321D2" w:rsidRDefault="00726137" w:rsidP="00527BBF">
            <w:pPr>
              <w:tabs>
                <w:tab w:val="left" w:pos="1882"/>
              </w:tabs>
              <w:snapToGrid w:val="0"/>
              <w:spacing w:after="0" w:line="240" w:lineRule="auto"/>
              <w:ind w:leftChars="-49" w:hangingChars="49" w:hanging="108"/>
              <w:rPr>
                <w:sz w:val="6"/>
              </w:rPr>
            </w:pPr>
            <w:r>
              <w:tab/>
            </w:r>
            <w:r w:rsidR="00F06F39">
              <w:rPr>
                <w:noProof/>
              </w:rPr>
              <w:drawing>
                <wp:inline distT="0" distB="0" distL="0" distR="0" wp14:anchorId="58D76255" wp14:editId="104F9E2A">
                  <wp:extent cx="3193415" cy="6396527"/>
                  <wp:effectExtent l="0" t="0" r="6985" b="444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7405" cy="6404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428B" w:rsidRDefault="0070428B" w:rsidP="00C02F36">
      <w:pPr>
        <w:pStyle w:val="EndNoteBibliography"/>
        <w:snapToGrid w:val="0"/>
        <w:spacing w:line="360" w:lineRule="auto"/>
      </w:pPr>
    </w:p>
    <w:p w:rsidR="0070428B" w:rsidRPr="00826150" w:rsidRDefault="00600AAB" w:rsidP="00600AAB">
      <w:pPr>
        <w:pStyle w:val="EndNoteBibliography"/>
        <w:snapToGrid w:val="0"/>
        <w:rPr>
          <w:sz w:val="24"/>
          <w:szCs w:val="24"/>
        </w:rPr>
      </w:pPr>
      <w:r w:rsidRPr="0082615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Pr="00826150">
        <w:rPr>
          <w:rFonts w:ascii="Times New Roman" w:hAnsi="Times New Roman" w:cs="Times New Roman"/>
          <w:b/>
          <w:sz w:val="24"/>
          <w:szCs w:val="24"/>
        </w:rPr>
        <w:t xml:space="preserve">S3. Risk of Bias Summary. Two scoring systems were used to qualify and assess bias of the included articles; the Cochrane Risk of Bias assessment tool for RCTs (left panel), and </w:t>
      </w:r>
      <w:bookmarkStart w:id="2" w:name="_Hlk47126257"/>
      <w:r w:rsidRPr="00826150">
        <w:rPr>
          <w:rFonts w:ascii="Times New Roman" w:hAnsi="Times New Roman" w:cs="Times New Roman"/>
          <w:b/>
          <w:sz w:val="24"/>
          <w:szCs w:val="24"/>
        </w:rPr>
        <w:t xml:space="preserve">the modified Newcastle-Ottawa Scale (NOS) according to Cummel 2010 for non-RCTs </w:t>
      </w:r>
      <w:bookmarkEnd w:id="2"/>
      <w:r w:rsidRPr="00826150">
        <w:rPr>
          <w:rFonts w:ascii="Times New Roman" w:hAnsi="Times New Roman" w:cs="Times New Roman"/>
          <w:b/>
          <w:sz w:val="24"/>
          <w:szCs w:val="24"/>
        </w:rPr>
        <w:t>(right panel)</w:t>
      </w:r>
    </w:p>
    <w:p w:rsidR="00600AAB" w:rsidRPr="00826150" w:rsidRDefault="00600AAB">
      <w:pPr>
        <w:spacing w:after="0" w:line="240" w:lineRule="auto"/>
        <w:rPr>
          <w:rFonts w:ascii="Calibri" w:eastAsia="新細明體" w:hAnsi="Calibri" w:cs="Calibri"/>
          <w:noProof/>
          <w:kern w:val="2"/>
          <w:sz w:val="24"/>
          <w:szCs w:val="24"/>
        </w:rPr>
      </w:pPr>
      <w:r w:rsidRPr="00826150">
        <w:rPr>
          <w:sz w:val="24"/>
          <w:szCs w:val="24"/>
        </w:rPr>
        <w:br w:type="page"/>
      </w:r>
    </w:p>
    <w:tbl>
      <w:tblPr>
        <w:tblStyle w:val="a7"/>
        <w:tblW w:w="10632" w:type="dxa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245"/>
      </w:tblGrid>
      <w:tr w:rsidR="00F06F39" w:rsidTr="00DC0413">
        <w:tc>
          <w:tcPr>
            <w:tcW w:w="5387" w:type="dxa"/>
          </w:tcPr>
          <w:p w:rsidR="00DC0413" w:rsidRPr="00DC0413" w:rsidRDefault="00F06F39" w:rsidP="00527BBF">
            <w:pPr>
              <w:snapToGrid w:val="0"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</w:pPr>
            <w:bookmarkStart w:id="3" w:name="_GoBack"/>
            <w:r w:rsidRPr="00DC0413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lastRenderedPageBreak/>
              <w:t xml:space="preserve">Fig S4A Publication Bias of EPT+EPBD vs EPT </w:t>
            </w:r>
          </w:p>
          <w:p w:rsidR="00F06F39" w:rsidRPr="00DC0413" w:rsidRDefault="00F06F39" w:rsidP="00527BBF">
            <w:pPr>
              <w:snapToGri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DC0413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>in RCTs</w:t>
            </w:r>
          </w:p>
        </w:tc>
        <w:tc>
          <w:tcPr>
            <w:tcW w:w="5245" w:type="dxa"/>
          </w:tcPr>
          <w:p w:rsidR="00DC0413" w:rsidRPr="00DC0413" w:rsidRDefault="00F06F39" w:rsidP="00DC0413">
            <w:pPr>
              <w:snapToGrid w:val="0"/>
              <w:spacing w:after="0" w:line="240" w:lineRule="auto"/>
              <w:jc w:val="center"/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</w:pPr>
            <w:r w:rsidRPr="00DC0413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 xml:space="preserve">Fig S4B Publication Bias of EST+EPBD vs EPT </w:t>
            </w:r>
          </w:p>
          <w:p w:rsidR="00F06F39" w:rsidRPr="00DC0413" w:rsidRDefault="00F06F39" w:rsidP="00DC0413">
            <w:pPr>
              <w:snapToGrid w:val="0"/>
              <w:spacing w:after="0" w:line="240" w:lineRule="auto"/>
              <w:jc w:val="center"/>
              <w:rPr>
                <w:sz w:val="20"/>
                <w:szCs w:val="20"/>
              </w:rPr>
            </w:pPr>
            <w:r w:rsidRPr="00DC0413">
              <w:rPr>
                <w:rFonts w:ascii="Times New Roman" w:eastAsia="新細明體" w:hAnsi="Times New Roman" w:cs="Times New Roman"/>
                <w:b/>
                <w:kern w:val="2"/>
                <w:sz w:val="20"/>
                <w:szCs w:val="20"/>
              </w:rPr>
              <w:t xml:space="preserve">in non-RCTs </w:t>
            </w:r>
          </w:p>
        </w:tc>
      </w:tr>
      <w:tr w:rsidR="00F06F39" w:rsidTr="00DC0413">
        <w:trPr>
          <w:trHeight w:val="4335"/>
        </w:trPr>
        <w:tc>
          <w:tcPr>
            <w:tcW w:w="5387" w:type="dxa"/>
          </w:tcPr>
          <w:p w:rsidR="00F06F39" w:rsidRDefault="00A539EB" w:rsidP="00527BBF">
            <w:pPr>
              <w:spacing w:after="0" w:line="480" w:lineRule="auto"/>
              <w:ind w:leftChars="-49" w:hangingChars="49" w:hanging="108"/>
            </w:pPr>
            <w:r>
              <w:rPr>
                <w:noProof/>
              </w:rPr>
              <w:drawing>
                <wp:inline distT="0" distB="0" distL="0" distR="0" wp14:anchorId="4C2BE1C8" wp14:editId="2AF16106">
                  <wp:extent cx="3401060" cy="2653469"/>
                  <wp:effectExtent l="0" t="0" r="8890" b="0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117" cy="2665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F39" w:rsidRPr="002321D2" w:rsidRDefault="00A539EB" w:rsidP="00527BBF">
            <w:pPr>
              <w:tabs>
                <w:tab w:val="left" w:pos="1882"/>
              </w:tabs>
              <w:snapToGrid w:val="0"/>
              <w:spacing w:after="0" w:line="240" w:lineRule="auto"/>
              <w:ind w:leftChars="-49" w:hangingChars="49" w:hanging="108"/>
              <w:rPr>
                <w:sz w:val="6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6C9331DA" wp14:editId="65EC582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42545</wp:posOffset>
                  </wp:positionV>
                  <wp:extent cx="3328035" cy="2644775"/>
                  <wp:effectExtent l="0" t="0" r="5715" b="3175"/>
                  <wp:wrapTight wrapText="bothSides">
                    <wp:wrapPolygon edited="0">
                      <wp:start x="0" y="0"/>
                      <wp:lineTo x="0" y="21470"/>
                      <wp:lineTo x="21513" y="21470"/>
                      <wp:lineTo x="21513" y="0"/>
                      <wp:lineTo x="0" y="0"/>
                    </wp:wrapPolygon>
                  </wp:wrapTight>
                  <wp:docPr id="16" name="圖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8035" cy="264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06F39">
              <w:tab/>
            </w:r>
          </w:p>
        </w:tc>
      </w:tr>
      <w:bookmarkEnd w:id="3"/>
    </w:tbl>
    <w:p w:rsidR="005E33C4" w:rsidRDefault="005E33C4" w:rsidP="005E33C4">
      <w:pPr>
        <w:snapToGrid w:val="0"/>
        <w:spacing w:after="0" w:line="360" w:lineRule="auto"/>
        <w:rPr>
          <w:rFonts w:ascii="Times New Roman" w:eastAsia="新細明體" w:hAnsi="Times New Roman" w:cs="Times New Roman"/>
          <w:b/>
          <w:bCs/>
          <w:kern w:val="2"/>
          <w:sz w:val="24"/>
          <w:szCs w:val="24"/>
        </w:rPr>
      </w:pPr>
    </w:p>
    <w:p w:rsidR="005E33C4" w:rsidRPr="00A32DBD" w:rsidRDefault="005E33C4" w:rsidP="005E33C4">
      <w:pPr>
        <w:snapToGrid w:val="0"/>
        <w:spacing w:after="0" w:line="240" w:lineRule="auto"/>
        <w:rPr>
          <w:rFonts w:ascii="Times New Roman" w:eastAsia="新細明體" w:hAnsi="Times New Roman" w:cs="Times New Roman"/>
          <w:b/>
          <w:kern w:val="2"/>
          <w:sz w:val="24"/>
        </w:rPr>
      </w:pPr>
      <w:r w:rsidRPr="00A32DBD">
        <w:rPr>
          <w:rFonts w:ascii="Times New Roman" w:eastAsia="新細明體" w:hAnsi="Times New Roman" w:cs="Times New Roman"/>
          <w:b/>
          <w:bCs/>
          <w:kern w:val="2"/>
          <w:sz w:val="24"/>
          <w:szCs w:val="24"/>
        </w:rPr>
        <w:t xml:space="preserve">Figure </w:t>
      </w:r>
      <w:r>
        <w:rPr>
          <w:rFonts w:ascii="Times New Roman" w:eastAsia="新細明體" w:hAnsi="Times New Roman" w:cs="Times New Roman"/>
          <w:b/>
          <w:bCs/>
          <w:kern w:val="2"/>
          <w:sz w:val="24"/>
          <w:szCs w:val="24"/>
        </w:rPr>
        <w:t>S4</w:t>
      </w:r>
      <w:r w:rsidRPr="00A32DBD">
        <w:rPr>
          <w:rFonts w:ascii="Times New Roman" w:eastAsia="新細明體" w:hAnsi="Times New Roman" w:cs="Times New Roman"/>
          <w:b/>
          <w:bCs/>
          <w:kern w:val="2"/>
          <w:sz w:val="24"/>
          <w:szCs w:val="24"/>
        </w:rPr>
        <w:t>.</w:t>
      </w:r>
      <w:r w:rsidRPr="00A32DBD">
        <w:rPr>
          <w:rFonts w:ascii="Times New Roman" w:eastAsia="新細明體" w:hAnsi="Times New Roman" w:cs="Times New Roman"/>
          <w:kern w:val="2"/>
          <w:sz w:val="24"/>
          <w:szCs w:val="24"/>
        </w:rPr>
        <w:t xml:space="preserve"> </w:t>
      </w:r>
      <w:r w:rsidRPr="00A32DBD">
        <w:rPr>
          <w:rFonts w:ascii="Times New Roman" w:eastAsia="新細明體" w:hAnsi="Times New Roman" w:cs="Times New Roman"/>
          <w:b/>
          <w:kern w:val="2"/>
          <w:sz w:val="24"/>
          <w:szCs w:val="24"/>
        </w:rPr>
        <w:t>Pooled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 xml:space="preserve"> Rate Ratio for </w:t>
      </w:r>
      <w:bookmarkStart w:id="4" w:name="_Hlk47056503"/>
      <w:r>
        <w:rPr>
          <w:rFonts w:ascii="Times New Roman" w:eastAsia="新細明體" w:hAnsi="Times New Roman" w:cs="Times New Roman"/>
          <w:b/>
          <w:kern w:val="2"/>
          <w:sz w:val="24"/>
        </w:rPr>
        <w:t>P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 xml:space="preserve">ublication </w:t>
      </w:r>
      <w:r>
        <w:rPr>
          <w:rFonts w:ascii="Times New Roman" w:eastAsia="新細明體" w:hAnsi="Times New Roman" w:cs="Times New Roman"/>
          <w:b/>
          <w:kern w:val="2"/>
          <w:sz w:val="24"/>
        </w:rPr>
        <w:t>B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 xml:space="preserve">ias of </w:t>
      </w:r>
      <w:r>
        <w:rPr>
          <w:rFonts w:ascii="Times New Roman" w:eastAsia="新細明體" w:hAnsi="Times New Roman" w:cs="Times New Roman"/>
          <w:b/>
          <w:kern w:val="2"/>
          <w:sz w:val="24"/>
        </w:rPr>
        <w:t xml:space="preserve">EPT+EPBD 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>vs E</w:t>
      </w:r>
      <w:r>
        <w:rPr>
          <w:rFonts w:ascii="Times New Roman" w:eastAsia="新細明體" w:hAnsi="Times New Roman" w:cs="Times New Roman"/>
          <w:b/>
          <w:kern w:val="2"/>
          <w:sz w:val="24"/>
        </w:rPr>
        <w:t>P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>T in RCT</w:t>
      </w:r>
      <w:bookmarkEnd w:id="4"/>
      <w:r>
        <w:rPr>
          <w:rFonts w:ascii="Times New Roman" w:eastAsia="新細明體" w:hAnsi="Times New Roman" w:cs="Times New Roman"/>
          <w:b/>
          <w:kern w:val="2"/>
          <w:sz w:val="24"/>
        </w:rPr>
        <w:t>s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 xml:space="preserve"> and non-RCT</w:t>
      </w:r>
      <w:r>
        <w:rPr>
          <w:rFonts w:ascii="Times New Roman" w:eastAsia="新細明體" w:hAnsi="Times New Roman" w:cs="Times New Roman"/>
          <w:b/>
          <w:kern w:val="2"/>
          <w:sz w:val="24"/>
        </w:rPr>
        <w:t xml:space="preserve">s 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 xml:space="preserve">(right panel) </w:t>
      </w:r>
      <w:r>
        <w:rPr>
          <w:rFonts w:ascii="Times New Roman" w:eastAsia="新細明體" w:hAnsi="Times New Roman" w:cs="Times New Roman"/>
          <w:b/>
          <w:kern w:val="2"/>
          <w:sz w:val="24"/>
        </w:rPr>
        <w:t>A</w:t>
      </w:r>
      <w:r w:rsidRPr="00A32DBD">
        <w:rPr>
          <w:rFonts w:ascii="Times New Roman" w:eastAsia="新細明體" w:hAnsi="Times New Roman" w:cs="Times New Roman"/>
          <w:b/>
          <w:kern w:val="2"/>
          <w:sz w:val="24"/>
        </w:rPr>
        <w:t>nalysis</w:t>
      </w:r>
    </w:p>
    <w:p w:rsidR="00600AAB" w:rsidRDefault="00600AAB" w:rsidP="00C02F36">
      <w:pPr>
        <w:pStyle w:val="EndNoteBibliography"/>
        <w:snapToGrid w:val="0"/>
        <w:spacing w:line="360" w:lineRule="auto"/>
      </w:pPr>
    </w:p>
    <w:p w:rsidR="00262C24" w:rsidRDefault="00262C24" w:rsidP="00C02F36">
      <w:pPr>
        <w:pStyle w:val="EndNoteBibliography"/>
        <w:snapToGrid w:val="0"/>
        <w:spacing w:line="360" w:lineRule="auto"/>
      </w:pPr>
    </w:p>
    <w:p w:rsidR="00262C24" w:rsidRDefault="00262C24" w:rsidP="00C02F36">
      <w:pPr>
        <w:pStyle w:val="EndNoteBibliography"/>
        <w:snapToGrid w:val="0"/>
        <w:spacing w:line="360" w:lineRule="auto"/>
      </w:pPr>
    </w:p>
    <w:p w:rsidR="00262C24" w:rsidRDefault="00262C24" w:rsidP="00C02F36">
      <w:pPr>
        <w:pStyle w:val="EndNoteBibliography"/>
        <w:snapToGrid w:val="0"/>
        <w:spacing w:line="360" w:lineRule="auto"/>
      </w:pPr>
    </w:p>
    <w:p w:rsidR="00600AAB" w:rsidRDefault="00600AAB" w:rsidP="00C02F36">
      <w:pPr>
        <w:pStyle w:val="EndNoteBibliography"/>
        <w:snapToGrid w:val="0"/>
        <w:spacing w:line="360" w:lineRule="auto"/>
      </w:pPr>
    </w:p>
    <w:p w:rsidR="0070428B" w:rsidRPr="00DF7404" w:rsidRDefault="0070428B" w:rsidP="00C02F36">
      <w:pPr>
        <w:pStyle w:val="EndNoteBibliography"/>
        <w:snapToGrid w:val="0"/>
        <w:spacing w:line="360" w:lineRule="auto"/>
      </w:pPr>
    </w:p>
    <w:sectPr w:rsidR="0070428B" w:rsidRPr="00DF7404" w:rsidSect="001D5F56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354" w:rsidRDefault="00BE6354" w:rsidP="00E24EA9">
      <w:pPr>
        <w:spacing w:after="0" w:line="240" w:lineRule="auto"/>
      </w:pPr>
      <w:r>
        <w:separator/>
      </w:r>
    </w:p>
  </w:endnote>
  <w:endnote w:type="continuationSeparator" w:id="0">
    <w:p w:rsidR="00BE6354" w:rsidRDefault="00BE6354" w:rsidP="00E24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349259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3C1A5A" w:rsidRPr="002C0FC9" w:rsidRDefault="003C1A5A" w:rsidP="00F97919">
        <w:pPr>
          <w:pStyle w:val="aa"/>
          <w:jc w:val="center"/>
          <w:rPr>
            <w:rFonts w:ascii="Times New Roman" w:hAnsi="Times New Roman" w:cs="Times New Roman"/>
            <w:sz w:val="24"/>
          </w:rPr>
        </w:pPr>
        <w:r w:rsidRPr="002C0FC9">
          <w:rPr>
            <w:rFonts w:ascii="Times New Roman" w:hAnsi="Times New Roman" w:cs="Times New Roman"/>
            <w:sz w:val="24"/>
          </w:rPr>
          <w:fldChar w:fldCharType="begin"/>
        </w:r>
        <w:r w:rsidRPr="002C0FC9">
          <w:rPr>
            <w:rFonts w:ascii="Times New Roman" w:hAnsi="Times New Roman" w:cs="Times New Roman"/>
            <w:sz w:val="24"/>
          </w:rPr>
          <w:instrText>PAGE   \* MERGEFORMAT</w:instrText>
        </w:r>
        <w:r w:rsidRPr="002C0FC9">
          <w:rPr>
            <w:rFonts w:ascii="Times New Roman" w:hAnsi="Times New Roman" w:cs="Times New Roman"/>
            <w:sz w:val="24"/>
          </w:rPr>
          <w:fldChar w:fldCharType="separate"/>
        </w:r>
        <w:r w:rsidR="00DC0413" w:rsidRPr="00DC0413">
          <w:rPr>
            <w:rFonts w:ascii="Times New Roman" w:hAnsi="Times New Roman" w:cs="Times New Roman"/>
            <w:noProof/>
            <w:sz w:val="24"/>
            <w:lang w:val="zh-TW"/>
          </w:rPr>
          <w:t>5</w:t>
        </w:r>
        <w:r w:rsidRPr="002C0FC9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354" w:rsidRDefault="00BE6354" w:rsidP="00E24EA9">
      <w:pPr>
        <w:spacing w:after="0" w:line="240" w:lineRule="auto"/>
      </w:pPr>
      <w:r>
        <w:separator/>
      </w:r>
    </w:p>
  </w:footnote>
  <w:footnote w:type="continuationSeparator" w:id="0">
    <w:p w:rsidR="00BE6354" w:rsidRDefault="00BE6354" w:rsidP="00E24E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A4ACB"/>
    <w:multiLevelType w:val="hybridMultilevel"/>
    <w:tmpl w:val="159A0F0E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2682DF4"/>
    <w:multiLevelType w:val="hybridMultilevel"/>
    <w:tmpl w:val="EF2AC97C"/>
    <w:lvl w:ilvl="0" w:tplc="3A3EDCE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3774B5B"/>
    <w:multiLevelType w:val="multilevel"/>
    <w:tmpl w:val="474C8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2BF92FD4"/>
    <w:multiLevelType w:val="hybridMultilevel"/>
    <w:tmpl w:val="161EE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137A24"/>
    <w:multiLevelType w:val="hybridMultilevel"/>
    <w:tmpl w:val="EE0E4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CA5C83"/>
    <w:multiLevelType w:val="hybridMultilevel"/>
    <w:tmpl w:val="BDBA1788"/>
    <w:lvl w:ilvl="0" w:tplc="1A16443C">
      <w:start w:val="1"/>
      <w:numFmt w:val="decimal"/>
      <w:lvlText w:val="[%1] 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618D3834"/>
    <w:multiLevelType w:val="hybridMultilevel"/>
    <w:tmpl w:val="CC00B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0E3B7A"/>
    <w:multiLevelType w:val="hybridMultilevel"/>
    <w:tmpl w:val="09CE604C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E271D0B"/>
    <w:multiLevelType w:val="hybridMultilevel"/>
    <w:tmpl w:val="F0662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5"/>
  <w:bordersDoNotSurroundHeader/>
  <w:bordersDoNotSurroundFooter/>
  <w:defaultTabStop w:val="48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FEE"/>
    <w:rsid w:val="00000FEE"/>
    <w:rsid w:val="000621C7"/>
    <w:rsid w:val="000972EF"/>
    <w:rsid w:val="000A46EB"/>
    <w:rsid w:val="00151D37"/>
    <w:rsid w:val="00170538"/>
    <w:rsid w:val="00173781"/>
    <w:rsid w:val="00183515"/>
    <w:rsid w:val="00190729"/>
    <w:rsid w:val="001A6CDB"/>
    <w:rsid w:val="001B10DE"/>
    <w:rsid w:val="001D5F56"/>
    <w:rsid w:val="0022531A"/>
    <w:rsid w:val="00262C24"/>
    <w:rsid w:val="002A22DD"/>
    <w:rsid w:val="002B266E"/>
    <w:rsid w:val="002C0FC9"/>
    <w:rsid w:val="002F5341"/>
    <w:rsid w:val="00334043"/>
    <w:rsid w:val="0038124E"/>
    <w:rsid w:val="00397A04"/>
    <w:rsid w:val="003C1A5A"/>
    <w:rsid w:val="00444AF0"/>
    <w:rsid w:val="00453DFB"/>
    <w:rsid w:val="00473D92"/>
    <w:rsid w:val="00496211"/>
    <w:rsid w:val="004D28D2"/>
    <w:rsid w:val="00534AD2"/>
    <w:rsid w:val="005C1F79"/>
    <w:rsid w:val="005E33C4"/>
    <w:rsid w:val="005F1A46"/>
    <w:rsid w:val="00600AAB"/>
    <w:rsid w:val="00635350"/>
    <w:rsid w:val="00645BE7"/>
    <w:rsid w:val="0065759E"/>
    <w:rsid w:val="0068393F"/>
    <w:rsid w:val="006B478D"/>
    <w:rsid w:val="006E6530"/>
    <w:rsid w:val="0070428B"/>
    <w:rsid w:val="00726137"/>
    <w:rsid w:val="0078587A"/>
    <w:rsid w:val="00801B14"/>
    <w:rsid w:val="00821494"/>
    <w:rsid w:val="00822FB5"/>
    <w:rsid w:val="00826150"/>
    <w:rsid w:val="008402F6"/>
    <w:rsid w:val="00863C7A"/>
    <w:rsid w:val="008A3072"/>
    <w:rsid w:val="008B7416"/>
    <w:rsid w:val="00922F5E"/>
    <w:rsid w:val="00934C51"/>
    <w:rsid w:val="00947E90"/>
    <w:rsid w:val="0097505A"/>
    <w:rsid w:val="009B1803"/>
    <w:rsid w:val="009C0773"/>
    <w:rsid w:val="009D4788"/>
    <w:rsid w:val="009F2FF0"/>
    <w:rsid w:val="00A24803"/>
    <w:rsid w:val="00A44E4A"/>
    <w:rsid w:val="00A539EB"/>
    <w:rsid w:val="00AB3DD3"/>
    <w:rsid w:val="00AE1CD3"/>
    <w:rsid w:val="00AF3D55"/>
    <w:rsid w:val="00B41DEF"/>
    <w:rsid w:val="00B525C4"/>
    <w:rsid w:val="00B6581D"/>
    <w:rsid w:val="00B67987"/>
    <w:rsid w:val="00B747BF"/>
    <w:rsid w:val="00B747EC"/>
    <w:rsid w:val="00B83EB9"/>
    <w:rsid w:val="00BA4338"/>
    <w:rsid w:val="00BA66F4"/>
    <w:rsid w:val="00BE6354"/>
    <w:rsid w:val="00BF1992"/>
    <w:rsid w:val="00C02F36"/>
    <w:rsid w:val="00C054C4"/>
    <w:rsid w:val="00C46E37"/>
    <w:rsid w:val="00C657A5"/>
    <w:rsid w:val="00C8032A"/>
    <w:rsid w:val="00CE0FA4"/>
    <w:rsid w:val="00DA564D"/>
    <w:rsid w:val="00DA74FA"/>
    <w:rsid w:val="00DC0413"/>
    <w:rsid w:val="00DC73DA"/>
    <w:rsid w:val="00DD36F0"/>
    <w:rsid w:val="00DF7404"/>
    <w:rsid w:val="00E24EA9"/>
    <w:rsid w:val="00E34168"/>
    <w:rsid w:val="00E45E2A"/>
    <w:rsid w:val="00EA04C7"/>
    <w:rsid w:val="00F06F39"/>
    <w:rsid w:val="00F1599B"/>
    <w:rsid w:val="00F210E5"/>
    <w:rsid w:val="00F2211B"/>
    <w:rsid w:val="00F74704"/>
    <w:rsid w:val="00F7618F"/>
    <w:rsid w:val="00F97919"/>
    <w:rsid w:val="00FD0C69"/>
    <w:rsid w:val="00FE34A9"/>
    <w:rsid w:val="00FF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ECE9B3-B8CA-4679-A90B-814BB4A94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FB5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"/>
    <w:basedOn w:val="a"/>
    <w:link w:val="a4"/>
    <w:autoRedefine/>
    <w:qFormat/>
    <w:rsid w:val="00822FB5"/>
    <w:pPr>
      <w:snapToGrid w:val="0"/>
      <w:spacing w:after="0" w:line="360" w:lineRule="auto"/>
      <w:jc w:val="both"/>
    </w:pPr>
    <w:rPr>
      <w:rFonts w:ascii="Times New Roman" w:hAnsi="Times New Roman" w:cs="Times New Roman"/>
      <w:bCs/>
      <w:color w:val="000000" w:themeColor="text1"/>
      <w:kern w:val="2"/>
      <w:sz w:val="24"/>
      <w:szCs w:val="24"/>
      <w:lang w:val="en-CA"/>
    </w:rPr>
  </w:style>
  <w:style w:type="character" w:customStyle="1" w:styleId="a4">
    <w:name w:val="文 字元"/>
    <w:basedOn w:val="a0"/>
    <w:link w:val="a3"/>
    <w:rsid w:val="00822FB5"/>
    <w:rPr>
      <w:rFonts w:ascii="Times New Roman" w:hAnsi="Times New Roman" w:cs="Times New Roman"/>
      <w:bCs/>
      <w:color w:val="000000" w:themeColor="text1"/>
      <w:szCs w:val="24"/>
      <w:lang w:val="en-CA"/>
    </w:rPr>
  </w:style>
  <w:style w:type="paragraph" w:styleId="a5">
    <w:name w:val="List Paragraph"/>
    <w:basedOn w:val="a"/>
    <w:uiPriority w:val="34"/>
    <w:qFormat/>
    <w:rsid w:val="00822FB5"/>
    <w:pPr>
      <w:spacing w:after="0" w:line="240" w:lineRule="auto"/>
      <w:ind w:left="720"/>
      <w:contextualSpacing/>
    </w:pPr>
    <w:rPr>
      <w:rFonts w:ascii="Times New Roman" w:eastAsia="新細明體" w:hAnsi="Times New Roman" w:cs="Times New Roman"/>
      <w:kern w:val="2"/>
      <w:sz w:val="24"/>
    </w:rPr>
  </w:style>
  <w:style w:type="paragraph" w:customStyle="1" w:styleId="EndNoteBibliography">
    <w:name w:val="EndNote Bibliography"/>
    <w:basedOn w:val="a"/>
    <w:link w:val="EndNoteBibliography0"/>
    <w:rsid w:val="00822FB5"/>
    <w:pPr>
      <w:spacing w:after="0" w:line="240" w:lineRule="auto"/>
    </w:pPr>
    <w:rPr>
      <w:rFonts w:ascii="Calibri" w:eastAsia="新細明體" w:hAnsi="Calibri" w:cs="Calibri"/>
      <w:noProof/>
      <w:kern w:val="2"/>
    </w:rPr>
  </w:style>
  <w:style w:type="character" w:customStyle="1" w:styleId="EndNoteBibliography0">
    <w:name w:val="EndNote Bibliography 字元"/>
    <w:basedOn w:val="a0"/>
    <w:link w:val="EndNoteBibliography"/>
    <w:rsid w:val="00822FB5"/>
    <w:rPr>
      <w:rFonts w:ascii="Calibri" w:eastAsia="新細明體" w:hAnsi="Calibri" w:cs="Calibri"/>
      <w:noProof/>
      <w:sz w:val="22"/>
    </w:rPr>
  </w:style>
  <w:style w:type="character" w:styleId="a6">
    <w:name w:val="Hyperlink"/>
    <w:basedOn w:val="a0"/>
    <w:uiPriority w:val="99"/>
    <w:unhideWhenUsed/>
    <w:rsid w:val="00C02F36"/>
    <w:rPr>
      <w:color w:val="0563C1" w:themeColor="hyperlink"/>
      <w:u w:val="single"/>
    </w:rPr>
  </w:style>
  <w:style w:type="table" w:styleId="a7">
    <w:name w:val="Table Grid"/>
    <w:basedOn w:val="a1"/>
    <w:uiPriority w:val="39"/>
    <w:rsid w:val="00151D37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E24E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E24EA9"/>
    <w:rPr>
      <w:kern w:val="0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E24E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E24EA9"/>
    <w:rPr>
      <w:kern w:val="0"/>
      <w:sz w:val="20"/>
      <w:szCs w:val="20"/>
    </w:rPr>
  </w:style>
  <w:style w:type="paragraph" w:customStyle="1" w:styleId="MDPI41tablecaption">
    <w:name w:val="MDPI_4.1_table_caption"/>
    <w:basedOn w:val="a"/>
    <w:qFormat/>
    <w:rsid w:val="00B525C4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39A52-E8F4-4B42-9315-FE755A231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341</Words>
  <Characters>1948</Characters>
  <Application>Microsoft Office Word</Application>
  <DocSecurity>0</DocSecurity>
  <Lines>16</Lines>
  <Paragraphs>4</Paragraphs>
  <ScaleCrop>false</ScaleCrop>
  <Company>臺北榮民總醫院</Company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帳戶</cp:lastModifiedBy>
  <cp:revision>7</cp:revision>
  <dcterms:created xsi:type="dcterms:W3CDTF">2022-03-17T07:18:00Z</dcterms:created>
  <dcterms:modified xsi:type="dcterms:W3CDTF">2022-03-17T07:22:00Z</dcterms:modified>
</cp:coreProperties>
</file>