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747" w:rsidRPr="004C4381" w:rsidRDefault="00937747" w:rsidP="00937747">
      <w:pPr>
        <w:spacing w:line="480" w:lineRule="auto"/>
        <w:jc w:val="both"/>
        <w:rPr>
          <w:b/>
          <w:bCs/>
        </w:rPr>
      </w:pPr>
      <w:r w:rsidRPr="003519AF">
        <w:rPr>
          <w:b/>
          <w:bCs/>
        </w:rPr>
        <w:t xml:space="preserve">Chest dual energy CT to assess the effects of steroids on lung function in severe COVID-19 patients </w:t>
      </w:r>
      <w:r>
        <w:rPr>
          <w:b/>
          <w:bCs/>
        </w:rPr>
        <w:t>– Supplementary material</w:t>
      </w:r>
    </w:p>
    <w:p w:rsidR="00937747" w:rsidRPr="004C4381" w:rsidRDefault="00937747" w:rsidP="00937747">
      <w:pPr>
        <w:spacing w:line="480" w:lineRule="auto"/>
        <w:jc w:val="both"/>
        <w:rPr>
          <w:b/>
        </w:rPr>
      </w:pPr>
    </w:p>
    <w:p w:rsidR="00937747" w:rsidRPr="003519AF" w:rsidRDefault="00937747" w:rsidP="00937747">
      <w:pPr>
        <w:spacing w:line="480" w:lineRule="auto"/>
        <w:jc w:val="both"/>
      </w:pPr>
      <w:r w:rsidRPr="003519AF">
        <w:rPr>
          <w:color w:val="000000"/>
        </w:rPr>
        <w:t xml:space="preserve">Gaetano Perchiazzi MD, PhD </w:t>
      </w:r>
      <w:r w:rsidRPr="003519AF">
        <w:rPr>
          <w:color w:val="000000"/>
          <w:vertAlign w:val="superscript"/>
        </w:rPr>
        <w:t>1,2,3</w:t>
      </w:r>
      <w:r w:rsidRPr="003519AF">
        <w:t xml:space="preserve">; Aleksandra Larina, MD </w:t>
      </w:r>
      <w:r w:rsidRPr="003519AF">
        <w:rPr>
          <w:color w:val="000000"/>
          <w:vertAlign w:val="superscript"/>
        </w:rPr>
        <w:t>1,3</w:t>
      </w:r>
      <w:r w:rsidRPr="003519AF">
        <w:t xml:space="preserve">; </w:t>
      </w:r>
      <w:r w:rsidRPr="003519AF">
        <w:rPr>
          <w:color w:val="000000"/>
        </w:rPr>
        <w:t xml:space="preserve">Tomas Hansen, MD, PhD </w:t>
      </w:r>
      <w:r w:rsidRPr="003519AF">
        <w:rPr>
          <w:vertAlign w:val="superscript"/>
        </w:rPr>
        <w:t>4</w:t>
      </w:r>
      <w:r w:rsidRPr="003519AF">
        <w:rPr>
          <w:color w:val="000000"/>
        </w:rPr>
        <w:t xml:space="preserve">; </w:t>
      </w:r>
      <w:r w:rsidRPr="003519AF">
        <w:t xml:space="preserve">Robert Frithiof </w:t>
      </w:r>
      <w:r w:rsidRPr="003519AF">
        <w:rPr>
          <w:color w:val="000000"/>
        </w:rPr>
        <w:t xml:space="preserve">MD, PhD </w:t>
      </w:r>
      <w:r w:rsidRPr="003519AF">
        <w:rPr>
          <w:color w:val="000000"/>
          <w:vertAlign w:val="superscript"/>
        </w:rPr>
        <w:t>1,3</w:t>
      </w:r>
      <w:r w:rsidRPr="003519AF">
        <w:rPr>
          <w:color w:val="000000"/>
        </w:rPr>
        <w:t>;</w:t>
      </w:r>
      <w:r w:rsidRPr="003519AF">
        <w:t xml:space="preserve"> Michael Hultström</w:t>
      </w:r>
      <w:r w:rsidRPr="003519AF">
        <w:rPr>
          <w:color w:val="000000"/>
        </w:rPr>
        <w:t xml:space="preserve"> MD, PhD </w:t>
      </w:r>
      <w:r w:rsidRPr="003519AF">
        <w:rPr>
          <w:color w:val="000000"/>
          <w:vertAlign w:val="superscript"/>
        </w:rPr>
        <w:t>1,3,5</w:t>
      </w:r>
      <w:r w:rsidRPr="003519AF">
        <w:t xml:space="preserve">; Miklos Lipcsey, MD, PhD </w:t>
      </w:r>
      <w:r w:rsidRPr="003519AF">
        <w:rPr>
          <w:color w:val="000000"/>
          <w:vertAlign w:val="superscript"/>
        </w:rPr>
        <w:t>1,2,3</w:t>
      </w:r>
      <w:r w:rsidRPr="003519AF">
        <w:t xml:space="preserve">; </w:t>
      </w:r>
      <w:r w:rsidRPr="003519AF">
        <w:rPr>
          <w:color w:val="000000"/>
        </w:rPr>
        <w:t xml:space="preserve">Mariangela </w:t>
      </w:r>
      <w:r w:rsidRPr="003519AF">
        <w:t xml:space="preserve">Pellegrini, MD, PhD </w:t>
      </w:r>
      <w:r w:rsidRPr="003519AF">
        <w:rPr>
          <w:color w:val="000000"/>
          <w:vertAlign w:val="superscript"/>
        </w:rPr>
        <w:t>1,2,3</w:t>
      </w:r>
      <w:r w:rsidRPr="003519AF">
        <w:rPr>
          <w:color w:val="000000"/>
        </w:rPr>
        <w:t>.</w:t>
      </w:r>
    </w:p>
    <w:p w:rsidR="00937747" w:rsidRPr="003519AF" w:rsidRDefault="00937747" w:rsidP="00937747">
      <w:pPr>
        <w:spacing w:line="480" w:lineRule="auto"/>
        <w:jc w:val="both"/>
      </w:pPr>
    </w:p>
    <w:p w:rsidR="00937747" w:rsidRPr="003519AF" w:rsidRDefault="00937747" w:rsidP="00937747">
      <w:pPr>
        <w:spacing w:line="480" w:lineRule="auto"/>
        <w:jc w:val="both"/>
      </w:pPr>
      <w:r w:rsidRPr="003519AF">
        <w:rPr>
          <w:vertAlign w:val="superscript"/>
        </w:rPr>
        <w:t xml:space="preserve">1 </w:t>
      </w:r>
      <w:r w:rsidRPr="003519AF">
        <w:t>Anesthesiology and Intensive Care Medicine, Department of Surgical Sciences, Uppsala University, Sweden;</w:t>
      </w:r>
    </w:p>
    <w:p w:rsidR="00937747" w:rsidRPr="003519AF" w:rsidRDefault="00937747" w:rsidP="00937747">
      <w:pPr>
        <w:spacing w:line="480" w:lineRule="auto"/>
        <w:jc w:val="both"/>
      </w:pPr>
      <w:r w:rsidRPr="003519AF">
        <w:rPr>
          <w:vertAlign w:val="superscript"/>
        </w:rPr>
        <w:t xml:space="preserve">2 </w:t>
      </w:r>
      <w:r w:rsidRPr="003519AF">
        <w:t>Hedenstierna Laboratory, Department of Surgical Sciences, Uppsala University, Sweden;</w:t>
      </w:r>
    </w:p>
    <w:p w:rsidR="00937747" w:rsidRPr="003519AF" w:rsidRDefault="00937747" w:rsidP="00937747">
      <w:pPr>
        <w:spacing w:line="480" w:lineRule="auto"/>
        <w:jc w:val="both"/>
      </w:pPr>
      <w:r w:rsidRPr="003519AF">
        <w:rPr>
          <w:vertAlign w:val="superscript"/>
        </w:rPr>
        <w:t>3</w:t>
      </w:r>
      <w:r w:rsidRPr="003519AF">
        <w:t xml:space="preserve"> Department of Anesthesia, Operation and Intensive Care, Uppsala University Hospital, Uppsala, Sweden </w:t>
      </w:r>
    </w:p>
    <w:p w:rsidR="00937747" w:rsidRPr="003519AF" w:rsidRDefault="00937747" w:rsidP="00937747">
      <w:pPr>
        <w:spacing w:line="480" w:lineRule="auto"/>
        <w:jc w:val="both"/>
      </w:pPr>
      <w:r w:rsidRPr="003519AF">
        <w:rPr>
          <w:vertAlign w:val="superscript"/>
        </w:rPr>
        <w:t>4</w:t>
      </w:r>
      <w:r w:rsidRPr="003519AF">
        <w:t xml:space="preserve"> Section of Radiology, Department of Surgical Sciences, Uppsala University, Uppsala, Sweden; </w:t>
      </w:r>
    </w:p>
    <w:p w:rsidR="00937747" w:rsidRPr="003519AF" w:rsidRDefault="00937747" w:rsidP="00937747">
      <w:pPr>
        <w:spacing w:line="480" w:lineRule="auto"/>
        <w:jc w:val="both"/>
      </w:pPr>
      <w:r w:rsidRPr="003519AF">
        <w:rPr>
          <w:vertAlign w:val="superscript"/>
        </w:rPr>
        <w:t>5</w:t>
      </w:r>
      <w:r w:rsidRPr="003519AF">
        <w:t xml:space="preserve"> Integrative Physiology, Department of Medical Cell Biology, Uppsala University, Uppsala, Sweden.</w:t>
      </w:r>
    </w:p>
    <w:p w:rsidR="00937747" w:rsidRPr="004C4381" w:rsidRDefault="00937747" w:rsidP="00937747">
      <w:pPr>
        <w:spacing w:line="480" w:lineRule="auto"/>
        <w:jc w:val="both"/>
      </w:pPr>
    </w:p>
    <w:p w:rsidR="00937747" w:rsidRDefault="00937747" w:rsidP="00937747">
      <w:pPr>
        <w:spacing w:line="480" w:lineRule="auto"/>
        <w:rPr>
          <w:b/>
        </w:rPr>
      </w:pPr>
    </w:p>
    <w:p w:rsidR="00937747" w:rsidRDefault="00937747" w:rsidP="00937747">
      <w:pPr>
        <w:spacing w:line="480" w:lineRule="auto"/>
        <w:rPr>
          <w:b/>
        </w:rPr>
      </w:pPr>
    </w:p>
    <w:p w:rsidR="00937747" w:rsidRDefault="00937747" w:rsidP="00937747">
      <w:pPr>
        <w:spacing w:line="480" w:lineRule="auto"/>
        <w:rPr>
          <w:b/>
        </w:rPr>
      </w:pPr>
      <w:r>
        <w:rPr>
          <w:b/>
        </w:rPr>
        <w:br w:type="page"/>
      </w:r>
    </w:p>
    <w:p w:rsidR="00937747" w:rsidRPr="00C07A1D" w:rsidRDefault="00937747" w:rsidP="00937747">
      <w:pPr>
        <w:spacing w:line="480" w:lineRule="auto"/>
        <w:rPr>
          <w:b/>
        </w:rPr>
      </w:pPr>
      <w:r w:rsidRPr="00C07A1D">
        <w:rPr>
          <w:b/>
        </w:rPr>
        <w:lastRenderedPageBreak/>
        <w:t>MATERIALS AND METHODS</w:t>
      </w:r>
    </w:p>
    <w:p w:rsidR="00937747" w:rsidRPr="00C07A1D" w:rsidRDefault="00937747" w:rsidP="00937747">
      <w:pPr>
        <w:spacing w:line="480" w:lineRule="auto"/>
        <w:rPr>
          <w:b/>
        </w:rPr>
      </w:pPr>
    </w:p>
    <w:p w:rsidR="00937747" w:rsidRPr="00C07A1D" w:rsidRDefault="00937747" w:rsidP="00937747">
      <w:pPr>
        <w:spacing w:line="480" w:lineRule="auto"/>
        <w:jc w:val="both"/>
        <w:rPr>
          <w:b/>
          <w:bCs/>
        </w:rPr>
      </w:pPr>
      <w:r w:rsidRPr="00C07A1D">
        <w:rPr>
          <w:b/>
          <w:bCs/>
        </w:rPr>
        <w:t>Study population</w:t>
      </w:r>
    </w:p>
    <w:p w:rsidR="00937747" w:rsidRPr="00C07A1D" w:rsidRDefault="00937747" w:rsidP="00937747">
      <w:pPr>
        <w:spacing w:line="480" w:lineRule="auto"/>
        <w:jc w:val="both"/>
      </w:pPr>
      <w:r>
        <w:t xml:space="preserve">We analyzed clinically indicated DECT performed on patients included in a prospective observational single center study of critically ill COVID-19 patients </w:t>
      </w:r>
      <w:r w:rsidRPr="00C07A1D">
        <w:t xml:space="preserve">admitted to the intensive care unit (ICU) </w:t>
      </w:r>
      <w:r w:rsidRPr="00DB09DA">
        <w:rPr>
          <w:lang w:val="en-GB"/>
        </w:rPr>
        <w:t xml:space="preserve">at </w:t>
      </w:r>
      <w:r w:rsidRPr="00C07A1D">
        <w:t xml:space="preserve">Uppsala </w:t>
      </w:r>
      <w:r w:rsidRPr="00DB09DA">
        <w:rPr>
          <w:lang w:val="en-GB"/>
        </w:rPr>
        <w:t xml:space="preserve">University Hospital in </w:t>
      </w:r>
      <w:r w:rsidRPr="00C07A1D">
        <w:t>Sweden between April 7</w:t>
      </w:r>
      <w:r w:rsidRPr="00C07A1D">
        <w:rPr>
          <w:vertAlign w:val="superscript"/>
        </w:rPr>
        <w:t>th</w:t>
      </w:r>
      <w:r w:rsidRPr="00C07A1D">
        <w:t>, 2020 and January 18</w:t>
      </w:r>
      <w:r w:rsidRPr="00C07A1D">
        <w:rPr>
          <w:vertAlign w:val="superscript"/>
        </w:rPr>
        <w:t>th</w:t>
      </w:r>
      <w:r w:rsidRPr="00C07A1D">
        <w:t>, 2021. The study was approved by the National Ethical Review Agency</w:t>
      </w:r>
      <w:r w:rsidRPr="00DB09DA">
        <w:rPr>
          <w:lang w:val="en-GB"/>
        </w:rPr>
        <w:t xml:space="preserve"> </w:t>
      </w:r>
      <w:r w:rsidRPr="00E009AD">
        <w:t>(EPM; No. 2020-01623)</w:t>
      </w:r>
      <w:r w:rsidRPr="00C07A1D">
        <w:t xml:space="preserve"> and performed according to the Declaration of Helsinki</w:t>
      </w:r>
      <w:r>
        <w:t xml:space="preserve"> </w:t>
      </w:r>
      <w:r w:rsidRPr="0070001E">
        <w:t>and its subsequent revisions</w:t>
      </w:r>
      <w:r w:rsidRPr="00C07A1D">
        <w:t>. STROBE guidelines were followed for data reporting. Informed consent was obtained either directly from the patient or, if the patient was unable to give consent, from patient’s next of kin. Patients older than 18 years with positive PCR test for SARS-CoV2 on nasal swab specimen</w:t>
      </w:r>
      <w:r>
        <w:t xml:space="preserve"> </w:t>
      </w:r>
      <w:r w:rsidRPr="006C5EA6">
        <w:t>an</w:t>
      </w:r>
      <w:r>
        <w:t xml:space="preserve">d available </w:t>
      </w:r>
      <w:r w:rsidRPr="00C07A1D">
        <w:t xml:space="preserve">chest </w:t>
      </w:r>
      <w:r w:rsidRPr="006C5EA6">
        <w:t>DE</w:t>
      </w:r>
      <w:r w:rsidRPr="00C07A1D">
        <w:t>CT</w:t>
      </w:r>
      <w:r w:rsidRPr="006C5EA6">
        <w:t xml:space="preserve"> </w:t>
      </w:r>
      <w:r>
        <w:t>performed during the intensive care stay</w:t>
      </w:r>
      <w:r w:rsidRPr="00C07A1D">
        <w:t xml:space="preserve"> were </w:t>
      </w:r>
      <w:r>
        <w:t>analyze</w:t>
      </w:r>
      <w:r w:rsidRPr="00C07A1D">
        <w:t>d. Data gathered from patients</w:t>
      </w:r>
      <w:r w:rsidRPr="00C07A1D">
        <w:rPr>
          <w:lang w:val="en-GB"/>
        </w:rPr>
        <w:t xml:space="preserve"> that</w:t>
      </w:r>
      <w:r w:rsidRPr="00C07A1D">
        <w:t xml:space="preserve"> underwent chest dual energy CT (chest DECT, Somatom Definition Flash, Siemens AG, Erlangen, Germany) were selected for the current study. </w:t>
      </w:r>
    </w:p>
    <w:p w:rsidR="00937747" w:rsidRPr="00C07A1D" w:rsidRDefault="00937747" w:rsidP="00937747">
      <w:pPr>
        <w:spacing w:line="480" w:lineRule="auto"/>
        <w:jc w:val="both"/>
      </w:pPr>
    </w:p>
    <w:p w:rsidR="00937747" w:rsidRPr="00C07A1D" w:rsidRDefault="00937747" w:rsidP="00937747">
      <w:pPr>
        <w:spacing w:line="480" w:lineRule="auto"/>
        <w:jc w:val="both"/>
        <w:rPr>
          <w:b/>
          <w:bCs/>
        </w:rPr>
      </w:pPr>
      <w:r w:rsidRPr="00C07A1D">
        <w:rPr>
          <w:b/>
          <w:bCs/>
        </w:rPr>
        <w:t>Dual Energy CT scans</w:t>
      </w:r>
    </w:p>
    <w:p w:rsidR="00937747" w:rsidRPr="00C07A1D" w:rsidRDefault="00937747" w:rsidP="00937747">
      <w:pPr>
        <w:spacing w:line="480" w:lineRule="auto"/>
        <w:jc w:val="both"/>
      </w:pPr>
      <w:r w:rsidRPr="00C07A1D">
        <w:t xml:space="preserve">Chest DECT scans were performed when clinically indicated and feasible, hence at different stages of the disease. The DECT scans were performed with contrast agent iohexol (Omnipaque 350 </w:t>
      </w:r>
      <w:r>
        <w:t>mg/ml</w:t>
      </w:r>
      <w:r w:rsidRPr="00C07A1D">
        <w:t xml:space="preserve">, GE Healthcare, USA) injected in a peripheral vein at a rate of 4 </w:t>
      </w:r>
      <w:r>
        <w:t>ml</w:t>
      </w:r>
      <w:r w:rsidRPr="00C07A1D">
        <w:t xml:space="preserve">/s and a dose of 1.5 </w:t>
      </w:r>
      <w:r>
        <w:t>ml</w:t>
      </w:r>
      <w:r w:rsidRPr="00C07A1D">
        <w:t>/kg, with a total volume of approximately 60–80 m</w:t>
      </w:r>
      <w:r>
        <w:t>l</w:t>
      </w:r>
      <w:r w:rsidRPr="00C07A1D">
        <w:t>. Axial CT images were used to draw a region of interest in the left atrium to compute a time versus contrast density curve. This curve was used to establish the delay between the start of contrast injection and the start of the DECT acquisition. The scans were acquired in static lung conditions, covering the whole lung parenchyma in supine position. To avoid streak artifacts due to highly concentrated contrast</w:t>
      </w:r>
      <w:r>
        <w:t>-</w:t>
      </w:r>
      <w:r w:rsidRPr="00C07A1D">
        <w:t xml:space="preserve">mean in the superior vena cava territory, scans were acquired in the caudocranial direction. The dual-energy imaging protocol consisted of a collimation of 0.6 mm, as well </w:t>
      </w:r>
      <w:r w:rsidRPr="00C07A1D">
        <w:lastRenderedPageBreak/>
        <w:t>as of a tube voltage of 80 or 100</w:t>
      </w:r>
      <w:r>
        <w:t xml:space="preserve"> kV and </w:t>
      </w:r>
      <w:r w:rsidRPr="00C07A1D">
        <w:t>Sn140 kV</w:t>
      </w:r>
      <w:r>
        <w:t xml:space="preserve"> for respective tube</w:t>
      </w:r>
      <w:r w:rsidRPr="00C07A1D">
        <w:t xml:space="preserve"> and a reference tube current of 190/95 mAs using automatic tube current </w:t>
      </w:r>
      <w:r w:rsidRPr="00380D1E">
        <w:t xml:space="preserve">modulation (CARE Dose, Siemens Healthineers, Erlangen, Germany). The mean CTDIvol was 15.7 ±7.0 mGy (see </w:t>
      </w:r>
      <w:r w:rsidRPr="00380D1E">
        <w:rPr>
          <w:i/>
          <w:iCs/>
        </w:rPr>
        <w:t>Figure</w:t>
      </w:r>
      <w:r>
        <w:rPr>
          <w:i/>
          <w:iCs/>
        </w:rPr>
        <w:t>s</w:t>
      </w:r>
      <w:r w:rsidRPr="00380D1E">
        <w:rPr>
          <w:i/>
          <w:iCs/>
        </w:rPr>
        <w:t xml:space="preserve"> </w:t>
      </w:r>
      <w:r>
        <w:rPr>
          <w:i/>
          <w:iCs/>
        </w:rPr>
        <w:t>1 and 2</w:t>
      </w:r>
      <w:r w:rsidRPr="00380D1E">
        <w:t>).</w:t>
      </w:r>
      <w:r w:rsidRPr="00C07A1D">
        <w:t xml:space="preserve"> </w:t>
      </w:r>
    </w:p>
    <w:p w:rsidR="00937747" w:rsidRPr="00C07A1D" w:rsidRDefault="00937747" w:rsidP="00937747">
      <w:pPr>
        <w:spacing w:line="480" w:lineRule="auto"/>
        <w:jc w:val="both"/>
      </w:pPr>
    </w:p>
    <w:p w:rsidR="00937747" w:rsidRPr="00C07A1D" w:rsidRDefault="00937747" w:rsidP="00937747">
      <w:pPr>
        <w:spacing w:line="480" w:lineRule="auto"/>
        <w:jc w:val="both"/>
        <w:rPr>
          <w:b/>
          <w:bCs/>
        </w:rPr>
      </w:pPr>
      <w:r w:rsidRPr="00C07A1D">
        <w:rPr>
          <w:b/>
          <w:bCs/>
        </w:rPr>
        <w:t>Laboratory, clinical and physiological variables</w:t>
      </w:r>
    </w:p>
    <w:p w:rsidR="00937747" w:rsidRPr="00C07A1D" w:rsidRDefault="00937747" w:rsidP="00937747">
      <w:pPr>
        <w:spacing w:line="480" w:lineRule="auto"/>
        <w:jc w:val="both"/>
      </w:pPr>
      <w:r w:rsidRPr="00C07A1D">
        <w:t>Comprehensive clinical data (e.g., demographics, chronic health conditions, vital signs, ventilatory settings and laboratory tests, including markers of acute inflammation</w:t>
      </w:r>
      <w:r w:rsidRPr="008800F6">
        <w:t xml:space="preserve"> were collected </w:t>
      </w:r>
      <w:r w:rsidRPr="003D486E">
        <w:rPr>
          <w:lang w:val="en-GB"/>
        </w:rPr>
        <w:t xml:space="preserve">from </w:t>
      </w:r>
      <w:r>
        <w:rPr>
          <w:lang w:val="en-GB"/>
        </w:rPr>
        <w:t xml:space="preserve">the </w:t>
      </w:r>
      <w:r w:rsidRPr="00C07A1D">
        <w:t>patients’</w:t>
      </w:r>
      <w:r>
        <w:rPr>
          <w:lang w:val="en-GB"/>
        </w:rPr>
        <w:t xml:space="preserve"> medical records</w:t>
      </w:r>
      <w:r w:rsidRPr="00C07A1D">
        <w:t xml:space="preserve">. A subgroup analysis was </w:t>
      </w:r>
      <w:r w:rsidRPr="00503E22">
        <w:t>conduc</w:t>
      </w:r>
      <w:r>
        <w:t>ted</w:t>
      </w:r>
      <w:r w:rsidRPr="00C07A1D">
        <w:t>, dividing the sampled population in two groups: the group of patients not treated with steroids (</w:t>
      </w:r>
      <w:r>
        <w:t>No-Steroids</w:t>
      </w:r>
      <w:r w:rsidRPr="00C07A1D">
        <w:t xml:space="preserve"> group) and the one treated with steroids (Steroids group).</w:t>
      </w:r>
      <w:r w:rsidRPr="00CB11E2">
        <w:t xml:space="preserve"> </w:t>
      </w:r>
      <w:r w:rsidRPr="00C07A1D">
        <w:t>The first arterial blood gas analysis collected after patient transportation to the CT</w:t>
      </w:r>
      <w:r w:rsidRPr="00C07A1D">
        <w:rPr>
          <w:b/>
          <w:bCs/>
        </w:rPr>
        <w:t xml:space="preserve"> </w:t>
      </w:r>
      <w:r w:rsidRPr="00C07A1D">
        <w:t xml:space="preserve">lab was collected. </w:t>
      </w:r>
    </w:p>
    <w:p w:rsidR="00937747" w:rsidRPr="00C07A1D" w:rsidRDefault="00937747" w:rsidP="00937747">
      <w:pPr>
        <w:spacing w:line="480" w:lineRule="auto"/>
        <w:jc w:val="both"/>
      </w:pPr>
    </w:p>
    <w:p w:rsidR="00937747" w:rsidRPr="00C07A1D" w:rsidRDefault="00937747" w:rsidP="00937747">
      <w:pPr>
        <w:spacing w:line="480" w:lineRule="auto"/>
        <w:jc w:val="both"/>
        <w:rPr>
          <w:b/>
          <w:bCs/>
        </w:rPr>
      </w:pPr>
      <w:r w:rsidRPr="00C07A1D">
        <w:rPr>
          <w:b/>
          <w:bCs/>
        </w:rPr>
        <w:t>DECT image analysis</w:t>
      </w:r>
    </w:p>
    <w:p w:rsidR="00937747" w:rsidRPr="00380D1E" w:rsidRDefault="00937747" w:rsidP="00937747">
      <w:pPr>
        <w:spacing w:line="480" w:lineRule="auto"/>
        <w:jc w:val="both"/>
      </w:pPr>
      <w:r w:rsidRPr="00C07A1D">
        <w:t>The sequences of images obtained during the simultaneous rotation of the two x-rays tubes and the two corresponding detectors were stored and processed using the DECT post-processing software package (</w:t>
      </w:r>
      <w:r w:rsidRPr="00380D1E">
        <w:t xml:space="preserve">syngo.via, version VB10B, Siemens Healthcare). Two different sequences of images were obtained: the virtual unenhanced non-contrast (VNC) images and the corresponding virtual unenhanced contrast (VC) images. The VNC and VC images respectively correspond to the gas-distribution (inflation) and blood-distribution (perfusion) maps (see </w:t>
      </w:r>
      <w:r w:rsidRPr="00380D1E">
        <w:rPr>
          <w:i/>
          <w:iCs/>
        </w:rPr>
        <w:t>Figures 1 and 2</w:t>
      </w:r>
      <w:r w:rsidRPr="00380D1E">
        <w:t>). The sequences of VNC and VC images obtained were stored in DICOM format and further processed as two</w:t>
      </w:r>
      <w:r w:rsidRPr="00C07A1D">
        <w:t>-dimensional matrices in MatLab environment (MatLab and Statistics Toolbox Release 202</w:t>
      </w:r>
      <w:r w:rsidRPr="00CB11E2">
        <w:t>1</w:t>
      </w:r>
      <w:r w:rsidRPr="00C07A1D">
        <w:t xml:space="preserve">a, The MathWorks, Natick, USA). Twenty images evenly spaced along the cranial-caudal axis and located between the apex (set as cranial limit) and the </w:t>
      </w:r>
      <w:r w:rsidRPr="00380D1E">
        <w:t xml:space="preserve">diaphragmatic dome (set as caudal limit) were selected for analysis (see </w:t>
      </w:r>
      <w:r w:rsidRPr="00380D1E">
        <w:rPr>
          <w:i/>
          <w:iCs/>
        </w:rPr>
        <w:t>Figure 1 and 2</w:t>
      </w:r>
      <w:r w:rsidRPr="00380D1E">
        <w:t xml:space="preserve">). For each image, lung parenchyma segmentation was applied to extract information from the lung </w:t>
      </w:r>
      <w:r w:rsidRPr="00380D1E">
        <w:lastRenderedPageBreak/>
        <w:t>parenchyma</w:t>
      </w:r>
      <w:r w:rsidRPr="0059150E">
        <w:t xml:space="preserve">. </w:t>
      </w:r>
      <w:r w:rsidRPr="00C07A1D">
        <w:t xml:space="preserve">Big vessels, heart and mediastinal structures were excluded from the subsequent analysis </w:t>
      </w:r>
      <w:r w:rsidRPr="009A0F1F">
        <w:rPr>
          <w:color w:val="000000"/>
        </w:rPr>
        <w:t>[1]</w:t>
      </w:r>
      <w:r w:rsidRPr="00C07A1D">
        <w:t xml:space="preserve">. </w:t>
      </w:r>
      <w:r w:rsidRPr="00380D1E">
        <w:t xml:space="preserve">The collected images were two-dimensional square matrices (512 x 512 voxels) having as voxel dimensions of 0.7461 mm x 0.7461 mm x 1 mm. Each voxel was characterized by a CT number, expressed as Hounsfield units (HU). </w:t>
      </w:r>
    </w:p>
    <w:p w:rsidR="00937747" w:rsidRPr="00C07A1D" w:rsidRDefault="00937747" w:rsidP="00937747">
      <w:pPr>
        <w:spacing w:line="480" w:lineRule="auto"/>
        <w:jc w:val="both"/>
      </w:pPr>
      <w:r w:rsidRPr="00380D1E">
        <w:t>As regard to the inflation maps, the Hounsfield units (HU) range between –1,000 (gas) and +100 (non-aerated lung) was considered, as done in previous studies</w:t>
      </w:r>
      <w:r>
        <w:t xml:space="preserve"> </w:t>
      </w:r>
      <w:r w:rsidRPr="009A0F1F">
        <w:rPr>
          <w:color w:val="000000"/>
        </w:rPr>
        <w:t>[2,3]</w:t>
      </w:r>
      <w:r w:rsidRPr="00380D1E">
        <w:t xml:space="preserve"> (see </w:t>
      </w:r>
      <w:r w:rsidRPr="00380D1E">
        <w:rPr>
          <w:i/>
          <w:iCs/>
        </w:rPr>
        <w:t>Figure 2</w:t>
      </w:r>
      <w:r w:rsidRPr="00380D1E">
        <w:t>). Consequently, based on previous literature</w:t>
      </w:r>
      <w:r w:rsidRPr="00C07A1D">
        <w:t xml:space="preserve"> </w:t>
      </w:r>
      <w:r w:rsidRPr="009A0F1F">
        <w:rPr>
          <w:color w:val="000000"/>
        </w:rPr>
        <w:t>[4]</w:t>
      </w:r>
      <w:r>
        <w:t>, f</w:t>
      </w:r>
      <w:r w:rsidRPr="00C07A1D">
        <w:t xml:space="preserve">our lung compartments were defined: hyperinflated (between –1,000 and –800 HU), normoinflated (between –800 and –500 HU), </w:t>
      </w:r>
      <w:r w:rsidRPr="009818C5">
        <w:t>poorl</w:t>
      </w:r>
      <w:r>
        <w:t xml:space="preserve">y </w:t>
      </w:r>
      <w:r w:rsidRPr="00C07A1D">
        <w:t xml:space="preserve">inflated (between –500 and –100 HU) and non-inflated or atelectatic lung (between –100 and +100 HU). </w:t>
      </w:r>
    </w:p>
    <w:p w:rsidR="00937747" w:rsidRPr="00380D1E" w:rsidRDefault="00937747" w:rsidP="00937747">
      <w:pPr>
        <w:spacing w:line="480" w:lineRule="auto"/>
        <w:jc w:val="both"/>
      </w:pPr>
      <w:r w:rsidRPr="00503E22">
        <w:t>As regard</w:t>
      </w:r>
      <w:r>
        <w:t xml:space="preserve"> to perfusion maps, a</w:t>
      </w:r>
      <w:r w:rsidRPr="00C07A1D">
        <w:t xml:space="preserve"> </w:t>
      </w:r>
      <w:r w:rsidRPr="00380D1E">
        <w:t xml:space="preserve">HU range between -100 (corresponding to non-perfused lung) and +150 (corresponding to high perfused lung) was </w:t>
      </w:r>
      <w:r>
        <w:t>analyze</w:t>
      </w:r>
      <w:r w:rsidRPr="00380D1E">
        <w:t xml:space="preserve">d (see </w:t>
      </w:r>
      <w:r w:rsidRPr="00380D1E">
        <w:rPr>
          <w:i/>
          <w:iCs/>
        </w:rPr>
        <w:t>Figure 2</w:t>
      </w:r>
      <w:r w:rsidRPr="00380D1E">
        <w:t xml:space="preserve">). </w:t>
      </w:r>
      <w:r w:rsidRPr="001A7AE8">
        <w:t xml:space="preserve">Based on previous studies </w:t>
      </w:r>
      <w:r w:rsidRPr="009A0F1F">
        <w:rPr>
          <w:color w:val="000000"/>
        </w:rPr>
        <w:t>[5,6]</w:t>
      </w:r>
      <w:r w:rsidRPr="00380D1E">
        <w:t>, zero HU was defined as limit to separate non-perfused (HU lower or equal to 0) from perfused lung (HU higher than 0). To quantify the extension of each HU compartment, each area was separately computed and expressed as both cm</w:t>
      </w:r>
      <w:r w:rsidRPr="00380D1E">
        <w:rPr>
          <w:vertAlign w:val="superscript"/>
        </w:rPr>
        <w:t xml:space="preserve">2 </w:t>
      </w:r>
      <w:r w:rsidRPr="00380D1E">
        <w:t xml:space="preserve">and percent of the total area in a given perfusion (or inflation) map. The kurtosis of the bell-shaped curves characterizing the HU distribution of perfusion maps was also estimated </w:t>
      </w:r>
      <w:r w:rsidRPr="009A0F1F">
        <w:rPr>
          <w:color w:val="000000"/>
        </w:rPr>
        <w:t>[7,8]</w:t>
      </w:r>
      <w:r w:rsidRPr="00380D1E">
        <w:rPr>
          <w:color w:val="000000"/>
        </w:rPr>
        <w:t xml:space="preserve"> </w:t>
      </w:r>
      <w:r w:rsidRPr="00380D1E">
        <w:t xml:space="preserve">(see </w:t>
      </w:r>
      <w:r w:rsidRPr="00380D1E">
        <w:rPr>
          <w:i/>
          <w:iCs/>
        </w:rPr>
        <w:t>Figure 3A</w:t>
      </w:r>
      <w:r w:rsidRPr="00380D1E">
        <w:t>)</w:t>
      </w:r>
      <w:r w:rsidRPr="00380D1E">
        <w:rPr>
          <w:color w:val="000000"/>
        </w:rPr>
        <w:t>. A</w:t>
      </w:r>
      <w:r w:rsidRPr="00380D1E">
        <w:t xml:space="preserve"> reduced kurtosis corresponds to a lower homogeneity of perfusion within the </w:t>
      </w:r>
      <w:r>
        <w:t>analyze</w:t>
      </w:r>
      <w:r w:rsidRPr="00380D1E">
        <w:t xml:space="preserve">d lung parenchyma. </w:t>
      </w:r>
      <w:r w:rsidRPr="001A7AE8">
        <w:t xml:space="preserve">Based on previous evidences </w:t>
      </w:r>
      <w:r w:rsidRPr="009A0F1F">
        <w:rPr>
          <w:color w:val="000000"/>
        </w:rPr>
        <w:t>[9]</w:t>
      </w:r>
      <w:r w:rsidRPr="00380D1E">
        <w:t xml:space="preserve">, a reduced homogeneity in regional perfusion can be interpreted as hypoxic pulmonary vasoconstriction (HPV). To assess HPV, in which a reduced blood volume is mainly expected in the hypoinflated area compared to the whole lung parenchyma, perfusion distribution was separately assessed for the whole lung and for the hypoinflated lung, the latter characterized by poorly inflated and not inflated lung regions (HU between -500 and +100) (see </w:t>
      </w:r>
      <w:r w:rsidRPr="00380D1E">
        <w:rPr>
          <w:i/>
          <w:iCs/>
        </w:rPr>
        <w:t>Figure 3</w:t>
      </w:r>
      <w:r w:rsidRPr="00380D1E">
        <w:t xml:space="preserve">). </w:t>
      </w:r>
    </w:p>
    <w:p w:rsidR="00937747" w:rsidRPr="00C07A1D" w:rsidRDefault="00937747" w:rsidP="00937747">
      <w:pPr>
        <w:spacing w:line="480" w:lineRule="auto"/>
        <w:jc w:val="both"/>
      </w:pPr>
    </w:p>
    <w:p w:rsidR="00937747" w:rsidRPr="00C07A1D" w:rsidRDefault="00937747" w:rsidP="00937747">
      <w:pPr>
        <w:spacing w:line="480" w:lineRule="auto"/>
        <w:jc w:val="both"/>
        <w:rPr>
          <w:b/>
          <w:bCs/>
        </w:rPr>
      </w:pPr>
      <w:r w:rsidRPr="00C07A1D">
        <w:rPr>
          <w:b/>
          <w:bCs/>
        </w:rPr>
        <w:t>Lung weight analysis</w:t>
      </w:r>
    </w:p>
    <w:p w:rsidR="00937747" w:rsidRPr="00C07A1D" w:rsidRDefault="00937747" w:rsidP="00937747">
      <w:pPr>
        <w:spacing w:line="480" w:lineRule="auto"/>
        <w:jc w:val="both"/>
      </w:pPr>
      <w:r w:rsidRPr="00C07A1D">
        <w:lastRenderedPageBreak/>
        <w:t xml:space="preserve">Based on </w:t>
      </w:r>
      <w:r w:rsidRPr="001A7AE8">
        <w:t>previous literature</w:t>
      </w:r>
      <w:r w:rsidRPr="001A7AE8">
        <w:rPr>
          <w:color w:val="000000"/>
        </w:rPr>
        <w:t xml:space="preserve"> </w:t>
      </w:r>
      <w:r w:rsidRPr="009A0F1F">
        <w:rPr>
          <w:color w:val="000000"/>
        </w:rPr>
        <w:t>[10–13]</w:t>
      </w:r>
      <w:r w:rsidRPr="001A7AE8">
        <w:t>, for each</w:t>
      </w:r>
      <w:r w:rsidRPr="00C07A1D">
        <w:t xml:space="preserve"> selected inflation map, lung volume (ml), gas volume (ml) and lung weight (g) were calculated according to the following equations:</w:t>
      </w:r>
    </w:p>
    <w:p w:rsidR="00937747" w:rsidRDefault="00937747" w:rsidP="00937747">
      <w:pPr>
        <w:pStyle w:val="ListParagraph"/>
        <w:numPr>
          <w:ilvl w:val="0"/>
          <w:numId w:val="1"/>
        </w:numPr>
        <w:spacing w:line="480" w:lineRule="auto"/>
        <w:ind w:left="426"/>
        <w:jc w:val="both"/>
        <w:rPr>
          <w:rFonts w:ascii="Times New Roman" w:hAnsi="Times New Roman"/>
          <w:lang w:val="en-US"/>
        </w:rPr>
      </w:pPr>
      <w:r>
        <w:rPr>
          <w:rFonts w:ascii="Times New Roman" w:hAnsi="Times New Roman"/>
          <w:lang w:val="en-US"/>
        </w:rPr>
        <w:t>Gas volume</w:t>
      </w:r>
      <w:r w:rsidRPr="00EA6A66">
        <w:rPr>
          <w:rFonts w:ascii="Times New Roman" w:hAnsi="Times New Roman"/>
          <w:lang w:val="en-US"/>
        </w:rPr>
        <w:t xml:space="preserve"> (ml) = slice thickness (mm) * voxel area (mm</w:t>
      </w:r>
      <w:r w:rsidRPr="00D92FEA">
        <w:rPr>
          <w:rFonts w:ascii="Times New Roman" w:hAnsi="Times New Roman"/>
          <w:vertAlign w:val="superscript"/>
          <w:lang w:val="en-US"/>
        </w:rPr>
        <w:t>2</w:t>
      </w:r>
      <w:r w:rsidRPr="00EA6A66">
        <w:rPr>
          <w:rFonts w:ascii="Times New Roman" w:hAnsi="Times New Roman"/>
          <w:lang w:val="en-US"/>
        </w:rPr>
        <w:t>) * voxel attenuation (HU) /-1000 (HU)</w:t>
      </w:r>
      <w:r>
        <w:rPr>
          <w:rFonts w:ascii="Times New Roman" w:hAnsi="Times New Roman"/>
          <w:lang w:val="en-US"/>
        </w:rPr>
        <w:t>;</w:t>
      </w:r>
    </w:p>
    <w:p w:rsidR="00937747" w:rsidRPr="004D2F97" w:rsidRDefault="00937747" w:rsidP="00937747">
      <w:pPr>
        <w:pStyle w:val="ListParagraph"/>
        <w:numPr>
          <w:ilvl w:val="0"/>
          <w:numId w:val="1"/>
        </w:numPr>
        <w:spacing w:line="480" w:lineRule="auto"/>
        <w:ind w:left="426"/>
        <w:jc w:val="both"/>
        <w:rPr>
          <w:rFonts w:ascii="Times New Roman" w:hAnsi="Times New Roman"/>
          <w:lang w:val="en-US"/>
        </w:rPr>
      </w:pPr>
      <w:r>
        <w:rPr>
          <w:rFonts w:ascii="Times New Roman" w:hAnsi="Times New Roman"/>
          <w:lang w:val="en-US"/>
        </w:rPr>
        <w:t>Lung</w:t>
      </w:r>
      <w:r w:rsidRPr="00EA6A66">
        <w:rPr>
          <w:rFonts w:ascii="Times New Roman" w:hAnsi="Times New Roman"/>
          <w:lang w:val="en-US"/>
        </w:rPr>
        <w:t xml:space="preserve"> weight (mg) = slice thickness (mm) * voxel area (mm</w:t>
      </w:r>
      <w:r w:rsidRPr="00D92FEA">
        <w:rPr>
          <w:rFonts w:ascii="Times New Roman" w:hAnsi="Times New Roman"/>
          <w:vertAlign w:val="superscript"/>
          <w:lang w:val="en-US"/>
        </w:rPr>
        <w:t>2</w:t>
      </w:r>
      <w:r w:rsidRPr="00EA6A66">
        <w:rPr>
          <w:rFonts w:ascii="Times New Roman" w:hAnsi="Times New Roman"/>
          <w:lang w:val="en-US"/>
        </w:rPr>
        <w:t>) * (1 - (voxel attenuation (HU)/-1000 (HU)))</w:t>
      </w:r>
      <w:r>
        <w:rPr>
          <w:rFonts w:ascii="Times New Roman" w:hAnsi="Times New Roman"/>
          <w:lang w:val="en-US"/>
        </w:rPr>
        <w:t>.</w:t>
      </w:r>
    </w:p>
    <w:p w:rsidR="00937747" w:rsidRPr="00C07A1D" w:rsidRDefault="00937747" w:rsidP="00937747">
      <w:pPr>
        <w:spacing w:line="480" w:lineRule="auto"/>
        <w:jc w:val="both"/>
      </w:pPr>
      <w:r w:rsidRPr="00C07A1D">
        <w:t xml:space="preserve">Hence, the total lung volume (ml), the total gas volume (ml) and the total lung weight (g) were calculated as follow: </w:t>
      </w:r>
    </w:p>
    <w:p w:rsidR="00937747" w:rsidRPr="00EA6A66" w:rsidRDefault="00937747" w:rsidP="00937747">
      <w:pPr>
        <w:spacing w:line="480" w:lineRule="auto"/>
        <w:ind w:left="851" w:right="1088"/>
        <w:jc w:val="both"/>
        <w:rPr>
          <w:rFonts w:cstheme="minorHAnsi"/>
          <w:i/>
          <w:iCs/>
          <w:color w:val="000000" w:themeColor="text1"/>
        </w:rPr>
      </w:pPr>
      <m:oMathPara>
        <m:oMath>
          <m:r>
            <w:rPr>
              <w:rFonts w:ascii="Cambria Math" w:hAnsi="Cambria Math" w:cstheme="minorHAnsi"/>
              <w:color w:val="000000" w:themeColor="text1"/>
            </w:rPr>
            <m:t xml:space="preserve">Mlung= </m:t>
          </m:r>
          <m:nary>
            <m:naryPr>
              <m:chr m:val="∑"/>
              <m:limLoc m:val="undOvr"/>
              <m:ctrlPr>
                <w:rPr>
                  <w:rFonts w:ascii="Cambria Math" w:hAnsi="Cambria Math" w:cstheme="minorHAnsi"/>
                  <w:i/>
                  <w:iCs/>
                  <w:color w:val="000000" w:themeColor="text1"/>
                </w:rPr>
              </m:ctrlPr>
            </m:naryPr>
            <m:sub>
              <m:r>
                <w:rPr>
                  <w:rFonts w:ascii="Cambria Math" w:hAnsi="Cambria Math" w:cstheme="minorHAnsi"/>
                  <w:color w:val="000000" w:themeColor="text1"/>
                </w:rPr>
                <m:t>i=1</m:t>
              </m:r>
            </m:sub>
            <m:sup>
              <m:r>
                <w:rPr>
                  <w:rFonts w:ascii="Cambria Math" w:hAnsi="Cambria Math" w:cstheme="minorHAnsi"/>
                  <w:color w:val="000000" w:themeColor="text1"/>
                </w:rPr>
                <m:t>N-1</m:t>
              </m:r>
            </m:sup>
            <m:e>
              <m:d>
                <m:dPr>
                  <m:ctrlPr>
                    <w:rPr>
                      <w:rFonts w:ascii="Cambria Math" w:hAnsi="Cambria Math" w:cstheme="minorHAnsi"/>
                      <w:i/>
                      <w:iCs/>
                      <w:color w:val="000000" w:themeColor="text1"/>
                    </w:rPr>
                  </m:ctrlPr>
                </m:dPr>
                <m:e>
                  <m:r>
                    <w:rPr>
                      <w:rFonts w:ascii="Cambria Math" w:hAnsi="Cambria Math" w:cstheme="minorHAnsi"/>
                      <w:color w:val="000000" w:themeColor="text1"/>
                    </w:rPr>
                    <m:t xml:space="preserve">f* </m:t>
                  </m:r>
                  <m:f>
                    <m:fPr>
                      <m:ctrlPr>
                        <w:rPr>
                          <w:rFonts w:ascii="Cambria Math" w:hAnsi="Cambria Math" w:cstheme="minorHAnsi"/>
                          <w:i/>
                          <w:iCs/>
                          <w:color w:val="000000" w:themeColor="text1"/>
                        </w:rPr>
                      </m:ctrlPr>
                    </m:fPr>
                    <m:num>
                      <m:sSub>
                        <m:sSubPr>
                          <m:ctrlPr>
                            <w:rPr>
                              <w:rFonts w:ascii="Cambria Math" w:hAnsi="Cambria Math" w:cstheme="minorHAnsi"/>
                              <w:i/>
                              <w:iCs/>
                              <w:color w:val="000000" w:themeColor="text1"/>
                            </w:rPr>
                          </m:ctrlPr>
                        </m:sSubPr>
                        <m:e>
                          <m:r>
                            <w:rPr>
                              <w:rFonts w:ascii="Cambria Math" w:hAnsi="Cambria Math" w:cstheme="minorHAnsi"/>
                              <w:color w:val="000000" w:themeColor="text1"/>
                            </w:rPr>
                            <m:t>M</m:t>
                          </m:r>
                        </m:e>
                        <m:sub>
                          <m:r>
                            <w:rPr>
                              <w:rFonts w:ascii="Cambria Math" w:hAnsi="Cambria Math" w:cstheme="minorHAnsi"/>
                              <w:color w:val="000000" w:themeColor="text1"/>
                            </w:rPr>
                            <m:t>i</m:t>
                          </m:r>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M</m:t>
                          </m:r>
                        </m:e>
                        <m:sub>
                          <m:r>
                            <w:rPr>
                              <w:rFonts w:ascii="Cambria Math" w:hAnsi="Cambria Math" w:cstheme="minorHAnsi"/>
                              <w:color w:val="000000" w:themeColor="text1"/>
                            </w:rPr>
                            <m:t>i+1</m:t>
                          </m:r>
                        </m:sub>
                      </m:sSub>
                    </m:num>
                    <m:den>
                      <m:r>
                        <w:rPr>
                          <w:rFonts w:ascii="Cambria Math" w:hAnsi="Cambria Math" w:cstheme="minorHAnsi"/>
                          <w:color w:val="000000" w:themeColor="text1"/>
                        </w:rPr>
                        <m:t>2*t</m:t>
                      </m:r>
                    </m:den>
                  </m:f>
                </m:e>
              </m:d>
              <m:r>
                <w:rPr>
                  <w:rFonts w:ascii="Cambria Math" w:hAnsi="Cambria Math" w:cstheme="minorHAnsi"/>
                  <w:color w:val="000000" w:themeColor="text1"/>
                </w:rPr>
                <m:t xml:space="preserve">+ </m:t>
              </m:r>
              <m:f>
                <m:fPr>
                  <m:ctrlPr>
                    <w:rPr>
                      <w:rFonts w:ascii="Cambria Math" w:hAnsi="Cambria Math" w:cstheme="minorHAnsi"/>
                      <w:i/>
                      <w:iCs/>
                      <w:color w:val="000000" w:themeColor="text1"/>
                    </w:rPr>
                  </m:ctrlPr>
                </m:fPr>
                <m:num>
                  <m:sSub>
                    <m:sSubPr>
                      <m:ctrlPr>
                        <w:rPr>
                          <w:rFonts w:ascii="Cambria Math" w:hAnsi="Cambria Math" w:cstheme="minorHAnsi"/>
                          <w:i/>
                          <w:iCs/>
                          <w:color w:val="000000" w:themeColor="text1"/>
                        </w:rPr>
                      </m:ctrlPr>
                    </m:sSubPr>
                    <m:e>
                      <m:r>
                        <w:rPr>
                          <w:rFonts w:ascii="Cambria Math" w:hAnsi="Cambria Math" w:cstheme="minorHAnsi"/>
                          <w:color w:val="000000" w:themeColor="text1"/>
                        </w:rPr>
                        <m:t>M</m:t>
                      </m:r>
                    </m:e>
                    <m:sub>
                      <m:r>
                        <w:rPr>
                          <w:rFonts w:ascii="Cambria Math" w:hAnsi="Cambria Math" w:cstheme="minorHAnsi"/>
                          <w:color w:val="000000" w:themeColor="text1"/>
                        </w:rPr>
                        <m:t>1</m:t>
                      </m:r>
                    </m:sub>
                  </m:sSub>
                  <m:r>
                    <w:rPr>
                      <w:rFonts w:ascii="Cambria Math" w:hAnsi="Cambria Math" w:cstheme="minorHAnsi"/>
                      <w:color w:val="000000" w:themeColor="text1"/>
                    </w:rPr>
                    <m:t>+</m:t>
                  </m:r>
                  <m:sSub>
                    <m:sSubPr>
                      <m:ctrlPr>
                        <w:rPr>
                          <w:rFonts w:ascii="Cambria Math" w:hAnsi="Cambria Math" w:cstheme="minorHAnsi"/>
                          <w:i/>
                          <w:iCs/>
                          <w:color w:val="000000" w:themeColor="text1"/>
                        </w:rPr>
                      </m:ctrlPr>
                    </m:sSubPr>
                    <m:e>
                      <m:r>
                        <w:rPr>
                          <w:rFonts w:ascii="Cambria Math" w:hAnsi="Cambria Math" w:cstheme="minorHAnsi"/>
                          <w:color w:val="000000" w:themeColor="text1"/>
                        </w:rPr>
                        <m:t>M</m:t>
                      </m:r>
                    </m:e>
                    <m:sub>
                      <m:r>
                        <w:rPr>
                          <w:rFonts w:ascii="Cambria Math" w:hAnsi="Cambria Math" w:cstheme="minorHAnsi"/>
                          <w:color w:val="000000" w:themeColor="text1"/>
                        </w:rPr>
                        <m:t>N</m:t>
                      </m:r>
                    </m:sub>
                  </m:sSub>
                </m:num>
                <m:den>
                  <m:r>
                    <w:rPr>
                      <w:rFonts w:ascii="Cambria Math" w:hAnsi="Cambria Math" w:cstheme="minorHAnsi"/>
                      <w:color w:val="000000" w:themeColor="text1"/>
                    </w:rPr>
                    <m:t>2</m:t>
                  </m:r>
                </m:den>
              </m:f>
            </m:e>
          </m:nary>
        </m:oMath>
      </m:oMathPara>
    </w:p>
    <w:p w:rsidR="00937747" w:rsidRDefault="00937747" w:rsidP="00937747">
      <w:pPr>
        <w:spacing w:line="480" w:lineRule="auto"/>
        <w:jc w:val="both"/>
      </w:pPr>
    </w:p>
    <w:p w:rsidR="00937747" w:rsidRPr="00C07A1D" w:rsidRDefault="00937747" w:rsidP="00937747">
      <w:pPr>
        <w:spacing w:line="480" w:lineRule="auto"/>
        <w:jc w:val="both"/>
      </w:pPr>
      <w:r w:rsidRPr="00C07A1D">
        <w:t xml:space="preserve">Where </w:t>
      </w:r>
      <w:r w:rsidRPr="00C07A1D">
        <w:rPr>
          <w:i/>
          <w:iCs/>
        </w:rPr>
        <w:t>N</w:t>
      </w:r>
      <w:r w:rsidRPr="00C07A1D">
        <w:t xml:space="preserve"> was the number of slices, </w:t>
      </w:r>
      <w:r w:rsidRPr="00C07A1D">
        <w:rPr>
          <w:i/>
          <w:iCs/>
        </w:rPr>
        <w:t>t</w:t>
      </w:r>
      <w:r w:rsidRPr="00C07A1D">
        <w:t xml:space="preserve"> was the slice thickness, </w:t>
      </w:r>
      <w:r w:rsidRPr="00C07A1D">
        <w:rPr>
          <w:i/>
          <w:iCs/>
        </w:rPr>
        <w:t>f</w:t>
      </w:r>
      <w:r w:rsidRPr="00C07A1D">
        <w:t xml:space="preserve"> the distance between slices and </w:t>
      </w:r>
      <w:r w:rsidRPr="00C07A1D">
        <w:rPr>
          <w:i/>
          <w:iCs/>
        </w:rPr>
        <w:t>Mi</w:t>
      </w:r>
      <w:r w:rsidRPr="00C07A1D">
        <w:t xml:space="preserve"> the lung mass in the </w:t>
      </w:r>
      <w:r w:rsidRPr="00C07A1D">
        <w:rPr>
          <w:i/>
          <w:iCs/>
        </w:rPr>
        <w:t>i</w:t>
      </w:r>
      <w:r w:rsidRPr="00C07A1D">
        <w:t xml:space="preserve"> slice. This equation was used for both total lung parenchyma and for each lung compartment. The latter were reported as absolute value as well as percent of the total lung parenchyma. The analysis of the lung weight was performed for </w:t>
      </w:r>
      <w:r w:rsidRPr="005D6506">
        <w:t>the whole</w:t>
      </w:r>
      <w:r w:rsidRPr="00C07A1D">
        <w:t xml:space="preserve"> patients’ population as well as for the two studied subgroups: the </w:t>
      </w:r>
      <w:r>
        <w:t>No-Steroids</w:t>
      </w:r>
      <w:r w:rsidRPr="00C07A1D">
        <w:t xml:space="preserve"> and the Steroids group. </w:t>
      </w:r>
    </w:p>
    <w:p w:rsidR="00937747" w:rsidRPr="00C07A1D" w:rsidRDefault="00937747" w:rsidP="00937747">
      <w:pPr>
        <w:spacing w:line="480" w:lineRule="auto"/>
        <w:jc w:val="both"/>
      </w:pPr>
    </w:p>
    <w:p w:rsidR="00937747" w:rsidRPr="00C07A1D" w:rsidRDefault="00937747" w:rsidP="00937747">
      <w:pPr>
        <w:spacing w:line="480" w:lineRule="auto"/>
        <w:jc w:val="both"/>
        <w:rPr>
          <w:b/>
          <w:bCs/>
        </w:rPr>
      </w:pPr>
      <w:r w:rsidRPr="00C07A1D">
        <w:rPr>
          <w:b/>
          <w:bCs/>
        </w:rPr>
        <w:t>Statistical analysis</w:t>
      </w:r>
    </w:p>
    <w:p w:rsidR="00937747" w:rsidRDefault="00937747" w:rsidP="00937747">
      <w:pPr>
        <w:tabs>
          <w:tab w:val="left" w:pos="5103"/>
        </w:tabs>
        <w:spacing w:line="480" w:lineRule="auto"/>
        <w:jc w:val="both"/>
      </w:pPr>
      <w:r w:rsidRPr="0056764E">
        <w:t>Data analysis and statistical tests were performed using dedicated MatLab scripts (MatLab and Statistics Toolbox Release 202</w:t>
      </w:r>
      <w:r>
        <w:t>1</w:t>
      </w:r>
      <w:r w:rsidRPr="0056764E">
        <w:t xml:space="preserve">a, The MathWorks, Natick, USA). </w:t>
      </w:r>
      <w:r w:rsidRPr="00AA06E2">
        <w:t xml:space="preserve">Continuous variables were reported as medians and </w:t>
      </w:r>
      <w:r>
        <w:t>interquartile range</w:t>
      </w:r>
      <w:r w:rsidRPr="00AA06E2">
        <w:t xml:space="preserve"> (</w:t>
      </w:r>
      <w:r>
        <w:t>25</w:t>
      </w:r>
      <w:r w:rsidRPr="00C95B5D">
        <w:rPr>
          <w:vertAlign w:val="superscript"/>
        </w:rPr>
        <w:t>th</w:t>
      </w:r>
      <w:r>
        <w:t xml:space="preserve"> – 75</w:t>
      </w:r>
      <w:r w:rsidRPr="00C95B5D">
        <w:rPr>
          <w:vertAlign w:val="superscript"/>
        </w:rPr>
        <w:t>th</w:t>
      </w:r>
      <w:r>
        <w:t xml:space="preserve"> </w:t>
      </w:r>
      <w:r w:rsidRPr="00C44CFD">
        <w:t xml:space="preserve">percentiles). All statistical tests were two sided; p &lt; 0.05 was considered statistically significant. </w:t>
      </w:r>
      <w:r w:rsidRPr="00C07A1D">
        <w:t xml:space="preserve">The Wilcoxon signed rank test </w:t>
      </w:r>
      <w:r w:rsidRPr="00C44CFD">
        <w:t>was chosen as</w:t>
      </w:r>
      <w:r w:rsidRPr="00C07A1D">
        <w:t xml:space="preserve"> nonparametric test for two populations when the observations </w:t>
      </w:r>
      <w:r w:rsidRPr="00C44CFD">
        <w:t>were</w:t>
      </w:r>
      <w:r w:rsidRPr="00C07A1D">
        <w:t xml:space="preserve"> paired</w:t>
      </w:r>
      <w:r w:rsidRPr="00C44CFD">
        <w:t xml:space="preserve"> (all parenchyma vs </w:t>
      </w:r>
      <w:r>
        <w:t>hypo</w:t>
      </w:r>
      <w:r w:rsidRPr="00C44CFD">
        <w:t>inflated lung parenchyma)</w:t>
      </w:r>
      <w:r w:rsidRPr="00C07A1D">
        <w:t>.</w:t>
      </w:r>
      <w:r w:rsidRPr="00C44CFD">
        <w:t xml:space="preserve"> The Wilcoxon rank sum test was used as a nonparametric test in case of two independent patients’ </w:t>
      </w:r>
      <w:r w:rsidRPr="00C44CFD">
        <w:lastRenderedPageBreak/>
        <w:t xml:space="preserve">populations (Steroids vs </w:t>
      </w:r>
      <w:r>
        <w:t>No-Steroids</w:t>
      </w:r>
      <w:r w:rsidRPr="00C44CFD">
        <w:t xml:space="preserve"> group). </w:t>
      </w:r>
      <w:r w:rsidRPr="0048293B">
        <w:t>Fisher’s exact test</w:t>
      </w:r>
      <w:r>
        <w:t xml:space="preserve"> </w:t>
      </w:r>
      <w:r w:rsidRPr="00851FBE">
        <w:t>(</w:t>
      </w:r>
      <w:r w:rsidRPr="00851FBE">
        <w:rPr>
          <w:rFonts w:ascii="Cambria Math" w:hAnsi="Cambria Math" w:cs="Cambria Math"/>
        </w:rPr>
        <w:t>𝛼</w:t>
      </w:r>
      <w:r w:rsidRPr="00851FBE">
        <w:t xml:space="preserve"> = 0.05)</w:t>
      </w:r>
      <w:r>
        <w:t xml:space="preserve"> was used, instead, to test statistically significant differences in case of </w:t>
      </w:r>
      <w:r w:rsidRPr="0048293B">
        <w:t>categorical variables</w:t>
      </w:r>
      <w:r>
        <w:t xml:space="preserve">. </w:t>
      </w:r>
    </w:p>
    <w:p w:rsidR="00937747" w:rsidRDefault="00937747" w:rsidP="00937747">
      <w:pPr>
        <w:tabs>
          <w:tab w:val="left" w:pos="5103"/>
        </w:tabs>
        <w:spacing w:line="480" w:lineRule="auto"/>
        <w:jc w:val="both"/>
      </w:pPr>
    </w:p>
    <w:p w:rsidR="00937747" w:rsidRDefault="00937747" w:rsidP="00937747">
      <w:pPr>
        <w:tabs>
          <w:tab w:val="left" w:pos="5103"/>
        </w:tabs>
        <w:spacing w:line="480" w:lineRule="auto"/>
        <w:jc w:val="both"/>
      </w:pPr>
    </w:p>
    <w:p w:rsidR="00937747" w:rsidRPr="00C041A0" w:rsidRDefault="00937747" w:rsidP="00937747">
      <w:pPr>
        <w:tabs>
          <w:tab w:val="left" w:pos="5103"/>
        </w:tabs>
        <w:spacing w:line="480" w:lineRule="auto"/>
        <w:jc w:val="both"/>
        <w:rPr>
          <w:b/>
          <w:lang w:val="sv-SE"/>
        </w:rPr>
      </w:pPr>
      <w:r w:rsidRPr="00C041A0">
        <w:rPr>
          <w:b/>
          <w:lang w:val="sv-SE"/>
        </w:rPr>
        <w:t>Supplementary Reference</w:t>
      </w:r>
    </w:p>
    <w:p w:rsidR="00937747" w:rsidRPr="00C041A0" w:rsidRDefault="00937747" w:rsidP="00937747">
      <w:pPr>
        <w:tabs>
          <w:tab w:val="left" w:pos="5103"/>
        </w:tabs>
        <w:spacing w:line="480" w:lineRule="auto"/>
        <w:jc w:val="both"/>
        <w:rPr>
          <w:lang w:val="sv-SE"/>
        </w:rPr>
      </w:pPr>
    </w:p>
    <w:p w:rsidR="00937747" w:rsidRPr="009A0F1F" w:rsidRDefault="00937747" w:rsidP="00937747">
      <w:pPr>
        <w:spacing w:line="480" w:lineRule="auto"/>
      </w:pPr>
      <w:r w:rsidRPr="00C041A0">
        <w:rPr>
          <w:lang w:val="sv-SE"/>
        </w:rPr>
        <w:t xml:space="preserve">1. Pellegrini M, Gudmundsson M, Bencze R, Segelsjö M, Freden F, Rylander C, et al. </w:t>
      </w:r>
      <w:r w:rsidRPr="009A0F1F">
        <w:t xml:space="preserve">Expiratory Resistances Prevent Expiratory Diaphragm Contraction, Flow Limitation, and Lung Collapse. American journal of respiratory and critical care medicine. 2020;201. </w:t>
      </w:r>
    </w:p>
    <w:p w:rsidR="00937747" w:rsidRPr="009A0F1F" w:rsidRDefault="00937747" w:rsidP="00937747">
      <w:pPr>
        <w:spacing w:line="480" w:lineRule="auto"/>
      </w:pPr>
      <w:r w:rsidRPr="008406D1">
        <w:rPr>
          <w:lang w:val="it-IT"/>
        </w:rPr>
        <w:t xml:space="preserve">2. Gattinoni L, Pesenti A, Bombino M, Baglioni S, Rivolta M, Rossi F, et al. </w:t>
      </w:r>
      <w:r w:rsidRPr="009A0F1F">
        <w:t xml:space="preserve">Relationships between lung computed tomographic density, gas exchange, and PEEP in acute respiratory failure. Anesthesiology. 1988;69:824–32. </w:t>
      </w:r>
    </w:p>
    <w:p w:rsidR="00937747" w:rsidRPr="009A0F1F" w:rsidRDefault="00937747" w:rsidP="00937747">
      <w:pPr>
        <w:spacing w:line="480" w:lineRule="auto"/>
      </w:pPr>
      <w:r w:rsidRPr="009A0F1F">
        <w:t xml:space="preserve">3. Gattinoni L, Caironi P, Pelosi P, Goodman LR. State of the Art What Has Computed Tomography Taught Us about the Acute Respiratory Distress Syndrome ? 2001;164:1701–11. </w:t>
      </w:r>
    </w:p>
    <w:p w:rsidR="00937747" w:rsidRPr="009A0F1F" w:rsidRDefault="00937747" w:rsidP="00937747">
      <w:pPr>
        <w:spacing w:line="480" w:lineRule="auto"/>
      </w:pPr>
      <w:r w:rsidRPr="009A0F1F">
        <w:t xml:space="preserve">4. Gattinoni L, Caironi P, Pelosi P, Goodman LR. State of the Art What Has Computed Tomography Taught Us about the Acute Respiratory Distress Syndrome ? 2001;164:1701–11. </w:t>
      </w:r>
    </w:p>
    <w:p w:rsidR="00937747" w:rsidRPr="009A0F1F" w:rsidRDefault="00937747" w:rsidP="00937747">
      <w:pPr>
        <w:spacing w:line="480" w:lineRule="auto"/>
      </w:pPr>
      <w:r w:rsidRPr="009A0F1F">
        <w:t xml:space="preserve">5. Hoey ETD, Mirsadraee S, Pepke-Zaba J, Jenkins DP, Gopalan D, Screaton NJ. Dual-energy CT angiography for assessment of regional pulmonary perfusion in patients with chronic thromboembolic pulmonary hypertension: Initial experience. American Journal of Roentgenology. 2011;196:524–32. </w:t>
      </w:r>
    </w:p>
    <w:p w:rsidR="00937747" w:rsidRPr="009A0F1F" w:rsidRDefault="00937747" w:rsidP="00937747">
      <w:pPr>
        <w:spacing w:line="480" w:lineRule="auto"/>
      </w:pPr>
      <w:r w:rsidRPr="009A0F1F">
        <w:t xml:space="preserve">6. Ball L, Robba C, Herrmann J, Gerard SE, Xin Y, Mandelli M, et al. Lung distribution of gas and blood volume in critically ill COVID-19 patients: a quantitative dual-energy computed tomography study. Critical Care. 2021;25:1–12. </w:t>
      </w:r>
    </w:p>
    <w:p w:rsidR="00937747" w:rsidRPr="009A0F1F" w:rsidRDefault="00937747" w:rsidP="00937747">
      <w:pPr>
        <w:spacing w:line="480" w:lineRule="auto"/>
      </w:pPr>
      <w:r w:rsidRPr="009A0F1F">
        <w:t xml:space="preserve">7. Lins M, Vandevenne J, Thillai M, Lavon BR, Lanclus M, Bonte S, et al. Assessment of Small Pulmonary Blood Vessels in COVID-19 Patients Using HRCT. Academic Radiology [Internet]. </w:t>
      </w:r>
      <w:r w:rsidRPr="009A0F1F">
        <w:lastRenderedPageBreak/>
        <w:t>Elsevier Inc.; 2020 [cited 2021 Apr 8];27:1449–55. Available from: https://pubmed-ncbi-nlm-nih-gov.ezproxy.its.uu.se/32741657/</w:t>
      </w:r>
    </w:p>
    <w:p w:rsidR="00937747" w:rsidRPr="009A0F1F" w:rsidRDefault="00937747" w:rsidP="00937747">
      <w:pPr>
        <w:spacing w:line="480" w:lineRule="auto"/>
      </w:pPr>
      <w:r w:rsidRPr="009A0F1F">
        <w:t>8. Koike H, Sueyoshi E, Sakamoto I, Uetani M. Koike, H et al 2015 Quantification of Lung Perfusion Blood Volume by Dual-Energy CT in Patients With and Without Chronic Obstructive Pulmonary Disease. 2015; Available from: http://dx.doi.org/10.5334/jbr-btr.865</w:t>
      </w:r>
    </w:p>
    <w:p w:rsidR="00937747" w:rsidRPr="009A0F1F" w:rsidRDefault="00937747" w:rsidP="00937747">
      <w:pPr>
        <w:spacing w:line="480" w:lineRule="auto"/>
      </w:pPr>
      <w:r w:rsidRPr="009A0F1F">
        <w:t xml:space="preserve">9. Iyer KS, Newell JD, Jin D, Fuld MK, Saha PK, Hansdottir S, et al. Quantitative dual-energy computed tomography supports a vascular etiology of smoking-induced inflammatory lung disease. American Journal of Respiratory and Critical Care Medicine. 2016;193:652–61. </w:t>
      </w:r>
    </w:p>
    <w:p w:rsidR="00937747" w:rsidRPr="008406D1" w:rsidRDefault="00937747" w:rsidP="00937747">
      <w:pPr>
        <w:spacing w:line="480" w:lineRule="auto"/>
        <w:rPr>
          <w:lang w:val="it-IT"/>
        </w:rPr>
      </w:pPr>
      <w:r w:rsidRPr="008406D1">
        <w:t xml:space="preserve">10. Reske A, Reske A, Gast H, Seiwerts M, Beda A, Gottschaldt U, et al. </w:t>
      </w:r>
      <w:r w:rsidRPr="009A0F1F">
        <w:t xml:space="preserve">Extrapolation from ten sections can make CT-based quantification of lung aeration more practicable. </w:t>
      </w:r>
      <w:r w:rsidRPr="008406D1">
        <w:rPr>
          <w:lang w:val="it-IT"/>
        </w:rPr>
        <w:t xml:space="preserve">Intensive Care Medicine. 2010;36:1836–44. </w:t>
      </w:r>
    </w:p>
    <w:p w:rsidR="00937747" w:rsidRPr="009A0F1F" w:rsidRDefault="00937747" w:rsidP="00937747">
      <w:pPr>
        <w:spacing w:line="480" w:lineRule="auto"/>
      </w:pPr>
      <w:r w:rsidRPr="009A0F1F">
        <w:rPr>
          <w:lang w:val="it-IT"/>
        </w:rPr>
        <w:t xml:space="preserve">11. Ball L, Braune A, Corradi F, Brusasco C, Garlaschi A, Kiss T, et al. </w:t>
      </w:r>
      <w:r w:rsidRPr="009A0F1F">
        <w:t xml:space="preserve">Ultra-low-dose sequential computed tomography for quantitative lung aeration assessment—a translational study. Intensive Care Medicine Experimental. 2017;5:19. </w:t>
      </w:r>
    </w:p>
    <w:p w:rsidR="00937747" w:rsidRPr="009A0F1F" w:rsidRDefault="00937747" w:rsidP="00937747">
      <w:pPr>
        <w:spacing w:line="480" w:lineRule="auto"/>
      </w:pPr>
      <w:r w:rsidRPr="009A0F1F">
        <w:t>12. Rylander C, Högman M, Perchiazzi G, Magnusson a, Hedenstierna G. Oleic acid lung injury: a morphometric analysis using computed tomography. Acta anaesthesiologica Scandinavica [Internet]. 2004 [cited 2014 Sep 24];48:1123–9. Available from: http://www.ncbi.nlm.nih.gov/pubmed/15352958</w:t>
      </w:r>
    </w:p>
    <w:p w:rsidR="00937747" w:rsidRDefault="00937747" w:rsidP="00937747">
      <w:pPr>
        <w:spacing w:line="480" w:lineRule="auto"/>
      </w:pPr>
      <w:r w:rsidRPr="009A0F1F">
        <w:t xml:space="preserve">13. Pellegrini M, Larina A, Mourtos E, Frithiof R, Lipcsey M, Hultström M, et al. A quantitative analysis of extension and distribution of lung injury in COVID-19: a prospective study based on chest computed tomography. Critical care (London, England) [Internet]. Crit Care; 2021 [cited 2022 Jan 18];25:1–12. Available from: </w:t>
      </w:r>
      <w:hyperlink r:id="rId5" w:history="1">
        <w:r w:rsidRPr="00C55FEF">
          <w:rPr>
            <w:rStyle w:val="Hyperlink"/>
          </w:rPr>
          <w:t>https://pubmed.ncbi.nlm.nih.gov/34348797/</w:t>
        </w:r>
      </w:hyperlink>
    </w:p>
    <w:p w:rsidR="00937747" w:rsidRDefault="00937747" w:rsidP="00937747">
      <w:pPr>
        <w:spacing w:line="480" w:lineRule="auto"/>
      </w:pPr>
    </w:p>
    <w:p w:rsidR="00937747" w:rsidRDefault="00937747" w:rsidP="00937747">
      <w:pPr>
        <w:spacing w:after="160" w:line="259" w:lineRule="auto"/>
      </w:pPr>
      <w:r>
        <w:br w:type="page"/>
      </w:r>
    </w:p>
    <w:p w:rsidR="00937747" w:rsidRPr="00555DFC" w:rsidRDefault="00937747" w:rsidP="00937747">
      <w:pPr>
        <w:spacing w:line="480" w:lineRule="auto"/>
      </w:pPr>
    </w:p>
    <w:p w:rsidR="00937747" w:rsidRDefault="00937747" w:rsidP="00937747">
      <w:pPr>
        <w:spacing w:line="480" w:lineRule="auto"/>
      </w:pPr>
      <w:r w:rsidRPr="009A0F1F">
        <w:t> </w:t>
      </w:r>
      <w:r w:rsidRPr="00AE1ADE">
        <w:rPr>
          <w:b/>
          <w:bCs/>
          <w:noProof/>
          <w:lang w:eastAsia="en-US"/>
        </w:rPr>
        <w:drawing>
          <wp:inline distT="0" distB="0" distL="0" distR="0" wp14:anchorId="2A75885A" wp14:editId="79FCB949">
            <wp:extent cx="4750540" cy="3024000"/>
            <wp:effectExtent l="0" t="0" r="0" b="0"/>
            <wp:docPr id="6" name="Picture 5">
              <a:extLst xmlns:a="http://schemas.openxmlformats.org/drawingml/2006/main">
                <a:ext uri="{FF2B5EF4-FFF2-40B4-BE49-F238E27FC236}">
                  <a16:creationId xmlns:a16="http://schemas.microsoft.com/office/drawing/2014/main" id="{DC8FE2EA-BEAE-4F41-99AC-26CAC32A0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C8FE2EA-BEAE-4F41-99AC-26CAC32A04F2}"/>
                        </a:ext>
                      </a:extLst>
                    </pic:cNvPr>
                    <pic:cNvPicPr>
                      <a:picLocks noChangeAspect="1"/>
                    </pic:cNvPicPr>
                  </pic:nvPicPr>
                  <pic:blipFill rotWithShape="1">
                    <a:blip r:embed="rId6"/>
                    <a:srcRect l="3037" t="3722" r="4266" b="4478"/>
                    <a:stretch/>
                  </pic:blipFill>
                  <pic:spPr>
                    <a:xfrm>
                      <a:off x="0" y="0"/>
                      <a:ext cx="4750540" cy="3024000"/>
                    </a:xfrm>
                    <a:prstGeom prst="rect">
                      <a:avLst/>
                    </a:prstGeom>
                  </pic:spPr>
                </pic:pic>
              </a:graphicData>
            </a:graphic>
          </wp:inline>
        </w:drawing>
      </w:r>
    </w:p>
    <w:p w:rsidR="00937747" w:rsidRDefault="00937747" w:rsidP="00937747">
      <w:pPr>
        <w:spacing w:line="480" w:lineRule="auto"/>
      </w:pPr>
      <w:r>
        <w:t>Table E1</w:t>
      </w:r>
    </w:p>
    <w:p w:rsidR="00937747" w:rsidRPr="007F0D4E" w:rsidRDefault="00937747" w:rsidP="00937747">
      <w:pPr>
        <w:spacing w:line="480" w:lineRule="auto"/>
        <w:jc w:val="both"/>
      </w:pPr>
      <w:r w:rsidRPr="007F0D4E">
        <w:rPr>
          <w:b/>
          <w:bCs/>
        </w:rPr>
        <w:t>Table E1. Descriptive</w:t>
      </w:r>
      <w:r w:rsidRPr="000D7CF5">
        <w:rPr>
          <w:b/>
          <w:bCs/>
        </w:rPr>
        <w:t xml:space="preserve"> statistics </w:t>
      </w:r>
      <w:r w:rsidRPr="002114F8">
        <w:rPr>
          <w:b/>
          <w:bCs/>
        </w:rPr>
        <w:t xml:space="preserve">for </w:t>
      </w:r>
      <w:r w:rsidRPr="004A06DD">
        <w:rPr>
          <w:b/>
        </w:rPr>
        <w:t>HU</w:t>
      </w:r>
      <w:r w:rsidRPr="00700C8C">
        <w:rPr>
          <w:b/>
        </w:rPr>
        <w:t xml:space="preserve"> distribution for inflation and perfusion maps</w:t>
      </w:r>
      <w:r w:rsidRPr="00EF7DC5">
        <w:rPr>
          <w:b/>
        </w:rPr>
        <w:t>.</w:t>
      </w:r>
      <w:r>
        <w:rPr>
          <w:b/>
        </w:rPr>
        <w:t xml:space="preserve"> Whole population </w:t>
      </w:r>
      <w:r w:rsidRPr="00700C8C">
        <w:rPr>
          <w:b/>
        </w:rPr>
        <w:t>(n</w:t>
      </w:r>
      <w:r w:rsidRPr="004A06DD">
        <w:rPr>
          <w:b/>
        </w:rPr>
        <w:t xml:space="preserve"> </w:t>
      </w:r>
      <w:r w:rsidRPr="00700C8C">
        <w:rPr>
          <w:b/>
        </w:rPr>
        <w:t>=</w:t>
      </w:r>
      <w:r w:rsidRPr="004A06DD">
        <w:rPr>
          <w:b/>
        </w:rPr>
        <w:t xml:space="preserve"> </w:t>
      </w:r>
      <w:r>
        <w:rPr>
          <w:b/>
        </w:rPr>
        <w:t>60</w:t>
      </w:r>
      <w:r w:rsidRPr="00700C8C">
        <w:rPr>
          <w:b/>
        </w:rPr>
        <w:t>)</w:t>
      </w:r>
      <w:r>
        <w:rPr>
          <w:b/>
        </w:rPr>
        <w:t xml:space="preserve">. Comparison </w:t>
      </w:r>
      <w:r w:rsidRPr="007F0D4E">
        <w:rPr>
          <w:b/>
        </w:rPr>
        <w:t xml:space="preserve">between the whole parenchyma and hypoinflated </w:t>
      </w:r>
      <w:r>
        <w:rPr>
          <w:b/>
        </w:rPr>
        <w:t>areas.</w:t>
      </w:r>
      <w:r w:rsidRPr="007F0D4E">
        <w:t xml:space="preserve"> </w:t>
      </w:r>
      <w:r w:rsidRPr="000D7CF5">
        <w:t>Data were reported as median values (25</w:t>
      </w:r>
      <w:r w:rsidRPr="000D7CF5">
        <w:rPr>
          <w:vertAlign w:val="superscript"/>
        </w:rPr>
        <w:t>th</w:t>
      </w:r>
      <w:r w:rsidRPr="000D7CF5">
        <w:t xml:space="preserve"> – 75</w:t>
      </w:r>
      <w:r w:rsidRPr="000D7CF5">
        <w:rPr>
          <w:vertAlign w:val="superscript"/>
        </w:rPr>
        <w:t>th</w:t>
      </w:r>
      <w:r w:rsidRPr="000D7CF5">
        <w:t xml:space="preserve"> percentile)</w:t>
      </w:r>
      <w:r>
        <w:t xml:space="preserve"> as well as percent</w:t>
      </w:r>
      <w:r w:rsidRPr="000D7CF5">
        <w:t>. Wilcoxon rank sum test</w:t>
      </w:r>
      <w:r>
        <w:t xml:space="preserve"> was used to test statistical differences between the whole parenchyma and the hypoinflated one </w:t>
      </w:r>
      <w:r w:rsidRPr="000D7CF5">
        <w:t>(</w:t>
      </w:r>
      <w:r w:rsidRPr="000D7CF5">
        <w:rPr>
          <w:rFonts w:ascii="Segoe UI Historic" w:hAnsi="Segoe UI Historic" w:cs="Segoe UI Historic"/>
          <w:lang w:val="sv-SE"/>
        </w:rPr>
        <w:t>ⲁ</w:t>
      </w:r>
      <w:r w:rsidRPr="000D7CF5">
        <w:t>=0.05); *: to mark statistically signif</w:t>
      </w:r>
      <w:r>
        <w:t>i</w:t>
      </w:r>
      <w:r w:rsidRPr="000D7CF5">
        <w:t>cant dif</w:t>
      </w:r>
      <w:r>
        <w:t>f</w:t>
      </w:r>
      <w:r w:rsidRPr="000D7CF5">
        <w:t>erences.</w:t>
      </w:r>
    </w:p>
    <w:p w:rsidR="00937747" w:rsidRDefault="00937747" w:rsidP="00937747">
      <w:pPr>
        <w:spacing w:line="480" w:lineRule="auto"/>
      </w:pPr>
    </w:p>
    <w:p w:rsidR="00937747" w:rsidRDefault="00937747" w:rsidP="00937747">
      <w:pPr>
        <w:spacing w:line="480" w:lineRule="auto"/>
      </w:pPr>
    </w:p>
    <w:p w:rsidR="00937747" w:rsidRDefault="00937747" w:rsidP="00937747">
      <w:pPr>
        <w:spacing w:after="160" w:line="259" w:lineRule="auto"/>
      </w:pPr>
      <w:r>
        <w:br w:type="page"/>
      </w:r>
    </w:p>
    <w:p w:rsidR="00937747" w:rsidRDefault="00937747" w:rsidP="00937747">
      <w:pPr>
        <w:spacing w:line="480" w:lineRule="auto"/>
      </w:pPr>
      <w:r w:rsidRPr="00AE1ADE">
        <w:rPr>
          <w:noProof/>
          <w:lang w:eastAsia="en-US"/>
        </w:rPr>
        <w:lastRenderedPageBreak/>
        <w:drawing>
          <wp:inline distT="0" distB="0" distL="0" distR="0" wp14:anchorId="6F5D287E" wp14:editId="63E75718">
            <wp:extent cx="8528063" cy="2185891"/>
            <wp:effectExtent l="0" t="3810" r="2540" b="2540"/>
            <wp:docPr id="33" name="Picture 1">
              <a:extLst xmlns:a="http://schemas.openxmlformats.org/drawingml/2006/main">
                <a:ext uri="{FF2B5EF4-FFF2-40B4-BE49-F238E27FC236}">
                  <a16:creationId xmlns:a16="http://schemas.microsoft.com/office/drawing/2014/main" id="{FE1A60DA-B180-094C-BE05-85C4B0671D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E1A60DA-B180-094C-BE05-85C4B0671D63}"/>
                        </a:ext>
                      </a:extLst>
                    </pic:cNvPr>
                    <pic:cNvPicPr>
                      <a:picLocks noChangeAspect="1"/>
                    </pic:cNvPicPr>
                  </pic:nvPicPr>
                  <pic:blipFill rotWithShape="1">
                    <a:blip r:embed="rId7"/>
                    <a:srcRect l="1288" t="2433" r="1680"/>
                    <a:stretch/>
                  </pic:blipFill>
                  <pic:spPr>
                    <a:xfrm rot="16200000">
                      <a:off x="0" y="0"/>
                      <a:ext cx="8718818" cy="2234785"/>
                    </a:xfrm>
                    <a:prstGeom prst="rect">
                      <a:avLst/>
                    </a:prstGeom>
                  </pic:spPr>
                </pic:pic>
              </a:graphicData>
            </a:graphic>
          </wp:inline>
        </w:drawing>
      </w:r>
      <w:r>
        <w:t xml:space="preserve">  </w:t>
      </w:r>
      <w:r w:rsidRPr="00FE6ECB">
        <w:rPr>
          <w:noProof/>
          <w:lang w:eastAsia="en-US"/>
        </w:rPr>
        <w:drawing>
          <wp:inline distT="0" distB="0" distL="0" distR="0" wp14:anchorId="3D050E28" wp14:editId="05FCF797">
            <wp:extent cx="6332220" cy="2076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6200000">
                      <a:off x="0" y="0"/>
                      <a:ext cx="6332220" cy="207645"/>
                    </a:xfrm>
                    <a:prstGeom prst="rect">
                      <a:avLst/>
                    </a:prstGeom>
                  </pic:spPr>
                </pic:pic>
              </a:graphicData>
            </a:graphic>
          </wp:inline>
        </w:drawing>
      </w:r>
      <w:r>
        <w:t xml:space="preserve">     Table E2</w:t>
      </w:r>
    </w:p>
    <w:p w:rsidR="00937747" w:rsidRPr="007F0D4E" w:rsidRDefault="00937747" w:rsidP="00937747">
      <w:pPr>
        <w:spacing w:line="480" w:lineRule="auto"/>
        <w:jc w:val="both"/>
      </w:pPr>
      <w:r w:rsidRPr="007F0D4E">
        <w:rPr>
          <w:b/>
          <w:bCs/>
        </w:rPr>
        <w:lastRenderedPageBreak/>
        <w:t>Table E</w:t>
      </w:r>
      <w:r>
        <w:rPr>
          <w:b/>
          <w:bCs/>
        </w:rPr>
        <w:t>2</w:t>
      </w:r>
      <w:r w:rsidRPr="007F0D4E">
        <w:rPr>
          <w:b/>
          <w:bCs/>
        </w:rPr>
        <w:t>. Descriptive</w:t>
      </w:r>
      <w:r w:rsidRPr="000D7CF5">
        <w:rPr>
          <w:b/>
          <w:bCs/>
        </w:rPr>
        <w:t xml:space="preserve"> statistics </w:t>
      </w:r>
      <w:r w:rsidRPr="002114F8">
        <w:rPr>
          <w:b/>
          <w:bCs/>
        </w:rPr>
        <w:t xml:space="preserve">for </w:t>
      </w:r>
      <w:r w:rsidRPr="004A06DD">
        <w:rPr>
          <w:b/>
        </w:rPr>
        <w:t>HU</w:t>
      </w:r>
      <w:r w:rsidRPr="00700C8C">
        <w:rPr>
          <w:b/>
        </w:rPr>
        <w:t xml:space="preserve"> distribution for inflation and perfusion maps</w:t>
      </w:r>
      <w:r w:rsidRPr="00EF7DC5">
        <w:rPr>
          <w:b/>
        </w:rPr>
        <w:t>.</w:t>
      </w:r>
      <w:r>
        <w:rPr>
          <w:b/>
        </w:rPr>
        <w:t xml:space="preserve"> S</w:t>
      </w:r>
      <w:r w:rsidRPr="004A06DD">
        <w:rPr>
          <w:b/>
        </w:rPr>
        <w:t>epara</w:t>
      </w:r>
      <w:r>
        <w:rPr>
          <w:b/>
        </w:rPr>
        <w:t xml:space="preserve">tely for the No-Steroids group </w:t>
      </w:r>
      <w:r w:rsidRPr="00700C8C">
        <w:rPr>
          <w:b/>
        </w:rPr>
        <w:t>(n</w:t>
      </w:r>
      <w:r w:rsidRPr="004A06DD">
        <w:rPr>
          <w:b/>
        </w:rPr>
        <w:t xml:space="preserve"> </w:t>
      </w:r>
      <w:r w:rsidRPr="00700C8C">
        <w:rPr>
          <w:b/>
        </w:rPr>
        <w:t>=</w:t>
      </w:r>
      <w:r w:rsidRPr="004A06DD">
        <w:rPr>
          <w:b/>
        </w:rPr>
        <w:t xml:space="preserve"> </w:t>
      </w:r>
      <w:r>
        <w:rPr>
          <w:b/>
        </w:rPr>
        <w:t>17, Panel A</w:t>
      </w:r>
      <w:r w:rsidRPr="00700C8C">
        <w:rPr>
          <w:b/>
        </w:rPr>
        <w:t>)</w:t>
      </w:r>
      <w:r w:rsidRPr="004A06DD">
        <w:rPr>
          <w:b/>
        </w:rPr>
        <w:t xml:space="preserve"> </w:t>
      </w:r>
      <w:r>
        <w:rPr>
          <w:b/>
        </w:rPr>
        <w:t xml:space="preserve">and the Steroids group </w:t>
      </w:r>
      <w:r w:rsidRPr="00700C8C">
        <w:rPr>
          <w:b/>
        </w:rPr>
        <w:t>(n</w:t>
      </w:r>
      <w:r w:rsidRPr="004A06DD">
        <w:rPr>
          <w:b/>
        </w:rPr>
        <w:t xml:space="preserve"> </w:t>
      </w:r>
      <w:r w:rsidRPr="00700C8C">
        <w:rPr>
          <w:b/>
        </w:rPr>
        <w:t>=</w:t>
      </w:r>
      <w:r w:rsidRPr="004A06DD">
        <w:rPr>
          <w:b/>
        </w:rPr>
        <w:t xml:space="preserve"> </w:t>
      </w:r>
      <w:r>
        <w:rPr>
          <w:b/>
        </w:rPr>
        <w:t>43, Panel A</w:t>
      </w:r>
      <w:r w:rsidRPr="002114F8">
        <w:rPr>
          <w:b/>
        </w:rPr>
        <w:t xml:space="preserve">) </w:t>
      </w:r>
      <w:r>
        <w:rPr>
          <w:b/>
        </w:rPr>
        <w:t xml:space="preserve">Comparison </w:t>
      </w:r>
      <w:r w:rsidRPr="007F0D4E">
        <w:rPr>
          <w:b/>
        </w:rPr>
        <w:t xml:space="preserve">between the whole parenchyma and hypoinflated </w:t>
      </w:r>
      <w:r>
        <w:rPr>
          <w:b/>
        </w:rPr>
        <w:t xml:space="preserve">areas (Panel A and B) as well as </w:t>
      </w:r>
      <w:r w:rsidRPr="007F0D4E">
        <w:rPr>
          <w:b/>
        </w:rPr>
        <w:t xml:space="preserve">between </w:t>
      </w:r>
      <w:r>
        <w:rPr>
          <w:b/>
        </w:rPr>
        <w:t>No-Steroids and Steroids group (Panel C).</w:t>
      </w:r>
      <w:r w:rsidRPr="007F0D4E">
        <w:t xml:space="preserve"> </w:t>
      </w:r>
      <w:r w:rsidRPr="000D7CF5">
        <w:t>Data were reported as median values (25</w:t>
      </w:r>
      <w:r w:rsidRPr="000D7CF5">
        <w:rPr>
          <w:vertAlign w:val="superscript"/>
        </w:rPr>
        <w:t>th</w:t>
      </w:r>
      <w:r w:rsidRPr="000D7CF5">
        <w:t xml:space="preserve"> – 75</w:t>
      </w:r>
      <w:r w:rsidRPr="000D7CF5">
        <w:rPr>
          <w:vertAlign w:val="superscript"/>
        </w:rPr>
        <w:t>th</w:t>
      </w:r>
      <w:r w:rsidRPr="000D7CF5">
        <w:t xml:space="preserve"> percentile)</w:t>
      </w:r>
      <w:r>
        <w:t xml:space="preserve"> as well as percent</w:t>
      </w:r>
      <w:r w:rsidRPr="000D7CF5">
        <w:t>. Wilcoxon rank sum test</w:t>
      </w:r>
      <w:r>
        <w:t xml:space="preserve"> was used to test statistical differences </w:t>
      </w:r>
      <w:r w:rsidRPr="000D7CF5">
        <w:t>(</w:t>
      </w:r>
      <w:r w:rsidRPr="000D7CF5">
        <w:rPr>
          <w:rFonts w:ascii="Segoe UI Historic" w:hAnsi="Segoe UI Historic" w:cs="Segoe UI Historic"/>
          <w:lang w:val="sv-SE"/>
        </w:rPr>
        <w:t>ⲁ</w:t>
      </w:r>
      <w:r w:rsidRPr="000D7CF5">
        <w:t>=0.05); *: to mark statistically signif</w:t>
      </w:r>
      <w:r>
        <w:t>i</w:t>
      </w:r>
      <w:r w:rsidRPr="000D7CF5">
        <w:t>cant dif</w:t>
      </w:r>
      <w:r>
        <w:t>f</w:t>
      </w:r>
      <w:r w:rsidRPr="000D7CF5">
        <w:t>erences.</w:t>
      </w:r>
    </w:p>
    <w:p w:rsidR="00937747" w:rsidRDefault="00937747" w:rsidP="00937747">
      <w:pPr>
        <w:spacing w:line="480" w:lineRule="auto"/>
      </w:pPr>
    </w:p>
    <w:p w:rsidR="00937747" w:rsidRPr="00C041A0" w:rsidRDefault="00937747" w:rsidP="00937747">
      <w:pPr>
        <w:spacing w:line="480" w:lineRule="auto"/>
        <w:rPr>
          <w:b/>
          <w:bCs/>
        </w:rPr>
      </w:pPr>
    </w:p>
    <w:p w:rsidR="00000F57" w:rsidRDefault="00937747">
      <w:bookmarkStart w:id="0" w:name="_GoBack"/>
      <w:bookmarkEnd w:id="0"/>
    </w:p>
    <w:sectPr w:rsidR="00000F57" w:rsidSect="005F7D0A">
      <w:pgSz w:w="12240" w:h="15840"/>
      <w:pgMar w:top="1417" w:right="1134" w:bottom="1134" w:left="1134"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218D8"/>
    <w:multiLevelType w:val="hybridMultilevel"/>
    <w:tmpl w:val="86C827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47"/>
    <w:rsid w:val="0007695B"/>
    <w:rsid w:val="005615C6"/>
    <w:rsid w:val="005E078B"/>
    <w:rsid w:val="007D4061"/>
    <w:rsid w:val="008B4EED"/>
    <w:rsid w:val="00937747"/>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9D6634-2224-4452-8755-7FC956D7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74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47"/>
    <w:pPr>
      <w:ind w:left="720"/>
      <w:contextualSpacing/>
    </w:pPr>
    <w:rPr>
      <w:rFonts w:ascii="Calibri" w:eastAsia="Calibri" w:hAnsi="Calibri"/>
      <w:lang w:val="sv-SE"/>
    </w:rPr>
  </w:style>
  <w:style w:type="character" w:styleId="Hyperlink">
    <w:name w:val="Hyperlink"/>
    <w:uiPriority w:val="99"/>
    <w:unhideWhenUsed/>
    <w:rsid w:val="009377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pubmed.ncbi.nlm.nih.gov/3434879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1940</Words>
  <Characters>11061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2022-03-04T12:24:00Z</dcterms:created>
  <dcterms:modified xsi:type="dcterms:W3CDTF">2022-03-04T12:24:00Z</dcterms:modified>
</cp:coreProperties>
</file>