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E04" w:rsidRDefault="00B40E04" w:rsidP="00B40E04">
      <w:pPr>
        <w:spacing w:line="480" w:lineRule="auto"/>
        <w:jc w:val="center"/>
      </w:pPr>
      <w:r w:rsidRPr="007F51E2">
        <w:rPr>
          <w:b/>
        </w:rPr>
        <w:t>Table 1.</w:t>
      </w:r>
      <w:r>
        <w:t xml:space="preserve"> T</w:t>
      </w:r>
      <w:r w:rsidRPr="00325722">
        <w:rPr>
          <w:color w:val="000000"/>
        </w:rPr>
        <w:t xml:space="preserve">he </w:t>
      </w:r>
      <w:r>
        <w:rPr>
          <w:color w:val="000000"/>
        </w:rPr>
        <w:t>mean</w:t>
      </w:r>
      <w:r w:rsidRPr="00325722">
        <w:rPr>
          <w:color w:val="000000"/>
        </w:rPr>
        <w:t xml:space="preserve"> length of </w:t>
      </w:r>
      <w:r>
        <w:rPr>
          <w:color w:val="000000"/>
        </w:rPr>
        <w:t>chemotherapeutic t</w:t>
      </w:r>
      <w:r w:rsidRPr="00325722">
        <w:rPr>
          <w:color w:val="000000"/>
        </w:rPr>
        <w:t>reatment was 12.17</w:t>
      </w:r>
      <w:r>
        <w:rPr>
          <w:color w:val="000000"/>
        </w:rPr>
        <w:t xml:space="preserve"> </w:t>
      </w:r>
      <w:r w:rsidRPr="006547B7">
        <w:rPr>
          <w:color w:val="000000" w:themeColor="text1"/>
        </w:rPr>
        <w:t xml:space="preserve">± 1.88 </w:t>
      </w:r>
      <w:r w:rsidRPr="00325722">
        <w:rPr>
          <w:color w:val="000000"/>
        </w:rPr>
        <w:t>months (range, 6 months – 53 months)</w:t>
      </w:r>
      <w:r>
        <w:t xml:space="preserve">. Seven patients were non-responders and their treatment modified to </w:t>
      </w:r>
      <w:proofErr w:type="spellStart"/>
      <w:r>
        <w:t>Ifosamide</w:t>
      </w:r>
      <w:proofErr w:type="spellEnd"/>
      <w:r>
        <w:t xml:space="preserve"> (2.8 g/m</w:t>
      </w:r>
      <w:r w:rsidRPr="007A482A">
        <w:rPr>
          <w:vertAlign w:val="superscript"/>
        </w:rPr>
        <w:t>2</w:t>
      </w:r>
      <w:r>
        <w:t>) and Etoposide (100 mg/m</w:t>
      </w:r>
      <w:r w:rsidRPr="007A482A">
        <w:rPr>
          <w:vertAlign w:val="superscript"/>
        </w:rPr>
        <w:t>2</w:t>
      </w:r>
      <w:r>
        <w:t xml:space="preserve">) in accordance with the AOST 0331 study. Of these patients, one went on to receive </w:t>
      </w:r>
      <w:proofErr w:type="spellStart"/>
      <w:r>
        <w:t>Nivolumab</w:t>
      </w:r>
      <w:proofErr w:type="spellEnd"/>
      <w:r>
        <w:t xml:space="preserve">, another patient was further treated with </w:t>
      </w:r>
      <w:proofErr w:type="spellStart"/>
      <w:r>
        <w:t>Sorafenib</w:t>
      </w:r>
      <w:proofErr w:type="spellEnd"/>
      <w:r>
        <w:t xml:space="preserve"> </w:t>
      </w:r>
      <w:proofErr w:type="spellStart"/>
      <w:r>
        <w:t>tosylate</w:t>
      </w:r>
      <w:proofErr w:type="spellEnd"/>
      <w:r>
        <w:t xml:space="preserve"> (400 mg daily), </w:t>
      </w:r>
      <w:proofErr w:type="spellStart"/>
      <w:r>
        <w:t>Pazopanib</w:t>
      </w:r>
      <w:proofErr w:type="spellEnd"/>
      <w:r>
        <w:t xml:space="preserve"> (600 mg daily) and </w:t>
      </w:r>
      <w:proofErr w:type="spellStart"/>
      <w:r>
        <w:t>denosumab</w:t>
      </w:r>
      <w:proofErr w:type="spellEnd"/>
      <w:r>
        <w:t xml:space="preserve"> (120 mg for one month) and other patients also received either </w:t>
      </w:r>
      <w:proofErr w:type="spellStart"/>
      <w:r>
        <w:t>Mifamuride</w:t>
      </w:r>
      <w:proofErr w:type="spellEnd"/>
      <w:r>
        <w:t>, Gemcitabine (675 mg/m</w:t>
      </w:r>
      <w:r w:rsidRPr="005B5319">
        <w:rPr>
          <w:vertAlign w:val="superscript"/>
        </w:rPr>
        <w:t>2</w:t>
      </w:r>
      <w:r>
        <w:t>), Docetaxel (100 mg/m</w:t>
      </w:r>
      <w:r w:rsidRPr="005B5319">
        <w:rPr>
          <w:vertAlign w:val="superscript"/>
        </w:rPr>
        <w:t>2</w:t>
      </w:r>
      <w:r>
        <w:t xml:space="preserve">), </w:t>
      </w:r>
      <w:proofErr w:type="spellStart"/>
      <w:r>
        <w:t>Imatinib</w:t>
      </w:r>
      <w:proofErr w:type="spellEnd"/>
      <w:r>
        <w:t xml:space="preserve"> (300 mg twice a day), Cyclophosphamide (50 mg/m</w:t>
      </w:r>
      <w:r w:rsidRPr="005B5319">
        <w:rPr>
          <w:vertAlign w:val="superscript"/>
        </w:rPr>
        <w:t>2</w:t>
      </w:r>
      <w:r>
        <w:t xml:space="preserve">) or </w:t>
      </w:r>
      <w:proofErr w:type="spellStart"/>
      <w:r>
        <w:t>Oxoplatin</w:t>
      </w:r>
      <w:proofErr w:type="spellEnd"/>
      <w:r>
        <w:t>. Due to complications, 8 patients did not receive the full 12 cycles of methotrexate and 5 patients did not receive 12 cycles of doxorubicin.</w:t>
      </w:r>
    </w:p>
    <w:p w:rsidR="00B40E04" w:rsidRPr="00B40E04" w:rsidRDefault="00B40E04" w:rsidP="00B40E04">
      <w:pPr>
        <w:spacing w:line="480" w:lineRule="auto"/>
        <w:jc w:val="center"/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C20521E" wp14:editId="1EFB169A">
            <wp:simplePos x="0" y="0"/>
            <wp:positionH relativeFrom="column">
              <wp:posOffset>0</wp:posOffset>
            </wp:positionH>
            <wp:positionV relativeFrom="paragraph">
              <wp:posOffset>349250</wp:posOffset>
            </wp:positionV>
            <wp:extent cx="5943600" cy="5008880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able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08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</w:pPr>
      <w:r w:rsidRPr="00D9073E">
        <w:rPr>
          <w:b/>
        </w:rPr>
        <w:lastRenderedPageBreak/>
        <w:t>Table 2.</w:t>
      </w:r>
      <w:r>
        <w:t xml:space="preserve"> A description of the features of each of the implant designs investigated, highlighting the differences in ingrowth surface parameters at the bone implant shoulder</w:t>
      </w:r>
    </w:p>
    <w:p w:rsidR="00B40E04" w:rsidRDefault="00B40E04" w:rsidP="00B40E04">
      <w:pPr>
        <w:spacing w:line="480" w:lineRule="auto"/>
        <w:jc w:val="center"/>
        <w:rPr>
          <w:b/>
        </w:rPr>
      </w:pPr>
      <w:r>
        <w:rPr>
          <w:i/>
          <w:iCs/>
          <w:noProof/>
          <w:color w:val="000000"/>
          <w:lang w:val="en-US"/>
        </w:rPr>
        <w:drawing>
          <wp:anchor distT="0" distB="0" distL="114300" distR="114300" simplePos="0" relativeHeight="251661312" behindDoc="0" locked="0" layoutInCell="1" allowOverlap="1" wp14:anchorId="075C28EF" wp14:editId="759B1DD5">
            <wp:simplePos x="0" y="0"/>
            <wp:positionH relativeFrom="column">
              <wp:posOffset>0</wp:posOffset>
            </wp:positionH>
            <wp:positionV relativeFrom="paragraph">
              <wp:posOffset>349250</wp:posOffset>
            </wp:positionV>
            <wp:extent cx="5943600" cy="5176520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able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76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</w:pPr>
      <w:r w:rsidRPr="006547B7">
        <w:rPr>
          <w:b/>
        </w:rPr>
        <w:lastRenderedPageBreak/>
        <w:t xml:space="preserve">Table </w:t>
      </w:r>
      <w:r>
        <w:rPr>
          <w:b/>
        </w:rPr>
        <w:t>3</w:t>
      </w:r>
      <w:r w:rsidRPr="006547B7">
        <w:rPr>
          <w:b/>
        </w:rPr>
        <w:t>.</w:t>
      </w:r>
      <w:r>
        <w:t xml:space="preserve"> Classification of segmental </w:t>
      </w:r>
      <w:proofErr w:type="spellStart"/>
      <w:r>
        <w:t>endoprosthetic</w:t>
      </w:r>
      <w:proofErr w:type="spellEnd"/>
      <w:r>
        <w:t xml:space="preserve"> failure</w:t>
      </w:r>
      <w:r>
        <w:rPr>
          <w:noProof/>
          <w:lang w:val="en-US"/>
        </w:rPr>
        <w:drawing>
          <wp:anchor distT="0" distB="0" distL="114300" distR="114300" simplePos="0" relativeHeight="251665408" behindDoc="0" locked="0" layoutInCell="1" allowOverlap="1" wp14:anchorId="50414A42" wp14:editId="73CAAC53">
            <wp:simplePos x="0" y="0"/>
            <wp:positionH relativeFrom="column">
              <wp:posOffset>0</wp:posOffset>
            </wp:positionH>
            <wp:positionV relativeFrom="paragraph">
              <wp:posOffset>349250</wp:posOffset>
            </wp:positionV>
            <wp:extent cx="5943600" cy="276352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able 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63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0E04" w:rsidRDefault="00B40E04" w:rsidP="00B40E04">
      <w:pPr>
        <w:spacing w:line="480" w:lineRule="auto"/>
        <w:jc w:val="center"/>
        <w:rPr>
          <w:b/>
          <w:iCs/>
          <w:color w:val="000000"/>
        </w:rPr>
      </w:pPr>
    </w:p>
    <w:p w:rsidR="00B40E04" w:rsidRDefault="00B40E04" w:rsidP="00B40E04">
      <w:pPr>
        <w:spacing w:line="480" w:lineRule="auto"/>
        <w:jc w:val="center"/>
        <w:rPr>
          <w:iCs/>
          <w:color w:val="000000"/>
        </w:rPr>
      </w:pPr>
      <w:r>
        <w:rPr>
          <w:noProof/>
          <w:lang w:val="en-US"/>
        </w:rPr>
        <w:drawing>
          <wp:anchor distT="0" distB="0" distL="114300" distR="114300" simplePos="0" relativeHeight="251667456" behindDoc="0" locked="0" layoutInCell="1" allowOverlap="1" wp14:anchorId="37348190" wp14:editId="745B5125">
            <wp:simplePos x="0" y="0"/>
            <wp:positionH relativeFrom="column">
              <wp:posOffset>731520</wp:posOffset>
            </wp:positionH>
            <wp:positionV relativeFrom="paragraph">
              <wp:posOffset>516890</wp:posOffset>
            </wp:positionV>
            <wp:extent cx="5408295" cy="1861820"/>
            <wp:effectExtent l="0" t="0" r="1905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 4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8295" cy="1861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11CF">
        <w:rPr>
          <w:b/>
          <w:iCs/>
          <w:color w:val="000000"/>
        </w:rPr>
        <w:t>Table 4.</w:t>
      </w:r>
      <w:r>
        <w:rPr>
          <w:iCs/>
          <w:color w:val="000000"/>
        </w:rPr>
        <w:t xml:space="preserve"> Patient survival</w:t>
      </w:r>
    </w:p>
    <w:p w:rsidR="00B40E04" w:rsidRDefault="00B40E04" w:rsidP="00B40E04">
      <w:pPr>
        <w:spacing w:line="480" w:lineRule="auto"/>
        <w:jc w:val="center"/>
        <w:rPr>
          <w:iCs/>
          <w:color w:val="000000"/>
        </w:rPr>
      </w:pP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  <w:rPr>
          <w:b/>
        </w:rPr>
      </w:pPr>
    </w:p>
    <w:p w:rsidR="00B40E04" w:rsidRDefault="00B40E04" w:rsidP="00B40E04">
      <w:pPr>
        <w:spacing w:line="480" w:lineRule="auto"/>
        <w:jc w:val="center"/>
        <w:rPr>
          <w:color w:val="201F1E"/>
          <w:shd w:val="clear" w:color="auto" w:fill="FFFFFF"/>
        </w:rPr>
      </w:pPr>
      <w:r w:rsidRPr="00432A90">
        <w:rPr>
          <w:b/>
        </w:rPr>
        <w:lastRenderedPageBreak/>
        <w:t xml:space="preserve">Table </w:t>
      </w:r>
      <w:r>
        <w:rPr>
          <w:b/>
        </w:rPr>
        <w:t>5</w:t>
      </w:r>
      <w:r w:rsidRPr="00432A90">
        <w:rPr>
          <w:b/>
        </w:rPr>
        <w:t>:</w:t>
      </w:r>
      <w:r w:rsidRPr="00F95190">
        <w:t xml:space="preserve"> </w:t>
      </w:r>
      <w:proofErr w:type="spellStart"/>
      <w:r>
        <w:t>Endoprosthetic</w:t>
      </w:r>
      <w:proofErr w:type="spellEnd"/>
      <w:r>
        <w:t xml:space="preserve"> failure and complications over the follow up period. Data is presented using the Henderson Classification criterion. </w:t>
      </w:r>
      <w:r>
        <w:rPr>
          <w:color w:val="000000"/>
        </w:rPr>
        <w:t>Additionally, 3</w:t>
      </w:r>
      <w:r w:rsidRPr="00D4123A">
        <w:rPr>
          <w:color w:val="000000"/>
        </w:rPr>
        <w:t xml:space="preserve"> patients (1</w:t>
      </w:r>
      <w:r>
        <w:rPr>
          <w:color w:val="000000"/>
        </w:rPr>
        <w:t>0</w:t>
      </w:r>
      <w:r w:rsidRPr="00D4123A">
        <w:rPr>
          <w:color w:val="000000"/>
        </w:rPr>
        <w:t>.</w:t>
      </w:r>
      <w:r>
        <w:rPr>
          <w:color w:val="000000"/>
        </w:rPr>
        <w:t>3</w:t>
      </w:r>
      <w:r w:rsidRPr="00D4123A">
        <w:rPr>
          <w:color w:val="000000"/>
        </w:rPr>
        <w:t xml:space="preserve">%) were identified </w:t>
      </w:r>
      <w:r>
        <w:rPr>
          <w:color w:val="000000"/>
        </w:rPr>
        <w:t>with</w:t>
      </w:r>
      <w:r w:rsidRPr="00D4123A">
        <w:rPr>
          <w:color w:val="000000"/>
        </w:rPr>
        <w:t xml:space="preserve"> complications due to infection and all were readmitted to hospital for treatment. Infections necessitating surgical management through washout, incision and drainage or removal and replacement of parts occurred in 2 patients and aseptic wound dehiscence in a further 2 patients (6.9%). </w:t>
      </w:r>
      <w:r w:rsidRPr="00D4123A">
        <w:rPr>
          <w:iCs/>
          <w:color w:val="000000" w:themeColor="text1"/>
        </w:rPr>
        <w:t xml:space="preserve">Prolonged pain that was non-responsive to physical therapy or non-steroidal anti-inflammatory medication was seen in 8 patients. </w:t>
      </w:r>
      <w:r w:rsidRPr="00D4123A">
        <w:rPr>
          <w:color w:val="201F1E"/>
          <w:shd w:val="clear" w:color="auto" w:fill="FFFFFF"/>
        </w:rPr>
        <w:t xml:space="preserve">Four patients were noted to have pain associated with leg-length discrepancies and three underwent </w:t>
      </w:r>
      <w:r>
        <w:rPr>
          <w:color w:val="201F1E"/>
          <w:shd w:val="clear" w:color="auto" w:fill="FFFFFF"/>
        </w:rPr>
        <w:t xml:space="preserve">a </w:t>
      </w:r>
      <w:r w:rsidRPr="00D4123A">
        <w:rPr>
          <w:color w:val="201F1E"/>
          <w:shd w:val="clear" w:color="auto" w:fill="FFFFFF"/>
        </w:rPr>
        <w:t xml:space="preserve">contralateral </w:t>
      </w:r>
      <w:proofErr w:type="spellStart"/>
      <w:r w:rsidRPr="00D4123A">
        <w:rPr>
          <w:color w:val="201F1E"/>
          <w:shd w:val="clear" w:color="auto" w:fill="FFFFFF"/>
        </w:rPr>
        <w:t>epiphysiodesis</w:t>
      </w:r>
      <w:proofErr w:type="spellEnd"/>
      <w:r w:rsidRPr="00D4123A">
        <w:rPr>
          <w:color w:val="201F1E"/>
          <w:shd w:val="clear" w:color="auto" w:fill="FFFFFF"/>
        </w:rPr>
        <w:t xml:space="preserve"> procedure.</w:t>
      </w:r>
    </w:p>
    <w:p w:rsidR="00B40E04" w:rsidRDefault="00B40E04" w:rsidP="00B40E04">
      <w:pPr>
        <w:spacing w:line="480" w:lineRule="auto"/>
        <w:jc w:val="center"/>
        <w:rPr>
          <w:color w:val="201F1E"/>
          <w:shd w:val="clear" w:color="auto" w:fill="FFFFFF"/>
        </w:rPr>
      </w:pPr>
      <w:r>
        <w:rPr>
          <w:i/>
          <w:iCs/>
          <w:noProof/>
          <w:color w:val="000000"/>
          <w:lang w:val="en-US"/>
        </w:rPr>
        <w:drawing>
          <wp:anchor distT="0" distB="0" distL="114300" distR="114300" simplePos="0" relativeHeight="251669504" behindDoc="0" locked="0" layoutInCell="1" allowOverlap="1" wp14:anchorId="7612C892" wp14:editId="49A56FB1">
            <wp:simplePos x="0" y="0"/>
            <wp:positionH relativeFrom="column">
              <wp:posOffset>0</wp:posOffset>
            </wp:positionH>
            <wp:positionV relativeFrom="paragraph">
              <wp:posOffset>349250</wp:posOffset>
            </wp:positionV>
            <wp:extent cx="5943600" cy="4789805"/>
            <wp:effectExtent l="0" t="0" r="0" b="0"/>
            <wp:wrapTopAndBottom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Table 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89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0E04" w:rsidRDefault="00B40E04" w:rsidP="00B40E04">
      <w:pPr>
        <w:spacing w:line="480" w:lineRule="auto"/>
        <w:jc w:val="center"/>
        <w:rPr>
          <w:i/>
          <w:iCs/>
          <w:color w:val="000000"/>
        </w:rPr>
      </w:pPr>
    </w:p>
    <w:p w:rsidR="00B40E04" w:rsidRDefault="00B40E04" w:rsidP="00B40E04">
      <w:pPr>
        <w:spacing w:line="480" w:lineRule="auto"/>
        <w:jc w:val="center"/>
        <w:rPr>
          <w:b/>
          <w:iCs/>
          <w:color w:val="000000"/>
        </w:rPr>
      </w:pPr>
    </w:p>
    <w:p w:rsidR="00B40E04" w:rsidRDefault="00B40E04" w:rsidP="00B40E04">
      <w:pPr>
        <w:spacing w:line="480" w:lineRule="auto"/>
        <w:jc w:val="center"/>
        <w:rPr>
          <w:iCs/>
          <w:color w:val="000000"/>
        </w:rPr>
      </w:pPr>
      <w:r w:rsidRPr="00044C50">
        <w:rPr>
          <w:b/>
          <w:iCs/>
          <w:color w:val="000000"/>
        </w:rPr>
        <w:lastRenderedPageBreak/>
        <w:t xml:space="preserve">Table 6. </w:t>
      </w:r>
      <w:r>
        <w:rPr>
          <w:iCs/>
          <w:color w:val="000000"/>
        </w:rPr>
        <w:t>The mean duration of chemotherapy given to patients in each of the implant groups. Also presented are the number of non-responders in each group and the percentage of patients whose MAP treatment was modified due to a poor response or clinical complications. No significant differences between implant groups was found</w:t>
      </w:r>
    </w:p>
    <w:p w:rsidR="00B40E04" w:rsidRDefault="00B40E04" w:rsidP="00B40E04">
      <w:pPr>
        <w:spacing w:line="480" w:lineRule="auto"/>
        <w:jc w:val="center"/>
        <w:rPr>
          <w:iCs/>
          <w:color w:val="000000"/>
        </w:rPr>
      </w:pPr>
      <w:r>
        <w:rPr>
          <w:i/>
          <w:iCs/>
          <w:noProof/>
          <w:color w:val="000000"/>
          <w:lang w:val="en-US"/>
        </w:rPr>
        <w:drawing>
          <wp:anchor distT="0" distB="0" distL="114300" distR="114300" simplePos="0" relativeHeight="251671552" behindDoc="0" locked="0" layoutInCell="1" allowOverlap="1" wp14:anchorId="704981B4" wp14:editId="4F01B7F2">
            <wp:simplePos x="0" y="0"/>
            <wp:positionH relativeFrom="column">
              <wp:posOffset>373712</wp:posOffset>
            </wp:positionH>
            <wp:positionV relativeFrom="paragraph">
              <wp:posOffset>245883</wp:posOffset>
            </wp:positionV>
            <wp:extent cx="5943600" cy="2016125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able 6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6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0E04" w:rsidRDefault="00B40E04" w:rsidP="00B40E04">
      <w:pPr>
        <w:spacing w:line="480" w:lineRule="auto"/>
        <w:jc w:val="center"/>
        <w:rPr>
          <w:b/>
          <w:color w:val="000000"/>
        </w:rPr>
      </w:pPr>
    </w:p>
    <w:p w:rsidR="00B40E04" w:rsidRDefault="00B40E04" w:rsidP="00B40E04">
      <w:pPr>
        <w:spacing w:line="480" w:lineRule="auto"/>
        <w:jc w:val="center"/>
        <w:rPr>
          <w:color w:val="000000"/>
        </w:rPr>
      </w:pPr>
      <w:r w:rsidRPr="00E61652">
        <w:rPr>
          <w:b/>
          <w:color w:val="000000"/>
        </w:rPr>
        <w:t xml:space="preserve">Table </w:t>
      </w:r>
      <w:r>
        <w:rPr>
          <w:b/>
          <w:color w:val="000000"/>
        </w:rPr>
        <w:t>7</w:t>
      </w:r>
      <w:r w:rsidRPr="00E61652">
        <w:rPr>
          <w:b/>
          <w:color w:val="000000"/>
        </w:rPr>
        <w:t>.</w:t>
      </w:r>
      <w:r>
        <w:rPr>
          <w:color w:val="000000"/>
        </w:rPr>
        <w:t xml:space="preserve"> When compared with the GMRS® implant group, significantly increased levels of bone resection were measured in the CPS® (</w:t>
      </w:r>
      <w:r w:rsidRPr="00702BF8">
        <w:rPr>
          <w:i/>
          <w:color w:val="000000"/>
        </w:rPr>
        <w:t>p</w:t>
      </w:r>
      <w:r>
        <w:rPr>
          <w:color w:val="000000"/>
        </w:rPr>
        <w:t xml:space="preserve"> = 0.013) and Stanmore-given patients (</w:t>
      </w:r>
      <w:r w:rsidRPr="00702BF8">
        <w:rPr>
          <w:i/>
          <w:color w:val="000000"/>
        </w:rPr>
        <w:t>p</w:t>
      </w:r>
      <w:r>
        <w:rPr>
          <w:color w:val="000000"/>
        </w:rPr>
        <w:t xml:space="preserve"> = 0.028).</w:t>
      </w:r>
    </w:p>
    <w:p w:rsidR="00B40E04" w:rsidRDefault="00B40E04" w:rsidP="00B40E04">
      <w:pPr>
        <w:spacing w:line="480" w:lineRule="auto"/>
        <w:jc w:val="center"/>
        <w:rPr>
          <w:i/>
          <w:iCs/>
          <w:color w:val="000000"/>
        </w:rPr>
      </w:pPr>
      <w:bookmarkStart w:id="0" w:name="_GoBack"/>
      <w:r>
        <w:rPr>
          <w:iCs/>
          <w:noProof/>
          <w:color w:val="000000"/>
          <w:lang w:val="en-US"/>
        </w:rPr>
        <w:drawing>
          <wp:anchor distT="0" distB="0" distL="114300" distR="114300" simplePos="0" relativeHeight="251673600" behindDoc="0" locked="0" layoutInCell="1" allowOverlap="1" wp14:anchorId="145A6467" wp14:editId="6ACA7851">
            <wp:simplePos x="0" y="0"/>
            <wp:positionH relativeFrom="column">
              <wp:posOffset>1121134</wp:posOffset>
            </wp:positionH>
            <wp:positionV relativeFrom="paragraph">
              <wp:posOffset>278020</wp:posOffset>
            </wp:positionV>
            <wp:extent cx="4003040" cy="1903730"/>
            <wp:effectExtent l="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ble 7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3040" cy="1903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90883" w:rsidRDefault="00B40E04"/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E04"/>
    <w:rsid w:val="001A6D85"/>
    <w:rsid w:val="006E330B"/>
    <w:rsid w:val="00B1111D"/>
    <w:rsid w:val="00B40E04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1F3C6"/>
  <w15:chartTrackingRefBased/>
  <w15:docId w15:val="{80A5CB24-210C-42BE-98A6-1FD4D0966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0E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2022-03-05T17:22:00Z</dcterms:created>
  <dcterms:modified xsi:type="dcterms:W3CDTF">2022-03-05T17:29:00Z</dcterms:modified>
</cp:coreProperties>
</file>