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3FEBB" w14:textId="593FED1A" w:rsidR="00421D81" w:rsidRPr="002505BC" w:rsidRDefault="002505BC" w:rsidP="00421D81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</w:pPr>
      <w:r w:rsidRPr="002505BC">
        <w:rPr>
          <w:rFonts w:ascii="Times New Roman" w:hAnsi="Times New Roman" w:cs="Times New Roman"/>
          <w:sz w:val="24"/>
          <w:szCs w:val="24"/>
        </w:rPr>
        <w:t>S</w:t>
      </w:r>
      <w:r w:rsidRPr="002505BC">
        <w:rPr>
          <w:rFonts w:ascii="Times New Roman" w:hAnsi="Times New Roman" w:cs="Times New Roman"/>
          <w:sz w:val="24"/>
          <w:szCs w:val="24"/>
        </w:rPr>
        <w:t xml:space="preserve">upplementary </w:t>
      </w:r>
      <w:r w:rsidRPr="002505BC">
        <w:rPr>
          <w:rFonts w:ascii="Times New Roman" w:hAnsi="Times New Roman" w:cs="Times New Roman"/>
          <w:sz w:val="24"/>
          <w:szCs w:val="24"/>
        </w:rPr>
        <w:t xml:space="preserve">figure 1: </w:t>
      </w:r>
      <w:r w:rsidR="00421D81" w:rsidRPr="002505BC"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  <w:t>Prevalence of depression risk among adolescents by gender across countries.</w:t>
      </w:r>
    </w:p>
    <w:p w14:paraId="025FFC91" w14:textId="77777777" w:rsidR="00421D81" w:rsidRPr="002505BC" w:rsidRDefault="00421D81" w:rsidP="00421D81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05B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A992B2" wp14:editId="516D9333">
            <wp:extent cx="5400040" cy="3166110"/>
            <wp:effectExtent l="0" t="0" r="10160" b="1524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548AF56-683B-4E63-8D6C-A88D77B63FB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E642CCF" w14:textId="77777777" w:rsidR="00A91A9C" w:rsidRPr="002505BC" w:rsidRDefault="00A91A9C" w:rsidP="00421D8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44534791"/>
      <w:r w:rsidRPr="002505BC">
        <w:rPr>
          <w:rFonts w:ascii="Times New Roman" w:hAnsi="Times New Roman" w:cs="Times New Roman"/>
          <w:sz w:val="24"/>
          <w:szCs w:val="24"/>
        </w:rPr>
        <w:t xml:space="preserve">Legend: </w:t>
      </w:r>
      <w:r w:rsidR="00421D81" w:rsidRPr="002505BC">
        <w:rPr>
          <w:rFonts w:ascii="Times New Roman" w:hAnsi="Times New Roman" w:cs="Times New Roman"/>
          <w:sz w:val="24"/>
          <w:szCs w:val="24"/>
        </w:rPr>
        <w:t>n/Country</w:t>
      </w:r>
    </w:p>
    <w:p w14:paraId="3768F5BB" w14:textId="04BC7F16" w:rsidR="00421D81" w:rsidRPr="002505BC" w:rsidRDefault="00421D81" w:rsidP="00421D8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505BC">
        <w:rPr>
          <w:rFonts w:ascii="Times New Roman" w:hAnsi="Times New Roman" w:cs="Times New Roman"/>
          <w:sz w:val="24"/>
          <w:szCs w:val="24"/>
        </w:rPr>
        <w:t xml:space="preserve"> 1048/Afghanistan, 786/The Bahamas, 2515/Bahrain, 1909/Bangladesh, 1840/Benin, 1961/Brunei, 521/The Cook Islands, 2432/Fiji, 2298/ Polynesia, 8251/Indonesia, 2018/ Kuwait, 2853/Laos, 4189/Mongolia, 2861/Namibia, 4189/ Nepal, 5790/The Philippines, 3521/Thailand, 1011/Timor-Leste, 207/Tuvalu, 1397/Yemen.</w:t>
      </w:r>
    </w:p>
    <w:bookmarkEnd w:id="0"/>
    <w:p w14:paraId="50A7E379" w14:textId="77777777" w:rsidR="00421D81" w:rsidRPr="002505BC" w:rsidRDefault="00421D81" w:rsidP="00421D8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3CE6FF3" w14:textId="77777777" w:rsidR="00421D81" w:rsidRPr="002505BC" w:rsidRDefault="00421D81" w:rsidP="00421D8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505BC">
        <w:rPr>
          <w:rFonts w:ascii="Times New Roman" w:hAnsi="Times New Roman" w:cs="Times New Roman"/>
          <w:sz w:val="24"/>
          <w:szCs w:val="24"/>
        </w:rPr>
        <w:t xml:space="preserve">Selection and sequence of the countries: </w:t>
      </w:r>
      <w:r w:rsidRPr="002505B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Countries that had Global School-based Student Health Survey data available from 2013 or later. </w:t>
      </w:r>
      <w:r w:rsidRPr="002505BC">
        <w:rPr>
          <w:rFonts w:ascii="Times New Roman" w:hAnsi="Times New Roman" w:cs="Times New Roman"/>
          <w:sz w:val="24"/>
          <w:szCs w:val="24"/>
        </w:rPr>
        <w:t>Countries have been arranged in graph by prevalence of depression risk among girls from the largest to the smallest.</w:t>
      </w:r>
    </w:p>
    <w:p w14:paraId="1964B8BC" w14:textId="77777777" w:rsidR="00816B87" w:rsidRPr="002505BC" w:rsidRDefault="00816B87">
      <w:pPr>
        <w:rPr>
          <w:rFonts w:ascii="Times New Roman" w:hAnsi="Times New Roman" w:cs="Times New Roman"/>
          <w:sz w:val="24"/>
          <w:szCs w:val="24"/>
        </w:rPr>
      </w:pPr>
    </w:p>
    <w:sectPr w:rsidR="00816B87" w:rsidRPr="002505BC">
      <w:pgSz w:w="11906" w:h="16838"/>
      <w:pgMar w:top="1985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D81"/>
    <w:rsid w:val="00043F65"/>
    <w:rsid w:val="001504B3"/>
    <w:rsid w:val="002505BC"/>
    <w:rsid w:val="002B2F02"/>
    <w:rsid w:val="00421D81"/>
    <w:rsid w:val="006C0609"/>
    <w:rsid w:val="00816B87"/>
    <w:rsid w:val="00A91A9C"/>
    <w:rsid w:val="00F574BA"/>
    <w:rsid w:val="00FA4349"/>
    <w:rsid w:val="00FA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25C27"/>
  <w15:chartTrackingRefBased/>
  <w15:docId w15:val="{1E614690-A4F2-4AEF-9D33-C841D12C7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D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merican%20journal%20of%20adolescent%20psychietry\Figure%201%20and%20supplement%20fig%20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depression!$B$3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depression!$D$4:$D$23</c:f>
                <c:numCache>
                  <c:formatCode>General</c:formatCode>
                  <c:ptCount val="20"/>
                  <c:pt idx="0">
                    <c:v>4.9928600000000003</c:v>
                  </c:pt>
                  <c:pt idx="1">
                    <c:v>3.0670499999999947</c:v>
                  </c:pt>
                  <c:pt idx="2">
                    <c:v>2.7186099999999982</c:v>
                  </c:pt>
                  <c:pt idx="3">
                    <c:v>2.7624700000000004</c:v>
                  </c:pt>
                  <c:pt idx="4">
                    <c:v>3.2798299999999969</c:v>
                  </c:pt>
                  <c:pt idx="5">
                    <c:v>4.2327200000000005</c:v>
                  </c:pt>
                  <c:pt idx="6">
                    <c:v>5.3801899999999989</c:v>
                  </c:pt>
                  <c:pt idx="7">
                    <c:v>2.0165000000000006</c:v>
                  </c:pt>
                  <c:pt idx="8">
                    <c:v>1.9436899999999966</c:v>
                  </c:pt>
                  <c:pt idx="9">
                    <c:v>2.6968299999999985</c:v>
                  </c:pt>
                  <c:pt idx="10">
                    <c:v>5.9278099999999974</c:v>
                  </c:pt>
                  <c:pt idx="11">
                    <c:v>4.57029</c:v>
                  </c:pt>
                  <c:pt idx="12">
                    <c:v>2.6996800000000007</c:v>
                  </c:pt>
                  <c:pt idx="13">
                    <c:v>2.9019300000000001</c:v>
                  </c:pt>
                  <c:pt idx="14">
                    <c:v>2.99559</c:v>
                  </c:pt>
                  <c:pt idx="15">
                    <c:v>2.2178900000000006</c:v>
                  </c:pt>
                  <c:pt idx="16">
                    <c:v>3.8862799999999993</c:v>
                  </c:pt>
                  <c:pt idx="17">
                    <c:v>1.227879999999999</c:v>
                  </c:pt>
                  <c:pt idx="18">
                    <c:v>2.0085699999999989</c:v>
                  </c:pt>
                  <c:pt idx="19">
                    <c:v>10.107820000000004</c:v>
                  </c:pt>
                </c:numCache>
              </c:numRef>
            </c:plus>
            <c:minus>
              <c:numRef>
                <c:f>depression!$E$4:$E$23</c:f>
                <c:numCache>
                  <c:formatCode>General</c:formatCode>
                  <c:ptCount val="20"/>
                  <c:pt idx="0">
                    <c:v>4.8523299999999949</c:v>
                  </c:pt>
                  <c:pt idx="1">
                    <c:v>2.9022800000000011</c:v>
                  </c:pt>
                  <c:pt idx="2">
                    <c:v>2.6760999999999981</c:v>
                  </c:pt>
                  <c:pt idx="3">
                    <c:v>2.630709999999997</c:v>
                  </c:pt>
                  <c:pt idx="4">
                    <c:v>3.184820000000002</c:v>
                  </c:pt>
                  <c:pt idx="5">
                    <c:v>4.0327399999999969</c:v>
                  </c:pt>
                  <c:pt idx="6">
                    <c:v>4.7375299999999996</c:v>
                  </c:pt>
                  <c:pt idx="7">
                    <c:v>1.9105799999999995</c:v>
                  </c:pt>
                  <c:pt idx="8">
                    <c:v>1.8530100000000047</c:v>
                  </c:pt>
                  <c:pt idx="9">
                    <c:v>2.4535799999999988</c:v>
                  </c:pt>
                  <c:pt idx="10">
                    <c:v>5.1549700000000058</c:v>
                  </c:pt>
                  <c:pt idx="11">
                    <c:v>4.2737799999999986</c:v>
                  </c:pt>
                  <c:pt idx="12">
                    <c:v>2.5082999999999984</c:v>
                  </c:pt>
                  <c:pt idx="13">
                    <c:v>2.6193699999999964</c:v>
                  </c:pt>
                  <c:pt idx="14">
                    <c:v>2.7326300000000003</c:v>
                  </c:pt>
                  <c:pt idx="15">
                    <c:v>2.0332099999999969</c:v>
                  </c:pt>
                  <c:pt idx="16">
                    <c:v>3.3564699999999998</c:v>
                  </c:pt>
                  <c:pt idx="17">
                    <c:v>1.1290399999999998</c:v>
                  </c:pt>
                  <c:pt idx="18">
                    <c:v>1.7166000000000015</c:v>
                  </c:pt>
                  <c:pt idx="19">
                    <c:v>8.1010999999999989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accent1"/>
                </a:solidFill>
                <a:round/>
              </a:ln>
              <a:effectLst/>
            </c:spPr>
          </c:errBars>
          <c:cat>
            <c:strRef>
              <c:f>depression!$A$4:$A$23</c:f>
              <c:strCache>
                <c:ptCount val="20"/>
                <c:pt idx="0">
                  <c:v>Afghanistan</c:v>
                </c:pt>
                <c:pt idx="1">
                  <c:v>Kuwait</c:v>
                </c:pt>
                <c:pt idx="2">
                  <c:v>Namibia</c:v>
                </c:pt>
                <c:pt idx="3">
                  <c:v>Bahrain</c:v>
                </c:pt>
                <c:pt idx="4">
                  <c:v>Benin</c:v>
                </c:pt>
                <c:pt idx="5">
                  <c:v>Yemen</c:v>
                </c:pt>
                <c:pt idx="6">
                  <c:v>Bahamas</c:v>
                </c:pt>
                <c:pt idx="7">
                  <c:v>Mongolia</c:v>
                </c:pt>
                <c:pt idx="8">
                  <c:v>Philippines</c:v>
                </c:pt>
                <c:pt idx="9">
                  <c:v>Polynesia</c:v>
                </c:pt>
                <c:pt idx="10">
                  <c:v>Cook Islands</c:v>
                </c:pt>
                <c:pt idx="11">
                  <c:v>Timorleste</c:v>
                </c:pt>
                <c:pt idx="12">
                  <c:v>Fiji</c:v>
                </c:pt>
                <c:pt idx="13">
                  <c:v>Brunei</c:v>
                </c:pt>
                <c:pt idx="14">
                  <c:v>Thailand</c:v>
                </c:pt>
                <c:pt idx="15">
                  <c:v>Nepal</c:v>
                </c:pt>
                <c:pt idx="16">
                  <c:v>Bangladesh</c:v>
                </c:pt>
                <c:pt idx="17">
                  <c:v>Indonesia</c:v>
                </c:pt>
                <c:pt idx="18">
                  <c:v>Laos</c:v>
                </c:pt>
                <c:pt idx="19">
                  <c:v>Tuvalu</c:v>
                </c:pt>
              </c:strCache>
            </c:strRef>
          </c:cat>
          <c:val>
            <c:numRef>
              <c:f>depression!$B$4:$B$23</c:f>
              <c:numCache>
                <c:formatCode>General</c:formatCode>
                <c:ptCount val="20"/>
                <c:pt idx="0">
                  <c:v>42.895339999999997</c:v>
                </c:pt>
                <c:pt idx="1">
                  <c:v>30.412840000000003</c:v>
                </c:pt>
                <c:pt idx="2">
                  <c:v>42.845909999999996</c:v>
                </c:pt>
                <c:pt idx="3">
                  <c:v>30.710749999999997</c:v>
                </c:pt>
                <c:pt idx="4">
                  <c:v>39.164090000000002</c:v>
                </c:pt>
                <c:pt idx="5">
                  <c:v>36.433929999999997</c:v>
                </c:pt>
                <c:pt idx="6">
                  <c:v>25.84122</c:v>
                </c:pt>
                <c:pt idx="7">
                  <c:v>24.54271</c:v>
                </c:pt>
                <c:pt idx="8">
                  <c:v>25.862180000000002</c:v>
                </c:pt>
                <c:pt idx="9">
                  <c:v>20.28124</c:v>
                </c:pt>
                <c:pt idx="10">
                  <c:v>25.794850000000004</c:v>
                </c:pt>
                <c:pt idx="11">
                  <c:v>33.173940000000002</c:v>
                </c:pt>
                <c:pt idx="12">
                  <c:v>24.129490000000001</c:v>
                </c:pt>
                <c:pt idx="13">
                  <c:v>20.124369999999999</c:v>
                </c:pt>
                <c:pt idx="14">
                  <c:v>22.231100000000001</c:v>
                </c:pt>
                <c:pt idx="15">
                  <c:v>18.774179999999998</c:v>
                </c:pt>
                <c:pt idx="16">
                  <c:v>18.88766</c:v>
                </c:pt>
                <c:pt idx="17">
                  <c:v>12.09632</c:v>
                </c:pt>
                <c:pt idx="18">
                  <c:v>10.433240000000001</c:v>
                </c:pt>
                <c:pt idx="19">
                  <c:v>26.267879999999998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EDA-4932-A057-2B12CD8820E1}"/>
            </c:ext>
          </c:extLst>
        </c:ser>
        <c:ser>
          <c:idx val="1"/>
          <c:order val="1"/>
          <c:tx>
            <c:strRef>
              <c:f>depression!$C$3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depression!$H$4:$H$23</c:f>
                <c:numCache>
                  <c:formatCode>General</c:formatCode>
                  <c:ptCount val="20"/>
                  <c:pt idx="0">
                    <c:v>4.1366699999999952</c:v>
                  </c:pt>
                  <c:pt idx="1">
                    <c:v>3.1041200000000018</c:v>
                  </c:pt>
                  <c:pt idx="2">
                    <c:v>2.6287999999999982</c:v>
                  </c:pt>
                  <c:pt idx="3">
                    <c:v>2.6943699999999922</c:v>
                  </c:pt>
                  <c:pt idx="4">
                    <c:v>3.4711999999999961</c:v>
                  </c:pt>
                  <c:pt idx="5">
                    <c:v>3.6869100000000046</c:v>
                  </c:pt>
                  <c:pt idx="6">
                    <c:v>4.6818200000000019</c:v>
                  </c:pt>
                  <c:pt idx="7">
                    <c:v>2.0371399999999937</c:v>
                  </c:pt>
                  <c:pt idx="8">
                    <c:v>1.9419999999999931</c:v>
                  </c:pt>
                  <c:pt idx="9">
                    <c:v>2.8730100000000007</c:v>
                  </c:pt>
                  <c:pt idx="10">
                    <c:v>5.9138299999999973</c:v>
                  </c:pt>
                  <c:pt idx="11">
                    <c:v>4.3637899999999981</c:v>
                  </c:pt>
                  <c:pt idx="12">
                    <c:v>2.6092300000000037</c:v>
                  </c:pt>
                  <c:pt idx="13">
                    <c:v>2.9602699999999977</c:v>
                  </c:pt>
                  <c:pt idx="14">
                    <c:v>2.514280000000003</c:v>
                  </c:pt>
                  <c:pt idx="15">
                    <c:v>2.3055200000000013</c:v>
                  </c:pt>
                  <c:pt idx="16">
                    <c:v>3.093160000000001</c:v>
                  </c:pt>
                  <c:pt idx="17">
                    <c:v>1.0937800000000006</c:v>
                  </c:pt>
                  <c:pt idx="18">
                    <c:v>1.8900799999999993</c:v>
                  </c:pt>
                  <c:pt idx="19">
                    <c:v>7.2951300000000003</c:v>
                  </c:pt>
                </c:numCache>
              </c:numRef>
            </c:plus>
            <c:minus>
              <c:numRef>
                <c:f>depression!$I$4:$I$23</c:f>
                <c:numCache>
                  <c:formatCode>General</c:formatCode>
                  <c:ptCount val="20"/>
                  <c:pt idx="0">
                    <c:v>4.2601100000000045</c:v>
                  </c:pt>
                  <c:pt idx="1">
                    <c:v>3.0605900000000048</c:v>
                  </c:pt>
                  <c:pt idx="2">
                    <c:v>2.5914599999999979</c:v>
                  </c:pt>
                  <c:pt idx="3">
                    <c:v>2.6532699999999991</c:v>
                  </c:pt>
                  <c:pt idx="4">
                    <c:v>3.392470000000003</c:v>
                  </c:pt>
                  <c:pt idx="5">
                    <c:v>3.5587099999999978</c:v>
                  </c:pt>
                  <c:pt idx="6">
                    <c:v>4.4299099999999996</c:v>
                  </c:pt>
                  <c:pt idx="7">
                    <c:v>1.9856200000000044</c:v>
                  </c:pt>
                  <c:pt idx="8">
                    <c:v>1.8908300000000082</c:v>
                  </c:pt>
                  <c:pt idx="9">
                    <c:v>2.7569200000000009</c:v>
                  </c:pt>
                  <c:pt idx="10">
                    <c:v>5.3922100000000022</c:v>
                  </c:pt>
                  <c:pt idx="11">
                    <c:v>4.0520600000000009</c:v>
                  </c:pt>
                  <c:pt idx="12">
                    <c:v>2.4912199999999984</c:v>
                  </c:pt>
                  <c:pt idx="13">
                    <c:v>2.775739999999999</c:v>
                  </c:pt>
                  <c:pt idx="14">
                    <c:v>2.310419999999997</c:v>
                  </c:pt>
                  <c:pt idx="15">
                    <c:v>2.1318499999999965</c:v>
                  </c:pt>
                  <c:pt idx="16">
                    <c:v>2.7263499999999983</c:v>
                  </c:pt>
                  <c:pt idx="17">
                    <c:v>1.0252200000000009</c:v>
                  </c:pt>
                  <c:pt idx="18">
                    <c:v>1.68675</c:v>
                  </c:pt>
                  <c:pt idx="19">
                    <c:v>4.7880500000000001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accent2"/>
                </a:solidFill>
                <a:round/>
              </a:ln>
              <a:effectLst/>
            </c:spPr>
          </c:errBars>
          <c:cat>
            <c:strRef>
              <c:f>depression!$A$4:$A$23</c:f>
              <c:strCache>
                <c:ptCount val="20"/>
                <c:pt idx="0">
                  <c:v>Afghanistan</c:v>
                </c:pt>
                <c:pt idx="1">
                  <c:v>Kuwait</c:v>
                </c:pt>
                <c:pt idx="2">
                  <c:v>Namibia</c:v>
                </c:pt>
                <c:pt idx="3">
                  <c:v>Bahrain</c:v>
                </c:pt>
                <c:pt idx="4">
                  <c:v>Benin</c:v>
                </c:pt>
                <c:pt idx="5">
                  <c:v>Yemen</c:v>
                </c:pt>
                <c:pt idx="6">
                  <c:v>Bahamas</c:v>
                </c:pt>
                <c:pt idx="7">
                  <c:v>Mongolia</c:v>
                </c:pt>
                <c:pt idx="8">
                  <c:v>Philippines</c:v>
                </c:pt>
                <c:pt idx="9">
                  <c:v>Polynesia</c:v>
                </c:pt>
                <c:pt idx="10">
                  <c:v>Cook Islands</c:v>
                </c:pt>
                <c:pt idx="11">
                  <c:v>Timorleste</c:v>
                </c:pt>
                <c:pt idx="12">
                  <c:v>Fiji</c:v>
                </c:pt>
                <c:pt idx="13">
                  <c:v>Brunei</c:v>
                </c:pt>
                <c:pt idx="14">
                  <c:v>Thailand</c:v>
                </c:pt>
                <c:pt idx="15">
                  <c:v>Nepal</c:v>
                </c:pt>
                <c:pt idx="16">
                  <c:v>Bangladesh</c:v>
                </c:pt>
                <c:pt idx="17">
                  <c:v>Indonesia</c:v>
                </c:pt>
                <c:pt idx="18">
                  <c:v>Laos</c:v>
                </c:pt>
                <c:pt idx="19">
                  <c:v>Tuvalu</c:v>
                </c:pt>
              </c:strCache>
            </c:strRef>
          </c:cat>
          <c:val>
            <c:numRef>
              <c:f>depression!$C$4:$C$23</c:f>
              <c:numCache>
                <c:formatCode>General</c:formatCode>
                <c:ptCount val="20"/>
                <c:pt idx="0">
                  <c:v>58.503050000000002</c:v>
                </c:pt>
                <c:pt idx="1">
                  <c:v>44.346170000000001</c:v>
                </c:pt>
                <c:pt idx="2">
                  <c:v>43.274979999999999</c:v>
                </c:pt>
                <c:pt idx="3">
                  <c:v>42.957430000000002</c:v>
                </c:pt>
                <c:pt idx="4">
                  <c:v>41.864190000000001</c:v>
                </c:pt>
                <c:pt idx="5">
                  <c:v>38.438159999999996</c:v>
                </c:pt>
                <c:pt idx="6">
                  <c:v>36.006909999999998</c:v>
                </c:pt>
                <c:pt idx="7">
                  <c:v>35.432590000000005</c:v>
                </c:pt>
                <c:pt idx="8">
                  <c:v>34.298840000000006</c:v>
                </c:pt>
                <c:pt idx="9">
                  <c:v>33.63993</c:v>
                </c:pt>
                <c:pt idx="10">
                  <c:v>32.156820000000003</c:v>
                </c:pt>
                <c:pt idx="11">
                  <c:v>31.10867</c:v>
                </c:pt>
                <c:pt idx="12">
                  <c:v>30.689579999999999</c:v>
                </c:pt>
                <c:pt idx="13">
                  <c:v>27.574999999999999</c:v>
                </c:pt>
                <c:pt idx="14">
                  <c:v>20.945829999999997</c:v>
                </c:pt>
                <c:pt idx="15">
                  <c:v>20.847239999999999</c:v>
                </c:pt>
                <c:pt idx="16">
                  <c:v>17.958349999999999</c:v>
                </c:pt>
                <c:pt idx="17">
                  <c:v>13.75056</c:v>
                </c:pt>
                <c:pt idx="18">
                  <c:v>13.278780000000001</c:v>
                </c:pt>
                <c:pt idx="19">
                  <c:v>12.027570000000001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EDA-4932-A057-2B12CD8820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8505336"/>
        <c:axId val="328505664"/>
      </c:lineChart>
      <c:catAx>
        <c:axId val="328505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8505664"/>
        <c:crosses val="autoZero"/>
        <c:auto val="1"/>
        <c:lblAlgn val="ctr"/>
        <c:lblOffset val="100"/>
        <c:noMultiLvlLbl val="0"/>
      </c:catAx>
      <c:valAx>
        <c:axId val="328505664"/>
        <c:scaling>
          <c:orientation val="minMax"/>
          <c:max val="6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14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</a:t>
                </a:r>
                <a:r>
                  <a:rPr lang="en-GB" sz="14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Prevalence of depression risk</a:t>
                </a:r>
                <a:endParaRPr lang="en-GB" sz="14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1.4111006585136407E-2"/>
              <c:y val="4.011231448054553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85053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suravi15@yahoo.com</dc:creator>
  <cp:keywords/>
  <dc:description/>
  <cp:lastModifiedBy>suravi15@yahoo.com</cp:lastModifiedBy>
  <cp:revision>4</cp:revision>
  <dcterms:created xsi:type="dcterms:W3CDTF">2020-12-01T01:56:00Z</dcterms:created>
  <dcterms:modified xsi:type="dcterms:W3CDTF">2022-03-09T11:55:00Z</dcterms:modified>
</cp:coreProperties>
</file>