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24D0" w14:textId="41EA233A" w:rsidR="00D27AF8" w:rsidRDefault="00EE3D69" w:rsidP="00D27AF8">
      <w:pPr>
        <w:spacing w:line="48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Supplementary information </w:t>
      </w:r>
    </w:p>
    <w:p w14:paraId="69871218" w14:textId="5ABFD542" w:rsidR="00EE3D69" w:rsidRDefault="00EE3D69" w:rsidP="00EE3D69">
      <w:pPr>
        <w:spacing w:line="480" w:lineRule="auto"/>
        <w:rPr>
          <w:rFonts w:asciiTheme="majorBidi" w:hAnsiTheme="majorBidi" w:cstheme="majorBidi"/>
          <w:b/>
          <w:bCs/>
          <w:sz w:val="24"/>
          <w:szCs w:val="24"/>
        </w:rPr>
      </w:pPr>
      <w:r>
        <w:rPr>
          <w:rFonts w:asciiTheme="majorBidi" w:hAnsiTheme="majorBidi" w:cstheme="majorBidi"/>
          <w:b/>
          <w:bCs/>
          <w:sz w:val="24"/>
          <w:szCs w:val="24"/>
        </w:rPr>
        <w:t xml:space="preserve">Medication information </w:t>
      </w:r>
    </w:p>
    <w:p w14:paraId="39B4AE16" w14:textId="77777777" w:rsidR="002C3AB7" w:rsidRDefault="00EE3D69" w:rsidP="002C3AB7">
      <w:pPr>
        <w:spacing w:line="480" w:lineRule="auto"/>
        <w:rPr>
          <w:rFonts w:asciiTheme="majorBidi" w:hAnsiTheme="majorBidi" w:cstheme="majorBidi"/>
          <w:sz w:val="24"/>
          <w:szCs w:val="24"/>
        </w:rPr>
      </w:pPr>
      <w:r>
        <w:rPr>
          <w:rFonts w:asciiTheme="majorBidi" w:hAnsiTheme="majorBidi" w:cstheme="majorBidi"/>
          <w:sz w:val="24"/>
          <w:szCs w:val="24"/>
        </w:rPr>
        <w:t>Due to the high comorbidity between ASD and other neurological symptoms, m</w:t>
      </w:r>
      <w:r w:rsidRPr="000D0734">
        <w:rPr>
          <w:rFonts w:asciiTheme="majorBidi" w:hAnsiTheme="majorBidi" w:cstheme="majorBidi"/>
          <w:sz w:val="24"/>
          <w:szCs w:val="24"/>
        </w:rPr>
        <w:t>edica</w:t>
      </w:r>
      <w:r>
        <w:rPr>
          <w:rFonts w:asciiTheme="majorBidi" w:hAnsiTheme="majorBidi" w:cstheme="majorBidi"/>
          <w:sz w:val="24"/>
          <w:szCs w:val="24"/>
        </w:rPr>
        <w:t xml:space="preserve">l treatment </w:t>
      </w:r>
      <w:r w:rsidRPr="000D0734">
        <w:rPr>
          <w:rFonts w:asciiTheme="majorBidi" w:hAnsiTheme="majorBidi" w:cstheme="majorBidi"/>
          <w:sz w:val="24"/>
          <w:szCs w:val="24"/>
        </w:rPr>
        <w:t>was not a</w:t>
      </w:r>
      <w:r>
        <w:rPr>
          <w:rFonts w:asciiTheme="majorBidi" w:hAnsiTheme="majorBidi" w:cstheme="majorBidi"/>
          <w:sz w:val="24"/>
          <w:szCs w:val="24"/>
        </w:rPr>
        <w:t xml:space="preserve">n excluded criterion. However, </w:t>
      </w:r>
      <w:proofErr w:type="gramStart"/>
      <w:r>
        <w:rPr>
          <w:rFonts w:asciiTheme="majorBidi" w:hAnsiTheme="majorBidi" w:cstheme="majorBidi"/>
          <w:sz w:val="24"/>
          <w:szCs w:val="24"/>
        </w:rPr>
        <w:t>each individual's</w:t>
      </w:r>
      <w:proofErr w:type="gramEnd"/>
      <w:r>
        <w:rPr>
          <w:rFonts w:asciiTheme="majorBidi" w:hAnsiTheme="majorBidi" w:cstheme="majorBidi"/>
          <w:sz w:val="24"/>
          <w:szCs w:val="24"/>
        </w:rPr>
        <w:t xml:space="preserve"> treatment was</w:t>
      </w:r>
      <w:r w:rsidRPr="000D0734">
        <w:rPr>
          <w:rFonts w:asciiTheme="majorBidi" w:hAnsiTheme="majorBidi" w:cstheme="majorBidi"/>
          <w:sz w:val="24"/>
          <w:szCs w:val="24"/>
        </w:rPr>
        <w:t xml:space="preserve"> examined </w:t>
      </w:r>
      <w:r>
        <w:rPr>
          <w:rFonts w:asciiTheme="majorBidi" w:hAnsiTheme="majorBidi" w:cstheme="majorBidi"/>
          <w:sz w:val="24"/>
          <w:szCs w:val="24"/>
        </w:rPr>
        <w:t xml:space="preserve">independently to evaluate the possible influence on the outcomes. </w:t>
      </w:r>
      <w:r w:rsidR="002C3AB7">
        <w:rPr>
          <w:rFonts w:asciiTheme="majorBidi" w:hAnsiTheme="majorBidi" w:cstheme="majorBidi"/>
          <w:sz w:val="24"/>
          <w:szCs w:val="24"/>
        </w:rPr>
        <w:t>A doctor accompanied the experiment,</w:t>
      </w:r>
      <w:r w:rsidR="002C3AB7" w:rsidRPr="000D0734">
        <w:rPr>
          <w:rFonts w:asciiTheme="majorBidi" w:hAnsiTheme="majorBidi" w:cstheme="majorBidi"/>
          <w:sz w:val="24"/>
          <w:szCs w:val="24"/>
        </w:rPr>
        <w:t xml:space="preserve"> and each </w:t>
      </w:r>
      <w:r w:rsidR="002C3AB7">
        <w:rPr>
          <w:rFonts w:asciiTheme="majorBidi" w:hAnsiTheme="majorBidi" w:cstheme="majorBidi"/>
          <w:sz w:val="24"/>
          <w:szCs w:val="24"/>
        </w:rPr>
        <w:t>medicated participant</w:t>
      </w:r>
      <w:r w:rsidR="002C3AB7" w:rsidRPr="000D0734">
        <w:rPr>
          <w:rFonts w:asciiTheme="majorBidi" w:hAnsiTheme="majorBidi" w:cstheme="majorBidi"/>
          <w:sz w:val="24"/>
          <w:szCs w:val="24"/>
        </w:rPr>
        <w:t xml:space="preserve"> was approved depending on the type of drug and the </w:t>
      </w:r>
      <w:r w:rsidR="002C3AB7">
        <w:rPr>
          <w:rFonts w:asciiTheme="majorBidi" w:hAnsiTheme="majorBidi" w:cstheme="majorBidi"/>
          <w:sz w:val="24"/>
          <w:szCs w:val="24"/>
        </w:rPr>
        <w:t>medical doses the individuals received</w:t>
      </w:r>
      <w:r w:rsidR="002C3AB7" w:rsidRPr="000D0734">
        <w:rPr>
          <w:rFonts w:asciiTheme="majorBidi" w:hAnsiTheme="majorBidi" w:cstheme="majorBidi"/>
          <w:sz w:val="24"/>
          <w:szCs w:val="24"/>
        </w:rPr>
        <w:t>.</w:t>
      </w:r>
    </w:p>
    <w:p w14:paraId="235BD77A" w14:textId="63876605" w:rsidR="00EE3D69" w:rsidRDefault="00EE3D69" w:rsidP="002C3AB7">
      <w:pPr>
        <w:spacing w:line="480" w:lineRule="auto"/>
        <w:rPr>
          <w:rFonts w:asciiTheme="majorBidi" w:hAnsiTheme="majorBidi" w:cstheme="majorBidi"/>
          <w:sz w:val="24"/>
          <w:szCs w:val="24"/>
        </w:rPr>
      </w:pPr>
      <w:r w:rsidRPr="000D0734">
        <w:rPr>
          <w:rFonts w:asciiTheme="majorBidi" w:hAnsiTheme="majorBidi" w:cstheme="majorBidi"/>
          <w:sz w:val="24"/>
          <w:szCs w:val="24"/>
        </w:rPr>
        <w:t xml:space="preserve">The following are the names of the drugs whose use did not constitute a restrictive condition for participation in the trial. </w:t>
      </w:r>
    </w:p>
    <w:p w14:paraId="7DCE03BF" w14:textId="1E28EEBF" w:rsidR="00EE3D69" w:rsidRDefault="00EE3D69" w:rsidP="00EE3D69">
      <w:pPr>
        <w:spacing w:line="480" w:lineRule="auto"/>
        <w:rPr>
          <w:rFonts w:asciiTheme="majorBidi" w:hAnsiTheme="majorBidi" w:cstheme="majorBidi"/>
          <w:sz w:val="24"/>
          <w:szCs w:val="24"/>
        </w:rPr>
      </w:pPr>
      <w:r>
        <w:rPr>
          <w:rFonts w:asciiTheme="majorBidi" w:hAnsiTheme="majorBidi" w:cstheme="majorBidi"/>
          <w:sz w:val="24"/>
          <w:szCs w:val="24"/>
        </w:rPr>
        <w:t xml:space="preserve"> </w:t>
      </w:r>
    </w:p>
    <w:p w14:paraId="6372BF34"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Fluoxetine (</w:t>
      </w:r>
      <w:proofErr w:type="spellStart"/>
      <w:r w:rsidRPr="006A34FF">
        <w:rPr>
          <w:rFonts w:asciiTheme="majorBidi" w:hAnsiTheme="majorBidi" w:cstheme="majorBidi"/>
          <w:sz w:val="24"/>
          <w:szCs w:val="24"/>
        </w:rPr>
        <w:t>Flutine</w:t>
      </w:r>
      <w:proofErr w:type="spellEnd"/>
      <w:r w:rsidRPr="006A34FF">
        <w:rPr>
          <w:rFonts w:asciiTheme="majorBidi" w:hAnsiTheme="majorBidi" w:cstheme="majorBidi"/>
          <w:sz w:val="24"/>
          <w:szCs w:val="24"/>
        </w:rPr>
        <w:t xml:space="preserve">, </w:t>
      </w:r>
      <w:proofErr w:type="spellStart"/>
      <w:r w:rsidRPr="006A34FF">
        <w:rPr>
          <w:rFonts w:asciiTheme="majorBidi" w:hAnsiTheme="majorBidi" w:cstheme="majorBidi"/>
          <w:sz w:val="24"/>
          <w:szCs w:val="24"/>
        </w:rPr>
        <w:t>Prizma</w:t>
      </w:r>
      <w:proofErr w:type="spellEnd"/>
      <w:r w:rsidRPr="006A34FF">
        <w:rPr>
          <w:rFonts w:asciiTheme="majorBidi" w:hAnsiTheme="majorBidi" w:cstheme="majorBidi"/>
          <w:sz w:val="24"/>
          <w:szCs w:val="24"/>
        </w:rPr>
        <w:t>)</w:t>
      </w:r>
    </w:p>
    <w:p w14:paraId="441E21CE"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Strattera</w:t>
      </w:r>
    </w:p>
    <w:p w14:paraId="5303B599"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Risperdal (Risperidone)</w:t>
      </w:r>
    </w:p>
    <w:p w14:paraId="505A9FA6"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Adderall </w:t>
      </w:r>
    </w:p>
    <w:p w14:paraId="3FAB80D1"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Aripiprazole</w:t>
      </w:r>
    </w:p>
    <w:p w14:paraId="31799FC7"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proofErr w:type="spellStart"/>
      <w:r w:rsidRPr="006A34FF">
        <w:rPr>
          <w:rFonts w:asciiTheme="majorBidi" w:hAnsiTheme="majorBidi" w:cstheme="majorBidi"/>
          <w:sz w:val="24"/>
          <w:szCs w:val="24"/>
        </w:rPr>
        <w:t>Lisdexamfetamine</w:t>
      </w:r>
      <w:proofErr w:type="spellEnd"/>
      <w:r w:rsidRPr="006A34FF">
        <w:rPr>
          <w:rFonts w:asciiTheme="majorBidi" w:hAnsiTheme="majorBidi" w:cstheme="majorBidi"/>
          <w:sz w:val="24"/>
          <w:szCs w:val="24"/>
        </w:rPr>
        <w:t xml:space="preserve"> (Vyvanse)</w:t>
      </w:r>
    </w:p>
    <w:p w14:paraId="21F36492"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Methylphenidate (</w:t>
      </w:r>
      <w:r w:rsidRPr="006A34FF">
        <w:rPr>
          <w:rFonts w:asciiTheme="majorBidi" w:hAnsiTheme="majorBidi" w:cstheme="majorBidi" w:hint="cs"/>
          <w:sz w:val="24"/>
          <w:szCs w:val="24"/>
        </w:rPr>
        <w:t>Ritalin</w:t>
      </w:r>
      <w:r w:rsidRPr="006A34FF">
        <w:rPr>
          <w:rFonts w:asciiTheme="majorBidi" w:hAnsiTheme="majorBidi" w:cstheme="majorBidi"/>
          <w:sz w:val="24"/>
          <w:szCs w:val="24"/>
        </w:rPr>
        <w:t xml:space="preserve">) </w:t>
      </w:r>
    </w:p>
    <w:p w14:paraId="1165EF43"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Montelukast (</w:t>
      </w:r>
      <w:proofErr w:type="spellStart"/>
      <w:r w:rsidRPr="006A34FF">
        <w:rPr>
          <w:rFonts w:asciiTheme="majorBidi" w:hAnsiTheme="majorBidi" w:cstheme="majorBidi"/>
          <w:sz w:val="24"/>
          <w:szCs w:val="24"/>
        </w:rPr>
        <w:t>Singulair</w:t>
      </w:r>
      <w:proofErr w:type="spellEnd"/>
      <w:r w:rsidRPr="006A34FF">
        <w:rPr>
          <w:rFonts w:asciiTheme="majorBidi" w:hAnsiTheme="majorBidi" w:cstheme="majorBidi"/>
          <w:sz w:val="24"/>
          <w:szCs w:val="24"/>
        </w:rPr>
        <w:t>)</w:t>
      </w:r>
    </w:p>
    <w:p w14:paraId="0E9895FD"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proofErr w:type="spellStart"/>
      <w:r w:rsidRPr="006A34FF">
        <w:rPr>
          <w:rFonts w:asciiTheme="majorBidi" w:hAnsiTheme="majorBidi" w:cstheme="majorBidi"/>
          <w:sz w:val="24"/>
          <w:szCs w:val="24"/>
        </w:rPr>
        <w:t>Gerdon</w:t>
      </w:r>
      <w:proofErr w:type="spellEnd"/>
    </w:p>
    <w:p w14:paraId="0EBECAAD"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Genotropin</w:t>
      </w:r>
    </w:p>
    <w:p w14:paraId="4872186D" w14:textId="77777777" w:rsidR="00EE3D69" w:rsidRPr="006A34FF" w:rsidRDefault="00EE3D69" w:rsidP="00EE3D69">
      <w:pPr>
        <w:pStyle w:val="ListParagraph"/>
        <w:numPr>
          <w:ilvl w:val="0"/>
          <w:numId w:val="1"/>
        </w:numPr>
        <w:spacing w:line="480" w:lineRule="auto"/>
        <w:rPr>
          <w:rFonts w:asciiTheme="majorBidi" w:hAnsiTheme="majorBidi" w:cstheme="majorBidi"/>
          <w:sz w:val="24"/>
          <w:szCs w:val="24"/>
        </w:rPr>
      </w:pPr>
      <w:r w:rsidRPr="006A34FF">
        <w:rPr>
          <w:rFonts w:asciiTheme="majorBidi" w:hAnsiTheme="majorBidi" w:cstheme="majorBidi"/>
          <w:sz w:val="24"/>
          <w:szCs w:val="24"/>
        </w:rPr>
        <w:t>Escitalopram (</w:t>
      </w:r>
      <w:proofErr w:type="spellStart"/>
      <w:r w:rsidRPr="006A34FF">
        <w:rPr>
          <w:rFonts w:asciiTheme="majorBidi" w:hAnsiTheme="majorBidi" w:cstheme="majorBidi"/>
          <w:sz w:val="24"/>
          <w:szCs w:val="24"/>
        </w:rPr>
        <w:t>Cipralex</w:t>
      </w:r>
      <w:proofErr w:type="spellEnd"/>
      <w:r w:rsidRPr="006A34FF">
        <w:rPr>
          <w:rFonts w:asciiTheme="majorBidi" w:hAnsiTheme="majorBidi" w:cstheme="majorBidi"/>
          <w:sz w:val="24"/>
          <w:szCs w:val="24"/>
        </w:rPr>
        <w:t>)</w:t>
      </w:r>
    </w:p>
    <w:p w14:paraId="131C305D" w14:textId="1D63E1A0" w:rsidR="00770BF1" w:rsidRDefault="00770BF1"/>
    <w:p w14:paraId="7F1183FF" w14:textId="77777777" w:rsidR="005B43C5" w:rsidRDefault="005B43C5"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p>
    <w:p w14:paraId="053CEE8D" w14:textId="77777777" w:rsidR="005B43C5" w:rsidRDefault="005B43C5"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p>
    <w:p w14:paraId="5B2BDBD8" w14:textId="77777777" w:rsidR="00D27AF8" w:rsidRDefault="00D27AF8">
      <w:pPr>
        <w:spacing w:after="160" w:line="259" w:lineRule="auto"/>
        <w:rPr>
          <w:rFonts w:eastAsia="Arial Unicode MS" w:cs="Arial Unicode MS"/>
          <w:b/>
          <w:bCs/>
          <w:color w:val="000000"/>
          <w:u w:color="000000"/>
          <w:bdr w:val="nil"/>
        </w:rPr>
      </w:pPr>
      <w:r>
        <w:rPr>
          <w:rFonts w:eastAsia="Arial Unicode MS" w:cs="Arial Unicode MS"/>
          <w:b/>
          <w:bCs/>
          <w:color w:val="000000"/>
          <w:u w:color="000000"/>
          <w:bdr w:val="nil"/>
        </w:rPr>
        <w:br w:type="page"/>
      </w:r>
    </w:p>
    <w:p w14:paraId="32042404" w14:textId="77777777" w:rsidR="00D27AF8" w:rsidRDefault="00D27AF8" w:rsidP="00D27AF8">
      <w:pPr>
        <w:keepNext/>
        <w:spacing w:before="240" w:after="240" w:line="480" w:lineRule="auto"/>
      </w:pPr>
      <w:r>
        <w:rPr>
          <w:noProof/>
        </w:rPr>
        <w:lastRenderedPageBreak/>
        <w:drawing>
          <wp:inline distT="0" distB="0" distL="0" distR="0" wp14:anchorId="1BA513A8" wp14:editId="26EFD585">
            <wp:extent cx="5270500" cy="5070475"/>
            <wp:effectExtent l="0" t="0" r="635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0500" cy="5070475"/>
                    </a:xfrm>
                    <a:prstGeom prst="rect">
                      <a:avLst/>
                    </a:prstGeom>
                    <a:noFill/>
                    <a:ln>
                      <a:noFill/>
                    </a:ln>
                  </pic:spPr>
                </pic:pic>
              </a:graphicData>
            </a:graphic>
          </wp:inline>
        </w:drawing>
      </w:r>
    </w:p>
    <w:p w14:paraId="63E67861" w14:textId="3112BCAD" w:rsidR="00D27AF8" w:rsidRDefault="00D27AF8" w:rsidP="00D27AF8">
      <w:pPr>
        <w:pStyle w:val="Caption"/>
        <w:bidi w:val="0"/>
        <w:jc w:val="both"/>
      </w:pPr>
      <w:r>
        <w:t>Figure S1:</w:t>
      </w:r>
      <w:r w:rsidRPr="005C53E3">
        <w:rPr>
          <w:noProof/>
        </w:rPr>
        <w:t xml:space="preserve"> CONSORT flow diagram of the progress of the two groups </w:t>
      </w:r>
      <w:r w:rsidR="00C70C4D">
        <w:rPr>
          <w:noProof/>
        </w:rPr>
        <w:t xml:space="preserve">in the ASD OT study </w:t>
      </w:r>
      <w:r w:rsidRPr="005C53E3">
        <w:rPr>
          <w:noProof/>
        </w:rPr>
        <w:t>through the phases of the experiment (enrolment, intervention allocation, and data analysis).</w:t>
      </w:r>
    </w:p>
    <w:p w14:paraId="69243D65" w14:textId="6181220C" w:rsidR="00D27AF8" w:rsidRPr="00D27AF8" w:rsidRDefault="00D27AF8" w:rsidP="00D27AF8">
      <w:pPr>
        <w:pBdr>
          <w:top w:val="nil"/>
          <w:left w:val="nil"/>
          <w:bottom w:val="nil"/>
          <w:right w:val="nil"/>
          <w:between w:val="nil"/>
          <w:bar w:val="nil"/>
        </w:pBdr>
        <w:spacing w:before="240" w:line="480" w:lineRule="auto"/>
        <w:rPr>
          <w:rFonts w:eastAsia="Arial Unicode MS" w:cs="Arial Unicode MS"/>
          <w:b/>
          <w:bCs/>
          <w:color w:val="000000"/>
          <w:u w:color="000000"/>
          <w:bdr w:val="nil"/>
          <w:lang w:val="en-US"/>
        </w:rPr>
      </w:pPr>
    </w:p>
    <w:p w14:paraId="73355EC2" w14:textId="77777777" w:rsidR="00D27AF8" w:rsidRDefault="00D27AF8">
      <w:pPr>
        <w:spacing w:after="160" w:line="259" w:lineRule="auto"/>
        <w:rPr>
          <w:rFonts w:eastAsia="Arial Unicode MS" w:cs="Arial Unicode MS"/>
          <w:b/>
          <w:bCs/>
          <w:color w:val="000000"/>
          <w:u w:color="000000"/>
          <w:bdr w:val="nil"/>
        </w:rPr>
      </w:pPr>
      <w:r>
        <w:rPr>
          <w:rFonts w:eastAsia="Arial Unicode MS" w:cs="Arial Unicode MS"/>
          <w:b/>
          <w:bCs/>
          <w:color w:val="000000"/>
          <w:u w:color="000000"/>
          <w:bdr w:val="nil"/>
        </w:rPr>
        <w:br w:type="page"/>
      </w:r>
    </w:p>
    <w:p w14:paraId="18516BC2" w14:textId="306FDBA3" w:rsidR="001D463D" w:rsidRPr="00916BF4" w:rsidRDefault="001D463D"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r>
        <w:rPr>
          <w:rFonts w:eastAsia="Arial Unicode MS" w:cs="Arial Unicode MS"/>
          <w:b/>
          <w:bCs/>
          <w:color w:val="000000"/>
          <w:u w:color="000000"/>
          <w:bdr w:val="nil"/>
        </w:rPr>
        <w:lastRenderedPageBreak/>
        <w:t xml:space="preserve">Locating social-related ROIs in </w:t>
      </w:r>
      <w:r w:rsidR="000E40FA">
        <w:rPr>
          <w:rFonts w:eastAsia="Arial Unicode MS" w:cs="Arial Unicode MS"/>
          <w:b/>
          <w:bCs/>
          <w:color w:val="000000"/>
          <w:u w:color="000000"/>
          <w:bdr w:val="nil"/>
        </w:rPr>
        <w:t xml:space="preserve">individuals in the </w:t>
      </w:r>
      <w:r>
        <w:rPr>
          <w:rFonts w:eastAsia="Arial Unicode MS" w:cs="Arial Unicode MS"/>
          <w:b/>
          <w:bCs/>
          <w:color w:val="000000"/>
          <w:u w:color="000000"/>
          <w:bdr w:val="nil"/>
        </w:rPr>
        <w:t xml:space="preserve">TD </w:t>
      </w:r>
      <w:r w:rsidR="000E40FA">
        <w:rPr>
          <w:rFonts w:eastAsia="Arial Unicode MS" w:cs="Arial Unicode MS"/>
          <w:b/>
          <w:bCs/>
          <w:color w:val="000000"/>
          <w:u w:color="000000"/>
          <w:bdr w:val="nil"/>
        </w:rPr>
        <w:t>study</w:t>
      </w:r>
    </w:p>
    <w:p w14:paraId="069FB54A" w14:textId="1D25896A" w:rsidR="001D463D" w:rsidRDefault="001D463D" w:rsidP="001D463D">
      <w:pPr>
        <w:spacing w:before="240" w:after="240" w:line="480" w:lineRule="auto"/>
        <w:rPr>
          <w:rFonts w:eastAsia="Arial Unicode MS" w:cs="Arial Unicode MS"/>
          <w:color w:val="000000"/>
          <w:u w:color="000000"/>
          <w:bdr w:val="nil"/>
        </w:rPr>
      </w:pPr>
      <w:r>
        <w:t>We extended the whole-brain approach to LCMV analyses to determine which regions in the</w:t>
      </w:r>
      <w:r w:rsidR="000E40FA">
        <w:t xml:space="preserve"> TD study</w:t>
      </w:r>
      <w:r>
        <w:t xml:space="preserve"> group were typically activated in response to social and non-social stimuli in the MIE. We aimed to locate specific ROIs that we later assessed for effects of OT </w:t>
      </w:r>
      <w:r w:rsidR="000E40FA">
        <w:t xml:space="preserve">in the </w:t>
      </w:r>
      <w:r>
        <w:t>ASD</w:t>
      </w:r>
      <w:r w:rsidR="000E40FA">
        <w:t xml:space="preserve"> study</w:t>
      </w:r>
      <w:r>
        <w:t xml:space="preserve"> group. </w:t>
      </w:r>
      <w:r>
        <w:rPr>
          <w:rFonts w:eastAsia="Arial Unicode MS" w:cs="Arial Unicode MS"/>
          <w:color w:val="000000"/>
          <w:u w:color="000000"/>
          <w:bdr w:val="nil"/>
        </w:rPr>
        <w:t>W</w:t>
      </w:r>
      <w:r w:rsidRPr="00A00D7A">
        <w:rPr>
          <w:rFonts w:eastAsia="Arial Unicode MS" w:cs="Arial Unicode MS"/>
          <w:color w:val="000000"/>
          <w:u w:color="000000"/>
          <w:bdr w:val="nil"/>
        </w:rPr>
        <w:t xml:space="preserve">e contrasted the neural activations of social and non-social trials in the TD </w:t>
      </w:r>
      <w:r w:rsidR="00D236CC">
        <w:rPr>
          <w:rFonts w:eastAsia="Arial Unicode MS" w:cs="Arial Unicode MS"/>
          <w:color w:val="000000"/>
          <w:u w:color="000000"/>
          <w:bdr w:val="nil"/>
        </w:rPr>
        <w:t xml:space="preserve">study </w:t>
      </w:r>
      <w:r w:rsidRPr="00A00D7A">
        <w:rPr>
          <w:rFonts w:eastAsia="Arial Unicode MS" w:cs="Arial Unicode MS"/>
          <w:color w:val="000000"/>
          <w:u w:color="000000"/>
          <w:bdr w:val="nil"/>
        </w:rPr>
        <w:t>group using within-subject t-test analysis corrected for multiple comparisons</w:t>
      </w:r>
      <w:r>
        <w:rPr>
          <w:rFonts w:eastAsia="Arial Unicode MS" w:cs="Arial Unicode MS"/>
          <w:color w:val="000000"/>
          <w:u w:color="000000"/>
          <w:bdr w:val="nil"/>
        </w:rPr>
        <w:t xml:space="preserve"> to locate the specific neural regions with a greater response to social stimuli in TD adolescents</w:t>
      </w:r>
      <w:r w:rsidRPr="00A00D7A">
        <w:rPr>
          <w:rFonts w:eastAsia="Arial Unicode MS" w:cs="Arial Unicode MS"/>
          <w:color w:val="000000"/>
          <w:u w:color="000000"/>
          <w:bdr w:val="nil"/>
        </w:rPr>
        <w:t>.</w:t>
      </w:r>
    </w:p>
    <w:p w14:paraId="37FA9A1F" w14:textId="058B05B6" w:rsidR="001D463D" w:rsidRDefault="001D463D" w:rsidP="001D463D">
      <w:pPr>
        <w:spacing w:before="240" w:after="240" w:line="480" w:lineRule="auto"/>
      </w:pPr>
      <w:r>
        <w:t xml:space="preserve">Separate cluster-based permutation tests of each component in the TD </w:t>
      </w:r>
      <w:r w:rsidR="00D236CC">
        <w:t xml:space="preserve">study </w:t>
      </w:r>
      <w:r>
        <w:t>group revealed significant differences between conditions only in the M170 time window (140-</w:t>
      </w:r>
      <w:r>
        <w:rPr>
          <w:rFonts w:eastAsia="Calibri"/>
        </w:rPr>
        <w:t xml:space="preserve">180 </w:t>
      </w:r>
      <w:proofErr w:type="spellStart"/>
      <w:r>
        <w:rPr>
          <w:rFonts w:eastAsia="Calibri"/>
        </w:rPr>
        <w:t>ms</w:t>
      </w:r>
      <w:proofErr w:type="spellEnd"/>
      <w:r>
        <w:t xml:space="preserve">). Activation was observed in two separate clusters (left hemisphere, positive cluster: </w:t>
      </w:r>
      <w:r>
        <w:rPr>
          <w:i/>
          <w:iCs/>
        </w:rPr>
        <w:t xml:space="preserve">p </w:t>
      </w:r>
      <w:r>
        <w:t xml:space="preserve">= .012, corrected; </w:t>
      </w:r>
      <w:r>
        <w:rPr>
          <w:rFonts w:eastAsia="Calibri"/>
        </w:rPr>
        <w:t>right</w:t>
      </w:r>
      <w:r>
        <w:t xml:space="preserve"> hemisphere, positive cluster: </w:t>
      </w:r>
      <w:r>
        <w:rPr>
          <w:i/>
          <w:iCs/>
        </w:rPr>
        <w:t xml:space="preserve">p </w:t>
      </w:r>
      <w:r>
        <w:t>= .05, corrected) and mapped to occipital and temporal regions, including the occipital lobe, right and left fusiform gyrus, and calcarine sulcus (see figure S</w:t>
      </w:r>
      <w:r w:rsidR="00D27AF8">
        <w:t>2</w:t>
      </w:r>
      <w:r>
        <w:t xml:space="preserve"> and Table S1). No significant differences were observed in M100 (</w:t>
      </w:r>
      <w:r>
        <w:rPr>
          <w:i/>
          <w:iCs/>
        </w:rPr>
        <w:t xml:space="preserve">p </w:t>
      </w:r>
      <w:r>
        <w:t>= .36) or M250 (</w:t>
      </w:r>
      <w:r>
        <w:rPr>
          <w:i/>
          <w:iCs/>
        </w:rPr>
        <w:t xml:space="preserve">p </w:t>
      </w:r>
      <w:r>
        <w:t>= .52).</w:t>
      </w:r>
    </w:p>
    <w:p w14:paraId="23F7609E" w14:textId="77777777" w:rsidR="001D463D" w:rsidRPr="00916BF4" w:rsidRDefault="001D463D" w:rsidP="001D463D">
      <w:pPr>
        <w:spacing w:before="240" w:after="240" w:line="480" w:lineRule="auto"/>
      </w:pPr>
    </w:p>
    <w:p w14:paraId="64426091" w14:textId="77777777" w:rsidR="001D463D" w:rsidRDefault="001D463D" w:rsidP="001D463D">
      <w:pPr>
        <w:keepNext/>
        <w:pBdr>
          <w:top w:val="nil"/>
          <w:left w:val="nil"/>
          <w:bottom w:val="nil"/>
          <w:right w:val="nil"/>
          <w:between w:val="nil"/>
          <w:bar w:val="nil"/>
        </w:pBdr>
        <w:spacing w:before="240" w:line="480" w:lineRule="auto"/>
      </w:pPr>
      <w:r>
        <w:rPr>
          <w:noProof/>
          <w:lang w:bidi="ar-SA"/>
        </w:rPr>
        <w:lastRenderedPageBreak/>
        <w:drawing>
          <wp:inline distT="0" distB="0" distL="0" distR="0" wp14:anchorId="398B623A" wp14:editId="33441553">
            <wp:extent cx="5274310" cy="4017010"/>
            <wp:effectExtent l="0" t="0" r="2540" b="254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32283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274310" cy="4017010"/>
                    </a:xfrm>
                    <a:prstGeom prst="rect">
                      <a:avLst/>
                    </a:prstGeom>
                    <a:noFill/>
                    <a:ln>
                      <a:noFill/>
                    </a:ln>
                  </pic:spPr>
                </pic:pic>
              </a:graphicData>
            </a:graphic>
          </wp:inline>
        </w:drawing>
      </w:r>
    </w:p>
    <w:p w14:paraId="617F8C57" w14:textId="58DE7B44" w:rsidR="001D463D" w:rsidRDefault="001D463D" w:rsidP="001D463D">
      <w:pPr>
        <w:pStyle w:val="Caption"/>
        <w:bidi w:val="0"/>
        <w:rPr>
          <w:rFonts w:ascii="Arial" w:eastAsia="Arial Unicode MS" w:hAnsi="Arial" w:cs="Arial Unicode MS"/>
          <w:color w:val="000000"/>
          <w:u w:color="000000"/>
          <w:bdr w:val="nil"/>
        </w:rPr>
      </w:pPr>
      <w:r>
        <w:t>Figure S</w:t>
      </w:r>
      <w:r w:rsidR="00D27AF8">
        <w:t>2</w:t>
      </w:r>
      <w:r>
        <w:rPr>
          <w:noProof/>
        </w:rPr>
        <w:t>: Social-related ROIs in the TD</w:t>
      </w:r>
      <w:r w:rsidR="00D236CC">
        <w:rPr>
          <w:noProof/>
        </w:rPr>
        <w:t xml:space="preserve"> study</w:t>
      </w:r>
      <w:r>
        <w:rPr>
          <w:noProof/>
        </w:rPr>
        <w:t xml:space="preserve"> group.</w:t>
      </w:r>
    </w:p>
    <w:p w14:paraId="7537D47F" w14:textId="77777777" w:rsidR="001D463D" w:rsidRDefault="001D463D" w:rsidP="001D463D">
      <w:pPr>
        <w:pBdr>
          <w:top w:val="nil"/>
          <w:left w:val="nil"/>
          <w:bottom w:val="nil"/>
          <w:right w:val="nil"/>
          <w:between w:val="nil"/>
          <w:bar w:val="nil"/>
        </w:pBdr>
        <w:spacing w:before="240" w:line="480" w:lineRule="auto"/>
        <w:rPr>
          <w:rFonts w:eastAsia="Arial Unicode MS" w:cs="Arial Unicode MS"/>
          <w:color w:val="000000"/>
          <w:u w:color="000000"/>
          <w:bdr w:val="nil"/>
        </w:rPr>
      </w:pPr>
    </w:p>
    <w:p w14:paraId="79E005BE" w14:textId="151DFCF6" w:rsidR="001D463D" w:rsidRPr="006E1117" w:rsidRDefault="006E1117" w:rsidP="006E1117">
      <w:pPr>
        <w:pStyle w:val="Caption"/>
        <w:keepNext/>
        <w:bidi w:val="0"/>
      </w:pPr>
      <w:r w:rsidRPr="006E1117">
        <w:t xml:space="preserve">Table S1: </w:t>
      </w:r>
      <w:r>
        <w:t>Task relevant effects – social and non-social contrast in the TD</w:t>
      </w:r>
      <w:r w:rsidR="00D236CC">
        <w:t xml:space="preserve"> study</w:t>
      </w:r>
      <w:r>
        <w:t xml:space="preserve"> - size and location of the significant social related cluster. </w:t>
      </w:r>
    </w:p>
    <w:tbl>
      <w:tblPr>
        <w:tblW w:w="8790" w:type="dxa"/>
        <w:tblInd w:w="-5" w:type="dxa"/>
        <w:tblLook w:val="04A0" w:firstRow="1" w:lastRow="0" w:firstColumn="1" w:lastColumn="0" w:noHBand="0" w:noVBand="1"/>
      </w:tblPr>
      <w:tblGrid>
        <w:gridCol w:w="1182"/>
        <w:gridCol w:w="642"/>
        <w:gridCol w:w="570"/>
        <w:gridCol w:w="992"/>
        <w:gridCol w:w="3536"/>
        <w:gridCol w:w="1868"/>
      </w:tblGrid>
      <w:tr w:rsidR="001D463D" w:rsidRPr="009E76DA" w14:paraId="365FCD35" w14:textId="77777777" w:rsidTr="00B06E50">
        <w:trPr>
          <w:trHeight w:val="276"/>
        </w:trPr>
        <w:tc>
          <w:tcPr>
            <w:tcW w:w="1182" w:type="dxa"/>
            <w:vMerge w:val="restart"/>
            <w:tcBorders>
              <w:top w:val="single" w:sz="4" w:space="0" w:color="000000" w:themeColor="text1"/>
              <w:bottom w:val="single" w:sz="4" w:space="0" w:color="000000" w:themeColor="text1"/>
            </w:tcBorders>
            <w:shd w:val="clear" w:color="auto" w:fill="F2F2F2" w:themeFill="background1" w:themeFillShade="F2"/>
            <w:noWrap/>
            <w:hideMark/>
          </w:tcPr>
          <w:p w14:paraId="224942BC" w14:textId="77777777" w:rsidR="001D463D" w:rsidRPr="009E76DA" w:rsidRDefault="001D463D" w:rsidP="00B06E50">
            <w:pPr>
              <w:spacing w:line="240" w:lineRule="auto"/>
              <w:jc w:val="center"/>
              <w:rPr>
                <w:rFonts w:eastAsia="Times New Roman"/>
                <w:b/>
                <w:bCs/>
                <w:color w:val="000000"/>
                <w:sz w:val="18"/>
                <w:szCs w:val="18"/>
              </w:rPr>
            </w:pPr>
            <w:r w:rsidRPr="009E76DA">
              <w:rPr>
                <w:rFonts w:eastAsia="Times New Roman"/>
                <w:b/>
                <w:bCs/>
                <w:color w:val="000000"/>
                <w:sz w:val="18"/>
                <w:szCs w:val="18"/>
              </w:rPr>
              <w:t>Cluster Num.</w:t>
            </w:r>
          </w:p>
        </w:tc>
        <w:tc>
          <w:tcPr>
            <w:tcW w:w="2204" w:type="dxa"/>
            <w:gridSpan w:val="3"/>
            <w:tcBorders>
              <w:top w:val="single" w:sz="4" w:space="0" w:color="000000" w:themeColor="text1"/>
              <w:bottom w:val="single" w:sz="4" w:space="0" w:color="A6A6A6" w:themeColor="background1" w:themeShade="A6"/>
            </w:tcBorders>
            <w:shd w:val="clear" w:color="auto" w:fill="F2F2F2" w:themeFill="background1" w:themeFillShade="F2"/>
            <w:noWrap/>
            <w:hideMark/>
          </w:tcPr>
          <w:p w14:paraId="6F91F1BF" w14:textId="77777777" w:rsidR="001D463D" w:rsidRPr="009E76DA" w:rsidRDefault="001D463D" w:rsidP="00B06E50">
            <w:pPr>
              <w:spacing w:line="240" w:lineRule="auto"/>
              <w:jc w:val="center"/>
              <w:rPr>
                <w:rFonts w:eastAsia="Times New Roman"/>
                <w:b/>
                <w:bCs/>
                <w:color w:val="000000"/>
                <w:sz w:val="18"/>
                <w:szCs w:val="18"/>
              </w:rPr>
            </w:pPr>
            <w:r w:rsidRPr="009E76DA">
              <w:rPr>
                <w:rFonts w:eastAsia="Times New Roman"/>
                <w:b/>
                <w:bCs/>
                <w:color w:val="000000"/>
                <w:sz w:val="18"/>
                <w:szCs w:val="18"/>
              </w:rPr>
              <w:t>MNI coordinates (mm)</w:t>
            </w:r>
          </w:p>
        </w:tc>
        <w:tc>
          <w:tcPr>
            <w:tcW w:w="3536" w:type="dxa"/>
            <w:vMerge w:val="restart"/>
            <w:tcBorders>
              <w:top w:val="single" w:sz="4" w:space="0" w:color="000000" w:themeColor="text1"/>
              <w:bottom w:val="single" w:sz="4" w:space="0" w:color="000000" w:themeColor="text1"/>
            </w:tcBorders>
            <w:shd w:val="clear" w:color="auto" w:fill="F2F2F2" w:themeFill="background1" w:themeFillShade="F2"/>
            <w:noWrap/>
            <w:hideMark/>
          </w:tcPr>
          <w:p w14:paraId="4CF42938" w14:textId="77777777" w:rsidR="001D463D" w:rsidRDefault="001D463D" w:rsidP="00B06E50">
            <w:pPr>
              <w:spacing w:line="240" w:lineRule="auto"/>
              <w:jc w:val="center"/>
              <w:rPr>
                <w:rFonts w:eastAsia="Times New Roman"/>
                <w:b/>
                <w:bCs/>
                <w:color w:val="000000"/>
                <w:sz w:val="18"/>
                <w:szCs w:val="18"/>
              </w:rPr>
            </w:pPr>
            <w:r w:rsidRPr="009E76DA">
              <w:rPr>
                <w:rFonts w:eastAsia="Times New Roman"/>
                <w:b/>
                <w:bCs/>
                <w:color w:val="000000"/>
                <w:sz w:val="18"/>
                <w:szCs w:val="18"/>
              </w:rPr>
              <w:t>Anatomic region</w:t>
            </w:r>
          </w:p>
          <w:p w14:paraId="4DDE147F" w14:textId="77777777" w:rsidR="001D463D" w:rsidRPr="009E76DA" w:rsidRDefault="001D463D" w:rsidP="00B06E50">
            <w:pPr>
              <w:spacing w:line="240" w:lineRule="auto"/>
              <w:jc w:val="center"/>
              <w:rPr>
                <w:rFonts w:eastAsia="Times New Roman"/>
                <w:b/>
                <w:bCs/>
                <w:color w:val="000000"/>
                <w:sz w:val="18"/>
                <w:szCs w:val="18"/>
              </w:rPr>
            </w:pPr>
          </w:p>
        </w:tc>
        <w:tc>
          <w:tcPr>
            <w:tcW w:w="1868" w:type="dxa"/>
            <w:vMerge w:val="restart"/>
            <w:tcBorders>
              <w:top w:val="single" w:sz="4" w:space="0" w:color="000000" w:themeColor="text1"/>
              <w:bottom w:val="single" w:sz="4" w:space="0" w:color="000000" w:themeColor="text1"/>
            </w:tcBorders>
            <w:shd w:val="clear" w:color="auto" w:fill="F2F2F2" w:themeFill="background1" w:themeFillShade="F2"/>
            <w:noWrap/>
            <w:hideMark/>
          </w:tcPr>
          <w:p w14:paraId="5BC52D18" w14:textId="77777777" w:rsidR="001D463D" w:rsidRPr="009E76DA" w:rsidRDefault="001D463D" w:rsidP="00B06E50">
            <w:pPr>
              <w:spacing w:line="240" w:lineRule="auto"/>
              <w:jc w:val="center"/>
              <w:rPr>
                <w:rFonts w:eastAsia="Times New Roman"/>
                <w:b/>
                <w:bCs/>
                <w:color w:val="000000"/>
                <w:sz w:val="18"/>
                <w:szCs w:val="18"/>
              </w:rPr>
            </w:pPr>
            <w:r w:rsidRPr="009E76DA">
              <w:rPr>
                <w:rFonts w:eastAsia="Times New Roman"/>
                <w:b/>
                <w:bCs/>
                <w:color w:val="000000"/>
                <w:sz w:val="18"/>
                <w:szCs w:val="18"/>
              </w:rPr>
              <w:t xml:space="preserve">% </w:t>
            </w:r>
            <w:proofErr w:type="gramStart"/>
            <w:r w:rsidRPr="009E76DA">
              <w:rPr>
                <w:rFonts w:eastAsia="Times New Roman"/>
                <w:b/>
                <w:bCs/>
                <w:color w:val="000000"/>
                <w:sz w:val="18"/>
                <w:szCs w:val="18"/>
              </w:rPr>
              <w:t>of</w:t>
            </w:r>
            <w:proofErr w:type="gramEnd"/>
            <w:r w:rsidRPr="009E76DA">
              <w:rPr>
                <w:rFonts w:eastAsia="Times New Roman"/>
                <w:b/>
                <w:bCs/>
                <w:color w:val="000000"/>
                <w:sz w:val="18"/>
                <w:szCs w:val="18"/>
              </w:rPr>
              <w:t xml:space="preserve"> cluster</w:t>
            </w:r>
          </w:p>
        </w:tc>
      </w:tr>
      <w:tr w:rsidR="001D463D" w:rsidRPr="009E76DA" w14:paraId="032DA9A9" w14:textId="77777777" w:rsidTr="00B06E50">
        <w:trPr>
          <w:trHeight w:val="276"/>
        </w:trPr>
        <w:tc>
          <w:tcPr>
            <w:tcW w:w="1182" w:type="dxa"/>
            <w:vMerge/>
            <w:tcBorders>
              <w:top w:val="single" w:sz="4" w:space="0" w:color="000000" w:themeColor="text1"/>
              <w:bottom w:val="single" w:sz="4" w:space="0" w:color="000000" w:themeColor="text1"/>
            </w:tcBorders>
            <w:hideMark/>
          </w:tcPr>
          <w:p w14:paraId="14503BC7" w14:textId="77777777" w:rsidR="001D463D" w:rsidRPr="009E76DA" w:rsidRDefault="001D463D" w:rsidP="00B06E50">
            <w:pPr>
              <w:spacing w:line="240" w:lineRule="auto"/>
              <w:jc w:val="center"/>
              <w:rPr>
                <w:rFonts w:eastAsia="Times New Roman"/>
                <w:color w:val="000000"/>
                <w:sz w:val="18"/>
                <w:szCs w:val="18"/>
              </w:rPr>
            </w:pPr>
          </w:p>
        </w:tc>
        <w:tc>
          <w:tcPr>
            <w:tcW w:w="642" w:type="dxa"/>
            <w:tcBorders>
              <w:top w:val="single" w:sz="4" w:space="0" w:color="A6A6A6" w:themeColor="background1" w:themeShade="A6"/>
              <w:bottom w:val="single" w:sz="4" w:space="0" w:color="000000" w:themeColor="text1"/>
            </w:tcBorders>
            <w:shd w:val="clear" w:color="auto" w:fill="F2F2F2" w:themeFill="background1" w:themeFillShade="F2"/>
            <w:noWrap/>
            <w:hideMark/>
          </w:tcPr>
          <w:p w14:paraId="65120CB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x</w:t>
            </w:r>
          </w:p>
        </w:tc>
        <w:tc>
          <w:tcPr>
            <w:tcW w:w="570" w:type="dxa"/>
            <w:tcBorders>
              <w:top w:val="single" w:sz="4" w:space="0" w:color="A6A6A6" w:themeColor="background1" w:themeShade="A6"/>
              <w:bottom w:val="single" w:sz="4" w:space="0" w:color="000000" w:themeColor="text1"/>
            </w:tcBorders>
            <w:shd w:val="clear" w:color="auto" w:fill="F2F2F2" w:themeFill="background1" w:themeFillShade="F2"/>
            <w:noWrap/>
            <w:hideMark/>
          </w:tcPr>
          <w:p w14:paraId="007FD1D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y</w:t>
            </w:r>
          </w:p>
        </w:tc>
        <w:tc>
          <w:tcPr>
            <w:tcW w:w="992" w:type="dxa"/>
            <w:tcBorders>
              <w:top w:val="single" w:sz="4" w:space="0" w:color="A6A6A6" w:themeColor="background1" w:themeShade="A6"/>
              <w:bottom w:val="single" w:sz="4" w:space="0" w:color="000000" w:themeColor="text1"/>
            </w:tcBorders>
            <w:shd w:val="clear" w:color="auto" w:fill="F2F2F2" w:themeFill="background1" w:themeFillShade="F2"/>
            <w:noWrap/>
            <w:hideMark/>
          </w:tcPr>
          <w:p w14:paraId="42A2899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z</w:t>
            </w:r>
          </w:p>
        </w:tc>
        <w:tc>
          <w:tcPr>
            <w:tcW w:w="3536" w:type="dxa"/>
            <w:vMerge/>
            <w:tcBorders>
              <w:top w:val="single" w:sz="4" w:space="0" w:color="000000" w:themeColor="text1"/>
              <w:bottom w:val="single" w:sz="4" w:space="0" w:color="000000" w:themeColor="text1"/>
            </w:tcBorders>
            <w:shd w:val="clear" w:color="auto" w:fill="F2F2F2" w:themeFill="background1" w:themeFillShade="F2"/>
            <w:hideMark/>
          </w:tcPr>
          <w:p w14:paraId="70842C55" w14:textId="77777777" w:rsidR="001D463D" w:rsidRPr="009E76DA" w:rsidRDefault="001D463D" w:rsidP="00B06E50">
            <w:pPr>
              <w:spacing w:line="240" w:lineRule="auto"/>
              <w:jc w:val="center"/>
              <w:rPr>
                <w:rFonts w:eastAsia="Times New Roman"/>
                <w:color w:val="000000"/>
                <w:sz w:val="18"/>
                <w:szCs w:val="18"/>
              </w:rPr>
            </w:pPr>
          </w:p>
        </w:tc>
        <w:tc>
          <w:tcPr>
            <w:tcW w:w="1868" w:type="dxa"/>
            <w:vMerge/>
            <w:tcBorders>
              <w:top w:val="single" w:sz="4" w:space="0" w:color="000000" w:themeColor="text1"/>
              <w:bottom w:val="single" w:sz="4" w:space="0" w:color="000000" w:themeColor="text1"/>
            </w:tcBorders>
            <w:hideMark/>
          </w:tcPr>
          <w:p w14:paraId="19A5A813" w14:textId="77777777" w:rsidR="001D463D" w:rsidRPr="009E76DA" w:rsidRDefault="001D463D" w:rsidP="00B06E50">
            <w:pPr>
              <w:spacing w:line="240" w:lineRule="auto"/>
              <w:jc w:val="center"/>
              <w:rPr>
                <w:rFonts w:eastAsia="Times New Roman"/>
                <w:color w:val="000000"/>
                <w:sz w:val="18"/>
                <w:szCs w:val="18"/>
              </w:rPr>
            </w:pPr>
          </w:p>
        </w:tc>
      </w:tr>
      <w:tr w:rsidR="001D463D" w:rsidRPr="009E76DA" w14:paraId="509F241B" w14:textId="77777777" w:rsidTr="00B06E50">
        <w:trPr>
          <w:trHeight w:val="276"/>
        </w:trPr>
        <w:tc>
          <w:tcPr>
            <w:tcW w:w="1182" w:type="dxa"/>
            <w:vMerge w:val="restart"/>
            <w:tcBorders>
              <w:top w:val="single" w:sz="4" w:space="0" w:color="000000" w:themeColor="text1"/>
            </w:tcBorders>
            <w:shd w:val="clear" w:color="auto" w:fill="auto"/>
            <w:noWrap/>
            <w:hideMark/>
          </w:tcPr>
          <w:p w14:paraId="09D27A2F"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w:t>
            </w:r>
          </w:p>
        </w:tc>
        <w:tc>
          <w:tcPr>
            <w:tcW w:w="642" w:type="dxa"/>
            <w:tcBorders>
              <w:top w:val="single" w:sz="4" w:space="0" w:color="000000" w:themeColor="text1"/>
            </w:tcBorders>
            <w:shd w:val="clear" w:color="auto" w:fill="auto"/>
            <w:noWrap/>
            <w:hideMark/>
          </w:tcPr>
          <w:p w14:paraId="6AA622FB"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w:t>
            </w:r>
          </w:p>
        </w:tc>
        <w:tc>
          <w:tcPr>
            <w:tcW w:w="570" w:type="dxa"/>
            <w:tcBorders>
              <w:top w:val="single" w:sz="4" w:space="0" w:color="000000" w:themeColor="text1"/>
            </w:tcBorders>
            <w:shd w:val="clear" w:color="auto" w:fill="auto"/>
            <w:noWrap/>
            <w:hideMark/>
          </w:tcPr>
          <w:p w14:paraId="0298FA14"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-8</w:t>
            </w:r>
          </w:p>
        </w:tc>
        <w:tc>
          <w:tcPr>
            <w:tcW w:w="992" w:type="dxa"/>
            <w:tcBorders>
              <w:top w:val="single" w:sz="4" w:space="0" w:color="000000" w:themeColor="text1"/>
            </w:tcBorders>
            <w:shd w:val="clear" w:color="auto" w:fill="auto"/>
            <w:noWrap/>
            <w:hideMark/>
          </w:tcPr>
          <w:p w14:paraId="41BE81F8"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3.00</w:t>
            </w:r>
          </w:p>
        </w:tc>
        <w:tc>
          <w:tcPr>
            <w:tcW w:w="3536" w:type="dxa"/>
            <w:tcBorders>
              <w:top w:val="single" w:sz="4" w:space="0" w:color="000000" w:themeColor="text1"/>
            </w:tcBorders>
            <w:shd w:val="clear" w:color="auto" w:fill="auto"/>
            <w:noWrap/>
            <w:hideMark/>
          </w:tcPr>
          <w:p w14:paraId="448CE37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middle occipital gyrus</w:t>
            </w:r>
          </w:p>
        </w:tc>
        <w:tc>
          <w:tcPr>
            <w:tcW w:w="1868" w:type="dxa"/>
            <w:tcBorders>
              <w:top w:val="single" w:sz="4" w:space="0" w:color="000000" w:themeColor="text1"/>
            </w:tcBorders>
            <w:shd w:val="clear" w:color="auto" w:fill="auto"/>
            <w:noWrap/>
            <w:hideMark/>
          </w:tcPr>
          <w:p w14:paraId="6BFFD519"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30.95</w:t>
            </w:r>
          </w:p>
        </w:tc>
      </w:tr>
      <w:tr w:rsidR="001D463D" w:rsidRPr="009E76DA" w14:paraId="51BD4DC8" w14:textId="77777777" w:rsidTr="00B06E50">
        <w:trPr>
          <w:trHeight w:val="276"/>
        </w:trPr>
        <w:tc>
          <w:tcPr>
            <w:tcW w:w="1182" w:type="dxa"/>
            <w:vMerge/>
            <w:hideMark/>
          </w:tcPr>
          <w:p w14:paraId="0438FBC0"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191EA35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w:t>
            </w:r>
          </w:p>
        </w:tc>
        <w:tc>
          <w:tcPr>
            <w:tcW w:w="570" w:type="dxa"/>
            <w:shd w:val="clear" w:color="auto" w:fill="auto"/>
            <w:noWrap/>
            <w:hideMark/>
          </w:tcPr>
          <w:p w14:paraId="476DB32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-8</w:t>
            </w:r>
          </w:p>
        </w:tc>
        <w:tc>
          <w:tcPr>
            <w:tcW w:w="992" w:type="dxa"/>
            <w:shd w:val="clear" w:color="auto" w:fill="auto"/>
            <w:noWrap/>
            <w:hideMark/>
          </w:tcPr>
          <w:p w14:paraId="567E918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50A1778D"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inferior occipital gyrus</w:t>
            </w:r>
          </w:p>
        </w:tc>
        <w:tc>
          <w:tcPr>
            <w:tcW w:w="1868" w:type="dxa"/>
            <w:shd w:val="clear" w:color="auto" w:fill="auto"/>
            <w:noWrap/>
            <w:hideMark/>
          </w:tcPr>
          <w:p w14:paraId="5D744D1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16.67</w:t>
            </w:r>
          </w:p>
        </w:tc>
      </w:tr>
      <w:tr w:rsidR="001D463D" w:rsidRPr="009E76DA" w14:paraId="22FC4250" w14:textId="77777777" w:rsidTr="00B06E50">
        <w:trPr>
          <w:trHeight w:val="276"/>
        </w:trPr>
        <w:tc>
          <w:tcPr>
            <w:tcW w:w="1182" w:type="dxa"/>
            <w:vMerge/>
            <w:hideMark/>
          </w:tcPr>
          <w:p w14:paraId="665DCBDE"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3762F82A"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w:t>
            </w:r>
          </w:p>
        </w:tc>
        <w:tc>
          <w:tcPr>
            <w:tcW w:w="570" w:type="dxa"/>
            <w:shd w:val="clear" w:color="auto" w:fill="auto"/>
            <w:noWrap/>
            <w:hideMark/>
          </w:tcPr>
          <w:p w14:paraId="6AD7280A"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-9</w:t>
            </w:r>
          </w:p>
        </w:tc>
        <w:tc>
          <w:tcPr>
            <w:tcW w:w="992" w:type="dxa"/>
            <w:shd w:val="clear" w:color="auto" w:fill="auto"/>
            <w:noWrap/>
            <w:hideMark/>
          </w:tcPr>
          <w:p w14:paraId="5B27FE18"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284BBF4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Calcarine sulcus</w:t>
            </w:r>
          </w:p>
        </w:tc>
        <w:tc>
          <w:tcPr>
            <w:tcW w:w="1868" w:type="dxa"/>
            <w:shd w:val="clear" w:color="auto" w:fill="auto"/>
            <w:noWrap/>
            <w:hideMark/>
          </w:tcPr>
          <w:p w14:paraId="7CF6CBFA"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14.29</w:t>
            </w:r>
          </w:p>
        </w:tc>
      </w:tr>
      <w:tr w:rsidR="001D463D" w:rsidRPr="009E76DA" w14:paraId="176BFD72" w14:textId="77777777" w:rsidTr="00B06E50">
        <w:trPr>
          <w:trHeight w:val="276"/>
        </w:trPr>
        <w:tc>
          <w:tcPr>
            <w:tcW w:w="1182" w:type="dxa"/>
            <w:vMerge/>
            <w:hideMark/>
          </w:tcPr>
          <w:p w14:paraId="4288C0B8"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13561B87"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w:t>
            </w:r>
          </w:p>
        </w:tc>
        <w:tc>
          <w:tcPr>
            <w:tcW w:w="570" w:type="dxa"/>
            <w:shd w:val="clear" w:color="auto" w:fill="auto"/>
            <w:noWrap/>
            <w:hideMark/>
          </w:tcPr>
          <w:p w14:paraId="696AC4D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w:t>
            </w:r>
          </w:p>
        </w:tc>
        <w:tc>
          <w:tcPr>
            <w:tcW w:w="992" w:type="dxa"/>
            <w:shd w:val="clear" w:color="auto" w:fill="auto"/>
            <w:noWrap/>
            <w:hideMark/>
          </w:tcPr>
          <w:p w14:paraId="400F1C51"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1EBE149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fusiform</w:t>
            </w:r>
          </w:p>
        </w:tc>
        <w:tc>
          <w:tcPr>
            <w:tcW w:w="1868" w:type="dxa"/>
            <w:shd w:val="clear" w:color="auto" w:fill="auto"/>
            <w:noWrap/>
            <w:hideMark/>
          </w:tcPr>
          <w:p w14:paraId="7D288B11"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14.29</w:t>
            </w:r>
          </w:p>
        </w:tc>
      </w:tr>
      <w:tr w:rsidR="001D463D" w:rsidRPr="009E76DA" w14:paraId="488127D2" w14:textId="77777777" w:rsidTr="00B06E50">
        <w:trPr>
          <w:trHeight w:val="276"/>
        </w:trPr>
        <w:tc>
          <w:tcPr>
            <w:tcW w:w="1182" w:type="dxa"/>
            <w:vMerge/>
            <w:hideMark/>
          </w:tcPr>
          <w:p w14:paraId="24E6B20B"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4149093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570" w:type="dxa"/>
            <w:shd w:val="clear" w:color="auto" w:fill="auto"/>
            <w:noWrap/>
            <w:hideMark/>
          </w:tcPr>
          <w:p w14:paraId="29F460A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-8</w:t>
            </w:r>
          </w:p>
        </w:tc>
        <w:tc>
          <w:tcPr>
            <w:tcW w:w="992" w:type="dxa"/>
            <w:shd w:val="clear" w:color="auto" w:fill="auto"/>
            <w:noWrap/>
            <w:hideMark/>
          </w:tcPr>
          <w:p w14:paraId="1F2D757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2DFFF494"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lingual cortex</w:t>
            </w:r>
          </w:p>
        </w:tc>
        <w:tc>
          <w:tcPr>
            <w:tcW w:w="1868" w:type="dxa"/>
            <w:shd w:val="clear" w:color="auto" w:fill="auto"/>
            <w:noWrap/>
            <w:hideMark/>
          </w:tcPr>
          <w:p w14:paraId="4F569AE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7.14</w:t>
            </w:r>
          </w:p>
        </w:tc>
      </w:tr>
      <w:tr w:rsidR="001D463D" w:rsidRPr="009E76DA" w14:paraId="294E4BFE" w14:textId="77777777" w:rsidTr="00B06E50">
        <w:trPr>
          <w:trHeight w:val="276"/>
        </w:trPr>
        <w:tc>
          <w:tcPr>
            <w:tcW w:w="1182" w:type="dxa"/>
            <w:vMerge/>
            <w:hideMark/>
          </w:tcPr>
          <w:p w14:paraId="1DE17AF5"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6E36D068"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-5</w:t>
            </w:r>
          </w:p>
        </w:tc>
        <w:tc>
          <w:tcPr>
            <w:tcW w:w="570" w:type="dxa"/>
            <w:shd w:val="clear" w:color="auto" w:fill="auto"/>
            <w:noWrap/>
            <w:hideMark/>
          </w:tcPr>
          <w:p w14:paraId="47E629F4"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-6</w:t>
            </w:r>
          </w:p>
        </w:tc>
        <w:tc>
          <w:tcPr>
            <w:tcW w:w="992" w:type="dxa"/>
            <w:shd w:val="clear" w:color="auto" w:fill="auto"/>
            <w:noWrap/>
            <w:hideMark/>
          </w:tcPr>
          <w:p w14:paraId="63E45F5D"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-2.00</w:t>
            </w:r>
          </w:p>
        </w:tc>
        <w:tc>
          <w:tcPr>
            <w:tcW w:w="3536" w:type="dxa"/>
            <w:shd w:val="clear" w:color="auto" w:fill="auto"/>
            <w:noWrap/>
            <w:hideMark/>
          </w:tcPr>
          <w:p w14:paraId="4B2B57F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inferior temporal gyrus</w:t>
            </w:r>
          </w:p>
        </w:tc>
        <w:tc>
          <w:tcPr>
            <w:tcW w:w="1868" w:type="dxa"/>
            <w:shd w:val="clear" w:color="auto" w:fill="auto"/>
            <w:noWrap/>
            <w:hideMark/>
          </w:tcPr>
          <w:p w14:paraId="58D97444"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7.14</w:t>
            </w:r>
          </w:p>
        </w:tc>
      </w:tr>
      <w:tr w:rsidR="001D463D" w:rsidRPr="009E76DA" w14:paraId="21475A97" w14:textId="77777777" w:rsidTr="00B06E50">
        <w:trPr>
          <w:trHeight w:val="276"/>
        </w:trPr>
        <w:tc>
          <w:tcPr>
            <w:tcW w:w="1182" w:type="dxa"/>
            <w:vMerge/>
            <w:hideMark/>
          </w:tcPr>
          <w:p w14:paraId="3BC60958"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3761460B"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570" w:type="dxa"/>
            <w:shd w:val="clear" w:color="auto" w:fill="auto"/>
            <w:noWrap/>
            <w:hideMark/>
          </w:tcPr>
          <w:p w14:paraId="29C8DC01"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-9</w:t>
            </w:r>
          </w:p>
        </w:tc>
        <w:tc>
          <w:tcPr>
            <w:tcW w:w="992" w:type="dxa"/>
            <w:shd w:val="clear" w:color="auto" w:fill="auto"/>
            <w:noWrap/>
            <w:hideMark/>
          </w:tcPr>
          <w:p w14:paraId="19ACDB32"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2.00</w:t>
            </w:r>
          </w:p>
        </w:tc>
        <w:tc>
          <w:tcPr>
            <w:tcW w:w="3536" w:type="dxa"/>
            <w:shd w:val="clear" w:color="auto" w:fill="auto"/>
            <w:noWrap/>
            <w:hideMark/>
          </w:tcPr>
          <w:p w14:paraId="1761D5E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superior occipital gyrus</w:t>
            </w:r>
          </w:p>
        </w:tc>
        <w:tc>
          <w:tcPr>
            <w:tcW w:w="1868" w:type="dxa"/>
            <w:shd w:val="clear" w:color="auto" w:fill="auto"/>
            <w:noWrap/>
            <w:hideMark/>
          </w:tcPr>
          <w:p w14:paraId="1F58808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4.76</w:t>
            </w:r>
          </w:p>
        </w:tc>
      </w:tr>
      <w:tr w:rsidR="001D463D" w:rsidRPr="009E76DA" w14:paraId="311D9BC6" w14:textId="77777777" w:rsidTr="00B06E50">
        <w:trPr>
          <w:trHeight w:val="276"/>
        </w:trPr>
        <w:tc>
          <w:tcPr>
            <w:tcW w:w="1182" w:type="dxa"/>
            <w:vMerge/>
            <w:tcBorders>
              <w:bottom w:val="single" w:sz="4" w:space="0" w:color="000000" w:themeColor="text1"/>
            </w:tcBorders>
            <w:hideMark/>
          </w:tcPr>
          <w:p w14:paraId="496B1864" w14:textId="77777777" w:rsidR="001D463D" w:rsidRPr="009E76DA" w:rsidRDefault="001D463D" w:rsidP="00B06E50">
            <w:pPr>
              <w:spacing w:line="240" w:lineRule="auto"/>
              <w:jc w:val="center"/>
              <w:rPr>
                <w:rFonts w:eastAsia="Times New Roman"/>
                <w:color w:val="000000"/>
                <w:sz w:val="18"/>
                <w:szCs w:val="18"/>
              </w:rPr>
            </w:pPr>
          </w:p>
        </w:tc>
        <w:tc>
          <w:tcPr>
            <w:tcW w:w="642" w:type="dxa"/>
            <w:tcBorders>
              <w:bottom w:val="single" w:sz="4" w:space="0" w:color="000000" w:themeColor="text1"/>
            </w:tcBorders>
            <w:shd w:val="clear" w:color="auto" w:fill="auto"/>
            <w:noWrap/>
            <w:hideMark/>
          </w:tcPr>
          <w:p w14:paraId="2C937D62"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-5</w:t>
            </w:r>
          </w:p>
        </w:tc>
        <w:tc>
          <w:tcPr>
            <w:tcW w:w="570" w:type="dxa"/>
            <w:tcBorders>
              <w:bottom w:val="single" w:sz="4" w:space="0" w:color="000000" w:themeColor="text1"/>
            </w:tcBorders>
            <w:shd w:val="clear" w:color="auto" w:fill="auto"/>
            <w:noWrap/>
            <w:hideMark/>
          </w:tcPr>
          <w:p w14:paraId="313DF643"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w:t>
            </w:r>
          </w:p>
        </w:tc>
        <w:tc>
          <w:tcPr>
            <w:tcW w:w="992" w:type="dxa"/>
            <w:tcBorders>
              <w:bottom w:val="single" w:sz="4" w:space="0" w:color="000000" w:themeColor="text1"/>
            </w:tcBorders>
            <w:shd w:val="clear" w:color="auto" w:fill="auto"/>
            <w:noWrap/>
            <w:hideMark/>
          </w:tcPr>
          <w:p w14:paraId="311D4421"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0.00</w:t>
            </w:r>
          </w:p>
        </w:tc>
        <w:tc>
          <w:tcPr>
            <w:tcW w:w="3536" w:type="dxa"/>
            <w:tcBorders>
              <w:bottom w:val="single" w:sz="4" w:space="0" w:color="000000" w:themeColor="text1"/>
            </w:tcBorders>
            <w:shd w:val="clear" w:color="auto" w:fill="auto"/>
            <w:noWrap/>
            <w:hideMark/>
          </w:tcPr>
          <w:p w14:paraId="4ACB6D0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L middle temporal gyrus</w:t>
            </w:r>
          </w:p>
        </w:tc>
        <w:tc>
          <w:tcPr>
            <w:tcW w:w="1868" w:type="dxa"/>
            <w:tcBorders>
              <w:bottom w:val="single" w:sz="4" w:space="0" w:color="000000" w:themeColor="text1"/>
            </w:tcBorders>
            <w:shd w:val="clear" w:color="auto" w:fill="auto"/>
            <w:noWrap/>
            <w:hideMark/>
          </w:tcPr>
          <w:p w14:paraId="79223A2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4.76</w:t>
            </w:r>
          </w:p>
        </w:tc>
      </w:tr>
      <w:tr w:rsidR="001D463D" w:rsidRPr="009E76DA" w14:paraId="6625A42C" w14:textId="77777777" w:rsidTr="00B06E50">
        <w:trPr>
          <w:trHeight w:val="276"/>
        </w:trPr>
        <w:tc>
          <w:tcPr>
            <w:tcW w:w="1182" w:type="dxa"/>
            <w:vMerge w:val="restart"/>
            <w:tcBorders>
              <w:top w:val="single" w:sz="4" w:space="0" w:color="000000" w:themeColor="text1"/>
              <w:bottom w:val="single" w:sz="4" w:space="0" w:color="000000" w:themeColor="text1"/>
            </w:tcBorders>
            <w:shd w:val="clear" w:color="auto" w:fill="auto"/>
            <w:noWrap/>
            <w:hideMark/>
          </w:tcPr>
          <w:p w14:paraId="57EDB7FF"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642" w:type="dxa"/>
            <w:tcBorders>
              <w:top w:val="single" w:sz="4" w:space="0" w:color="000000" w:themeColor="text1"/>
            </w:tcBorders>
            <w:shd w:val="clear" w:color="auto" w:fill="auto"/>
            <w:noWrap/>
            <w:hideMark/>
          </w:tcPr>
          <w:p w14:paraId="55B88CE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w:t>
            </w:r>
          </w:p>
        </w:tc>
        <w:tc>
          <w:tcPr>
            <w:tcW w:w="570" w:type="dxa"/>
            <w:tcBorders>
              <w:top w:val="single" w:sz="4" w:space="0" w:color="000000" w:themeColor="text1"/>
            </w:tcBorders>
            <w:shd w:val="clear" w:color="auto" w:fill="auto"/>
            <w:noWrap/>
            <w:hideMark/>
          </w:tcPr>
          <w:p w14:paraId="24023689"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-6</w:t>
            </w:r>
          </w:p>
        </w:tc>
        <w:tc>
          <w:tcPr>
            <w:tcW w:w="992" w:type="dxa"/>
            <w:tcBorders>
              <w:top w:val="single" w:sz="4" w:space="0" w:color="000000" w:themeColor="text1"/>
            </w:tcBorders>
            <w:shd w:val="clear" w:color="auto" w:fill="auto"/>
            <w:noWrap/>
            <w:hideMark/>
          </w:tcPr>
          <w:p w14:paraId="03F2FD97"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tcBorders>
              <w:top w:val="single" w:sz="4" w:space="0" w:color="000000" w:themeColor="text1"/>
            </w:tcBorders>
            <w:shd w:val="clear" w:color="auto" w:fill="auto"/>
            <w:noWrap/>
            <w:hideMark/>
          </w:tcPr>
          <w:p w14:paraId="1BF738D7"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Calcarine sulcus</w:t>
            </w:r>
          </w:p>
        </w:tc>
        <w:tc>
          <w:tcPr>
            <w:tcW w:w="1868" w:type="dxa"/>
            <w:tcBorders>
              <w:top w:val="single" w:sz="4" w:space="0" w:color="000000" w:themeColor="text1"/>
            </w:tcBorders>
            <w:shd w:val="clear" w:color="auto" w:fill="auto"/>
            <w:noWrap/>
            <w:hideMark/>
          </w:tcPr>
          <w:p w14:paraId="764C3F4F"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11.76</w:t>
            </w:r>
          </w:p>
        </w:tc>
      </w:tr>
      <w:tr w:rsidR="001D463D" w:rsidRPr="009E76DA" w14:paraId="453992CF" w14:textId="77777777" w:rsidTr="00B06E50">
        <w:trPr>
          <w:trHeight w:val="276"/>
        </w:trPr>
        <w:tc>
          <w:tcPr>
            <w:tcW w:w="1182" w:type="dxa"/>
            <w:vMerge/>
            <w:tcBorders>
              <w:bottom w:val="single" w:sz="4" w:space="0" w:color="000000" w:themeColor="text1"/>
            </w:tcBorders>
            <w:hideMark/>
          </w:tcPr>
          <w:p w14:paraId="4D180A2B"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2E4AF9D3"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570" w:type="dxa"/>
            <w:shd w:val="clear" w:color="auto" w:fill="auto"/>
            <w:noWrap/>
            <w:hideMark/>
          </w:tcPr>
          <w:p w14:paraId="0D5EE434"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-9</w:t>
            </w:r>
          </w:p>
        </w:tc>
        <w:tc>
          <w:tcPr>
            <w:tcW w:w="992" w:type="dxa"/>
            <w:shd w:val="clear" w:color="auto" w:fill="auto"/>
            <w:noWrap/>
            <w:hideMark/>
          </w:tcPr>
          <w:p w14:paraId="0C655C7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2799C05D"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cuneus</w:t>
            </w:r>
          </w:p>
        </w:tc>
        <w:tc>
          <w:tcPr>
            <w:tcW w:w="1868" w:type="dxa"/>
            <w:shd w:val="clear" w:color="auto" w:fill="auto"/>
            <w:noWrap/>
            <w:hideMark/>
          </w:tcPr>
          <w:p w14:paraId="507575EB"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8.82</w:t>
            </w:r>
          </w:p>
        </w:tc>
      </w:tr>
      <w:tr w:rsidR="001D463D" w:rsidRPr="009E76DA" w14:paraId="654AFCF6" w14:textId="77777777" w:rsidTr="00B06E50">
        <w:trPr>
          <w:trHeight w:val="276"/>
        </w:trPr>
        <w:tc>
          <w:tcPr>
            <w:tcW w:w="1182" w:type="dxa"/>
            <w:vMerge/>
            <w:tcBorders>
              <w:bottom w:val="single" w:sz="4" w:space="0" w:color="000000" w:themeColor="text1"/>
            </w:tcBorders>
            <w:hideMark/>
          </w:tcPr>
          <w:p w14:paraId="4CC1F241"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4777866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570" w:type="dxa"/>
            <w:shd w:val="clear" w:color="auto" w:fill="auto"/>
            <w:noWrap/>
            <w:hideMark/>
          </w:tcPr>
          <w:p w14:paraId="4F6BC847"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w:t>
            </w:r>
          </w:p>
        </w:tc>
        <w:tc>
          <w:tcPr>
            <w:tcW w:w="992" w:type="dxa"/>
            <w:shd w:val="clear" w:color="auto" w:fill="auto"/>
            <w:noWrap/>
            <w:hideMark/>
          </w:tcPr>
          <w:p w14:paraId="74EF21B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2.00</w:t>
            </w:r>
          </w:p>
        </w:tc>
        <w:tc>
          <w:tcPr>
            <w:tcW w:w="3536" w:type="dxa"/>
            <w:shd w:val="clear" w:color="auto" w:fill="auto"/>
            <w:noWrap/>
            <w:hideMark/>
          </w:tcPr>
          <w:p w14:paraId="14EE104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superior occipital gyrus</w:t>
            </w:r>
          </w:p>
        </w:tc>
        <w:tc>
          <w:tcPr>
            <w:tcW w:w="1868" w:type="dxa"/>
            <w:shd w:val="clear" w:color="auto" w:fill="auto"/>
            <w:noWrap/>
            <w:hideMark/>
          </w:tcPr>
          <w:p w14:paraId="0BF230E8"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8.82</w:t>
            </w:r>
          </w:p>
        </w:tc>
      </w:tr>
      <w:tr w:rsidR="001D463D" w:rsidRPr="009E76DA" w14:paraId="33EE378F" w14:textId="77777777" w:rsidTr="00B06E50">
        <w:trPr>
          <w:trHeight w:val="276"/>
        </w:trPr>
        <w:tc>
          <w:tcPr>
            <w:tcW w:w="1182" w:type="dxa"/>
            <w:vMerge/>
            <w:tcBorders>
              <w:bottom w:val="single" w:sz="4" w:space="0" w:color="000000" w:themeColor="text1"/>
            </w:tcBorders>
            <w:hideMark/>
          </w:tcPr>
          <w:p w14:paraId="08D74A8E"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4653CD4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4</w:t>
            </w:r>
          </w:p>
        </w:tc>
        <w:tc>
          <w:tcPr>
            <w:tcW w:w="570" w:type="dxa"/>
            <w:shd w:val="clear" w:color="auto" w:fill="auto"/>
            <w:noWrap/>
            <w:hideMark/>
          </w:tcPr>
          <w:p w14:paraId="17F5FBC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-8</w:t>
            </w:r>
          </w:p>
        </w:tc>
        <w:tc>
          <w:tcPr>
            <w:tcW w:w="992" w:type="dxa"/>
            <w:shd w:val="clear" w:color="auto" w:fill="auto"/>
            <w:noWrap/>
            <w:hideMark/>
          </w:tcPr>
          <w:p w14:paraId="52C8A781"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2.00</w:t>
            </w:r>
          </w:p>
        </w:tc>
        <w:tc>
          <w:tcPr>
            <w:tcW w:w="3536" w:type="dxa"/>
            <w:shd w:val="clear" w:color="auto" w:fill="auto"/>
            <w:noWrap/>
            <w:hideMark/>
          </w:tcPr>
          <w:p w14:paraId="76CEF22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middle occipital gyrus</w:t>
            </w:r>
          </w:p>
        </w:tc>
        <w:tc>
          <w:tcPr>
            <w:tcW w:w="1868" w:type="dxa"/>
            <w:shd w:val="clear" w:color="auto" w:fill="auto"/>
            <w:noWrap/>
            <w:hideMark/>
          </w:tcPr>
          <w:p w14:paraId="7C2BB5E6"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29.41</w:t>
            </w:r>
          </w:p>
        </w:tc>
      </w:tr>
      <w:tr w:rsidR="001D463D" w:rsidRPr="009E76DA" w14:paraId="5D18A4B4" w14:textId="77777777" w:rsidTr="00B06E50">
        <w:trPr>
          <w:trHeight w:val="276"/>
        </w:trPr>
        <w:tc>
          <w:tcPr>
            <w:tcW w:w="1182" w:type="dxa"/>
            <w:vMerge/>
            <w:tcBorders>
              <w:bottom w:val="single" w:sz="4" w:space="0" w:color="000000" w:themeColor="text1"/>
            </w:tcBorders>
            <w:hideMark/>
          </w:tcPr>
          <w:p w14:paraId="54D63E4B"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3A2098D1"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4</w:t>
            </w:r>
          </w:p>
        </w:tc>
        <w:tc>
          <w:tcPr>
            <w:tcW w:w="570" w:type="dxa"/>
            <w:shd w:val="clear" w:color="auto" w:fill="auto"/>
            <w:noWrap/>
            <w:hideMark/>
          </w:tcPr>
          <w:p w14:paraId="0F934E0A"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w:t>
            </w:r>
          </w:p>
        </w:tc>
        <w:tc>
          <w:tcPr>
            <w:tcW w:w="992" w:type="dxa"/>
            <w:shd w:val="clear" w:color="auto" w:fill="auto"/>
            <w:noWrap/>
            <w:hideMark/>
          </w:tcPr>
          <w:p w14:paraId="21258D62"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38ADA179"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inferior occipital gyrus</w:t>
            </w:r>
          </w:p>
        </w:tc>
        <w:tc>
          <w:tcPr>
            <w:tcW w:w="1868" w:type="dxa"/>
            <w:shd w:val="clear" w:color="auto" w:fill="auto"/>
            <w:noWrap/>
            <w:hideMark/>
          </w:tcPr>
          <w:p w14:paraId="7818739F"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2.94</w:t>
            </w:r>
          </w:p>
        </w:tc>
      </w:tr>
      <w:tr w:rsidR="001D463D" w:rsidRPr="009E76DA" w14:paraId="38548CC6" w14:textId="77777777" w:rsidTr="00B06E50">
        <w:trPr>
          <w:trHeight w:val="276"/>
        </w:trPr>
        <w:tc>
          <w:tcPr>
            <w:tcW w:w="1182" w:type="dxa"/>
            <w:vMerge/>
            <w:tcBorders>
              <w:bottom w:val="single" w:sz="4" w:space="0" w:color="000000" w:themeColor="text1"/>
            </w:tcBorders>
            <w:hideMark/>
          </w:tcPr>
          <w:p w14:paraId="157376AB"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099C3978"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w:t>
            </w:r>
          </w:p>
        </w:tc>
        <w:tc>
          <w:tcPr>
            <w:tcW w:w="570" w:type="dxa"/>
            <w:shd w:val="clear" w:color="auto" w:fill="auto"/>
            <w:noWrap/>
            <w:hideMark/>
          </w:tcPr>
          <w:p w14:paraId="49555EAD"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w:t>
            </w:r>
          </w:p>
        </w:tc>
        <w:tc>
          <w:tcPr>
            <w:tcW w:w="992" w:type="dxa"/>
            <w:shd w:val="clear" w:color="auto" w:fill="auto"/>
            <w:noWrap/>
            <w:hideMark/>
          </w:tcPr>
          <w:p w14:paraId="6B1DE18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-1.00</w:t>
            </w:r>
          </w:p>
        </w:tc>
        <w:tc>
          <w:tcPr>
            <w:tcW w:w="3536" w:type="dxa"/>
            <w:shd w:val="clear" w:color="auto" w:fill="auto"/>
            <w:noWrap/>
            <w:hideMark/>
          </w:tcPr>
          <w:p w14:paraId="7461A0E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fusiform</w:t>
            </w:r>
          </w:p>
        </w:tc>
        <w:tc>
          <w:tcPr>
            <w:tcW w:w="1868" w:type="dxa"/>
            <w:shd w:val="clear" w:color="auto" w:fill="auto"/>
            <w:noWrap/>
            <w:hideMark/>
          </w:tcPr>
          <w:p w14:paraId="6065B16D"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11.76</w:t>
            </w:r>
          </w:p>
        </w:tc>
      </w:tr>
      <w:tr w:rsidR="001D463D" w:rsidRPr="009E76DA" w14:paraId="1E9E33D5" w14:textId="77777777" w:rsidTr="00B06E50">
        <w:trPr>
          <w:trHeight w:val="276"/>
        </w:trPr>
        <w:tc>
          <w:tcPr>
            <w:tcW w:w="1182" w:type="dxa"/>
            <w:vMerge/>
            <w:tcBorders>
              <w:bottom w:val="single" w:sz="4" w:space="0" w:color="000000" w:themeColor="text1"/>
            </w:tcBorders>
            <w:hideMark/>
          </w:tcPr>
          <w:p w14:paraId="1EA94A2B"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5F8F1CF9"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5</w:t>
            </w:r>
          </w:p>
        </w:tc>
        <w:tc>
          <w:tcPr>
            <w:tcW w:w="570" w:type="dxa"/>
            <w:shd w:val="clear" w:color="auto" w:fill="auto"/>
            <w:noWrap/>
            <w:hideMark/>
          </w:tcPr>
          <w:p w14:paraId="105775F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w:t>
            </w:r>
          </w:p>
        </w:tc>
        <w:tc>
          <w:tcPr>
            <w:tcW w:w="992" w:type="dxa"/>
            <w:shd w:val="clear" w:color="auto" w:fill="auto"/>
            <w:noWrap/>
            <w:hideMark/>
          </w:tcPr>
          <w:p w14:paraId="06565C9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3.00</w:t>
            </w:r>
          </w:p>
        </w:tc>
        <w:tc>
          <w:tcPr>
            <w:tcW w:w="3536" w:type="dxa"/>
            <w:shd w:val="clear" w:color="auto" w:fill="auto"/>
            <w:noWrap/>
            <w:hideMark/>
          </w:tcPr>
          <w:p w14:paraId="3A2A624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angular gyrus</w:t>
            </w:r>
          </w:p>
        </w:tc>
        <w:tc>
          <w:tcPr>
            <w:tcW w:w="1868" w:type="dxa"/>
            <w:shd w:val="clear" w:color="auto" w:fill="auto"/>
            <w:noWrap/>
            <w:hideMark/>
          </w:tcPr>
          <w:p w14:paraId="0709D0D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11.76</w:t>
            </w:r>
          </w:p>
        </w:tc>
      </w:tr>
      <w:tr w:rsidR="001D463D" w:rsidRPr="009E76DA" w14:paraId="0EA307A3" w14:textId="77777777" w:rsidTr="00B06E50">
        <w:trPr>
          <w:trHeight w:val="276"/>
        </w:trPr>
        <w:tc>
          <w:tcPr>
            <w:tcW w:w="1182" w:type="dxa"/>
            <w:vMerge/>
            <w:tcBorders>
              <w:bottom w:val="single" w:sz="4" w:space="0" w:color="000000" w:themeColor="text1"/>
            </w:tcBorders>
            <w:hideMark/>
          </w:tcPr>
          <w:p w14:paraId="363736CA" w14:textId="77777777" w:rsidR="001D463D" w:rsidRPr="009E76DA" w:rsidRDefault="001D463D" w:rsidP="00B06E50">
            <w:pPr>
              <w:spacing w:line="240" w:lineRule="auto"/>
              <w:jc w:val="center"/>
              <w:rPr>
                <w:rFonts w:eastAsia="Times New Roman"/>
                <w:color w:val="000000"/>
                <w:sz w:val="18"/>
                <w:szCs w:val="18"/>
              </w:rPr>
            </w:pPr>
          </w:p>
        </w:tc>
        <w:tc>
          <w:tcPr>
            <w:tcW w:w="642" w:type="dxa"/>
            <w:shd w:val="clear" w:color="auto" w:fill="auto"/>
            <w:noWrap/>
            <w:hideMark/>
          </w:tcPr>
          <w:p w14:paraId="7F3DB70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570" w:type="dxa"/>
            <w:shd w:val="clear" w:color="auto" w:fill="auto"/>
            <w:noWrap/>
            <w:hideMark/>
          </w:tcPr>
          <w:p w14:paraId="7DA2701C"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-5</w:t>
            </w:r>
          </w:p>
        </w:tc>
        <w:tc>
          <w:tcPr>
            <w:tcW w:w="992" w:type="dxa"/>
            <w:shd w:val="clear" w:color="auto" w:fill="auto"/>
            <w:noWrap/>
            <w:hideMark/>
          </w:tcPr>
          <w:p w14:paraId="5BB3DEC7"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2.00</w:t>
            </w:r>
          </w:p>
        </w:tc>
        <w:tc>
          <w:tcPr>
            <w:tcW w:w="3536" w:type="dxa"/>
            <w:shd w:val="clear" w:color="auto" w:fill="auto"/>
            <w:noWrap/>
            <w:hideMark/>
          </w:tcPr>
          <w:p w14:paraId="1E7654D5"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precuneus</w:t>
            </w:r>
          </w:p>
        </w:tc>
        <w:tc>
          <w:tcPr>
            <w:tcW w:w="1868" w:type="dxa"/>
            <w:shd w:val="clear" w:color="auto" w:fill="auto"/>
            <w:noWrap/>
            <w:hideMark/>
          </w:tcPr>
          <w:p w14:paraId="3CA12F5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2.94</w:t>
            </w:r>
          </w:p>
        </w:tc>
      </w:tr>
      <w:tr w:rsidR="001D463D" w:rsidRPr="009E76DA" w14:paraId="0C876078" w14:textId="77777777" w:rsidTr="00B06E50">
        <w:trPr>
          <w:trHeight w:val="276"/>
        </w:trPr>
        <w:tc>
          <w:tcPr>
            <w:tcW w:w="1182" w:type="dxa"/>
            <w:vMerge/>
            <w:tcBorders>
              <w:bottom w:val="single" w:sz="4" w:space="0" w:color="000000" w:themeColor="text1"/>
            </w:tcBorders>
            <w:hideMark/>
          </w:tcPr>
          <w:p w14:paraId="1F68AD91" w14:textId="77777777" w:rsidR="001D463D" w:rsidRPr="009E76DA" w:rsidRDefault="001D463D" w:rsidP="00B06E50">
            <w:pPr>
              <w:spacing w:line="240" w:lineRule="auto"/>
              <w:jc w:val="center"/>
              <w:rPr>
                <w:rFonts w:eastAsia="Times New Roman"/>
                <w:color w:val="000000"/>
                <w:sz w:val="18"/>
                <w:szCs w:val="18"/>
              </w:rPr>
            </w:pPr>
          </w:p>
        </w:tc>
        <w:tc>
          <w:tcPr>
            <w:tcW w:w="642" w:type="dxa"/>
            <w:tcBorders>
              <w:bottom w:val="single" w:sz="4" w:space="0" w:color="000000" w:themeColor="text1"/>
            </w:tcBorders>
            <w:shd w:val="clear" w:color="auto" w:fill="auto"/>
            <w:noWrap/>
            <w:hideMark/>
          </w:tcPr>
          <w:p w14:paraId="0DD753B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4</w:t>
            </w:r>
          </w:p>
        </w:tc>
        <w:tc>
          <w:tcPr>
            <w:tcW w:w="570" w:type="dxa"/>
            <w:tcBorders>
              <w:bottom w:val="single" w:sz="4" w:space="0" w:color="000000" w:themeColor="text1"/>
            </w:tcBorders>
            <w:shd w:val="clear" w:color="auto" w:fill="auto"/>
            <w:noWrap/>
            <w:hideMark/>
          </w:tcPr>
          <w:p w14:paraId="18B45F1E"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-7</w:t>
            </w:r>
          </w:p>
        </w:tc>
        <w:tc>
          <w:tcPr>
            <w:tcW w:w="992" w:type="dxa"/>
            <w:tcBorders>
              <w:bottom w:val="single" w:sz="4" w:space="0" w:color="000000" w:themeColor="text1"/>
            </w:tcBorders>
            <w:shd w:val="clear" w:color="auto" w:fill="auto"/>
            <w:noWrap/>
            <w:hideMark/>
          </w:tcPr>
          <w:p w14:paraId="5AB1B320"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2</w:t>
            </w:r>
          </w:p>
        </w:tc>
        <w:tc>
          <w:tcPr>
            <w:tcW w:w="3536" w:type="dxa"/>
            <w:tcBorders>
              <w:bottom w:val="single" w:sz="4" w:space="0" w:color="000000" w:themeColor="text1"/>
            </w:tcBorders>
            <w:shd w:val="clear" w:color="auto" w:fill="auto"/>
            <w:noWrap/>
            <w:hideMark/>
          </w:tcPr>
          <w:p w14:paraId="6E31B96D"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R middle temporal gyrus</w:t>
            </w:r>
          </w:p>
        </w:tc>
        <w:tc>
          <w:tcPr>
            <w:tcW w:w="1868" w:type="dxa"/>
            <w:tcBorders>
              <w:bottom w:val="single" w:sz="4" w:space="0" w:color="000000" w:themeColor="text1"/>
            </w:tcBorders>
            <w:shd w:val="clear" w:color="auto" w:fill="auto"/>
            <w:noWrap/>
            <w:hideMark/>
          </w:tcPr>
          <w:p w14:paraId="04A36C88" w14:textId="77777777" w:rsidR="001D463D" w:rsidRPr="009E76DA" w:rsidRDefault="001D463D" w:rsidP="00B06E50">
            <w:pPr>
              <w:spacing w:line="240" w:lineRule="auto"/>
              <w:jc w:val="center"/>
              <w:rPr>
                <w:rFonts w:eastAsia="Times New Roman"/>
                <w:color w:val="000000"/>
                <w:sz w:val="18"/>
                <w:szCs w:val="18"/>
              </w:rPr>
            </w:pPr>
            <w:r w:rsidRPr="009E76DA">
              <w:rPr>
                <w:rFonts w:eastAsia="Times New Roman"/>
                <w:color w:val="000000"/>
                <w:sz w:val="18"/>
                <w:szCs w:val="18"/>
              </w:rPr>
              <w:t>11.76</w:t>
            </w:r>
          </w:p>
        </w:tc>
      </w:tr>
    </w:tbl>
    <w:p w14:paraId="3C498A31" w14:textId="7BB7F3F7" w:rsidR="001D463D" w:rsidRDefault="001D463D" w:rsidP="001D463D">
      <w:pPr>
        <w:pBdr>
          <w:top w:val="nil"/>
          <w:left w:val="nil"/>
          <w:bottom w:val="nil"/>
          <w:right w:val="nil"/>
          <w:between w:val="nil"/>
          <w:bar w:val="nil"/>
        </w:pBdr>
        <w:spacing w:before="240" w:line="480" w:lineRule="auto"/>
      </w:pPr>
      <w:r>
        <w:rPr>
          <w:rFonts w:eastAsia="Arial Unicode MS" w:cs="Arial Unicode MS"/>
          <w:color w:val="000000"/>
          <w:u w:color="000000"/>
          <w:bdr w:val="nil"/>
        </w:rPr>
        <w:lastRenderedPageBreak/>
        <w:t>Next, we examined the differences in the neural responses of these ROIs between TD adolescents and</w:t>
      </w:r>
      <w:r w:rsidR="00D236CC">
        <w:rPr>
          <w:rFonts w:eastAsia="Arial Unicode MS" w:cs="Arial Unicode MS"/>
          <w:color w:val="000000"/>
          <w:u w:color="000000"/>
          <w:bdr w:val="nil"/>
        </w:rPr>
        <w:t xml:space="preserve"> autistic </w:t>
      </w:r>
      <w:r>
        <w:rPr>
          <w:rFonts w:eastAsia="Arial Unicode MS" w:cs="Arial Unicode MS"/>
          <w:color w:val="000000"/>
          <w:u w:color="000000"/>
          <w:bdr w:val="nil"/>
        </w:rPr>
        <w:t>individuals (</w:t>
      </w:r>
      <w:r w:rsidR="00D236CC">
        <w:rPr>
          <w:rFonts w:eastAsia="Arial Unicode MS" w:cs="Arial Unicode MS"/>
          <w:color w:val="000000"/>
          <w:u w:color="000000"/>
          <w:bdr w:val="nil"/>
        </w:rPr>
        <w:t>who participated in the OT study)</w:t>
      </w:r>
      <w:r>
        <w:rPr>
          <w:rFonts w:eastAsia="Arial Unicode MS" w:cs="Arial Unicode MS"/>
          <w:color w:val="000000"/>
          <w:u w:color="000000"/>
          <w:bdr w:val="nil"/>
        </w:rPr>
        <w:t xml:space="preserve"> during the N170 time window. We averaged the neural activity of the ROIs in the ASD</w:t>
      </w:r>
      <w:r w:rsidR="00D236CC">
        <w:rPr>
          <w:rFonts w:eastAsia="Arial Unicode MS" w:cs="Arial Unicode MS"/>
          <w:color w:val="000000"/>
          <w:u w:color="000000"/>
          <w:bdr w:val="nil"/>
        </w:rPr>
        <w:t xml:space="preserve"> OT</w:t>
      </w:r>
      <w:r>
        <w:rPr>
          <w:rFonts w:eastAsia="Arial Unicode MS" w:cs="Arial Unicode MS"/>
          <w:color w:val="000000"/>
          <w:u w:color="000000"/>
          <w:bdr w:val="nil"/>
        </w:rPr>
        <w:t xml:space="preserve"> </w:t>
      </w:r>
      <w:r w:rsidR="00D236CC">
        <w:rPr>
          <w:rFonts w:eastAsia="Arial Unicode MS" w:cs="Arial Unicode MS"/>
          <w:color w:val="000000"/>
          <w:u w:color="000000"/>
          <w:bdr w:val="nil"/>
        </w:rPr>
        <w:t xml:space="preserve">study </w:t>
      </w:r>
      <w:r>
        <w:rPr>
          <w:rFonts w:eastAsia="Arial Unicode MS" w:cs="Arial Unicode MS"/>
          <w:color w:val="000000"/>
          <w:u w:color="000000"/>
          <w:bdr w:val="nil"/>
        </w:rPr>
        <w:t xml:space="preserve">group during the PL session and compared it to the average response of the ROIs in the TD </w:t>
      </w:r>
      <w:r w:rsidR="00D236CC">
        <w:rPr>
          <w:rFonts w:eastAsia="Arial Unicode MS" w:cs="Arial Unicode MS"/>
          <w:color w:val="000000"/>
          <w:u w:color="000000"/>
          <w:bdr w:val="nil"/>
        </w:rPr>
        <w:t xml:space="preserve">study </w:t>
      </w:r>
      <w:r>
        <w:rPr>
          <w:rFonts w:eastAsia="Arial Unicode MS" w:cs="Arial Unicode MS"/>
          <w:color w:val="000000"/>
          <w:u w:color="000000"/>
          <w:bdr w:val="nil"/>
        </w:rPr>
        <w:t>group using repeated measures ANOVA (where 'group' was a between-subject factor and 'condition' was a within-subject factor).</w:t>
      </w:r>
    </w:p>
    <w:p w14:paraId="6C4741F4" w14:textId="421988C2" w:rsidR="001D463D" w:rsidRDefault="001D463D" w:rsidP="001D463D">
      <w:pPr>
        <w:pBdr>
          <w:top w:val="nil"/>
          <w:left w:val="nil"/>
          <w:bottom w:val="nil"/>
          <w:right w:val="nil"/>
          <w:between w:val="nil"/>
          <w:bar w:val="nil"/>
        </w:pBdr>
        <w:spacing w:before="240" w:line="480" w:lineRule="auto"/>
        <w:rPr>
          <w:rFonts w:eastAsia="Arial Unicode MS" w:cs="Arial Unicode MS"/>
          <w:color w:val="000000"/>
          <w:u w:color="000000"/>
          <w:bdr w:val="nil"/>
        </w:rPr>
      </w:pPr>
      <w:r>
        <w:t xml:space="preserve">Using repeated measures ANOVA with 'condition' as the within factor and 'group' as the between-subject factor, we first compared the neural activity of these ROIs in TD adolescents and </w:t>
      </w:r>
      <w:r w:rsidR="00D236CC">
        <w:t xml:space="preserve">autistic </w:t>
      </w:r>
      <w:r>
        <w:t>individuals treated with</w:t>
      </w:r>
      <w:r w:rsidR="00D236CC">
        <w:t xml:space="preserve"> PL</w:t>
      </w:r>
      <w:r>
        <w:t>. A significant correlation was observed between ASD and TD groups in PL sessions in the left cluster only (</w:t>
      </w:r>
      <w:r>
        <w:rPr>
          <w:rFonts w:eastAsia="Calibri"/>
        </w:rPr>
        <w:t>left</w:t>
      </w:r>
      <w:r>
        <w:t xml:space="preserve"> cluster: F</w:t>
      </w:r>
      <w:r>
        <w:rPr>
          <w:vertAlign w:val="subscript"/>
        </w:rPr>
        <w:t>(1,44)</w:t>
      </w:r>
      <w:r>
        <w:t xml:space="preserve"> = 8.5, p = 0.006, </w:t>
      </w:r>
      <m:oMath>
        <m:sSup>
          <m:sSupPr>
            <m:ctrlPr>
              <w:rPr>
                <w:rFonts w:ascii="Cambria Math" w:hAnsi="Cambria Math"/>
              </w:rPr>
            </m:ctrlPr>
          </m:sSupPr>
          <m:e>
            <m:r>
              <w:rPr>
                <w:rFonts w:ascii="Cambria Math" w:hAnsi="Cambria Math"/>
                <w:sz w:val="27"/>
                <w:szCs w:val="27"/>
              </w:rPr>
              <m:t>η</m:t>
            </m:r>
          </m:e>
          <m:sup>
            <m:r>
              <w:rPr>
                <w:rFonts w:ascii="Cambria Math" w:hAnsi="Cambria Math"/>
                <w:sz w:val="27"/>
                <w:szCs w:val="27"/>
              </w:rPr>
              <m:t>2</m:t>
            </m:r>
          </m:sup>
        </m:sSup>
      </m:oMath>
      <w:r>
        <w:t xml:space="preserve">= 0.008; </w:t>
      </w:r>
      <w:r>
        <w:rPr>
          <w:rFonts w:eastAsia="Calibri"/>
        </w:rPr>
        <w:t>right</w:t>
      </w:r>
      <w:r>
        <w:t xml:space="preserve"> cluster: F</w:t>
      </w:r>
      <w:r>
        <w:rPr>
          <w:vertAlign w:val="subscript"/>
        </w:rPr>
        <w:t>(1,44)</w:t>
      </w:r>
      <w:r>
        <w:t xml:space="preserve"> = 1.18, p = 0.28, </w:t>
      </w:r>
      <m:oMath>
        <m:sSup>
          <m:sSupPr>
            <m:ctrlPr>
              <w:rPr>
                <w:rFonts w:ascii="Cambria Math" w:hAnsi="Cambria Math"/>
              </w:rPr>
            </m:ctrlPr>
          </m:sSupPr>
          <m:e>
            <m:r>
              <w:rPr>
                <w:rFonts w:ascii="Cambria Math" w:hAnsi="Cambria Math"/>
                <w:sz w:val="27"/>
                <w:szCs w:val="27"/>
              </w:rPr>
              <m:t>η</m:t>
            </m:r>
          </m:e>
          <m:sup>
            <m:r>
              <w:rPr>
                <w:rFonts w:ascii="Cambria Math" w:hAnsi="Cambria Math"/>
                <w:sz w:val="27"/>
                <w:szCs w:val="27"/>
              </w:rPr>
              <m:t>2</m:t>
            </m:r>
          </m:sup>
        </m:sSup>
      </m:oMath>
      <w:r>
        <w:t>= 0.003). A post hoc analysis using</w:t>
      </w:r>
      <w:r>
        <w:rPr>
          <w:rFonts w:eastAsia="Calibri"/>
        </w:rPr>
        <w:t xml:space="preserve"> a</w:t>
      </w:r>
      <w:r>
        <w:t xml:space="preserve"> t-test in the left cluster revealed that while a significant difference between conditions emerged in the TD</w:t>
      </w:r>
      <w:r w:rsidR="00971FD8">
        <w:t xml:space="preserve"> study</w:t>
      </w:r>
      <w:r>
        <w:t xml:space="preserve"> group (t</w:t>
      </w:r>
      <w:r>
        <w:rPr>
          <w:vertAlign w:val="subscript"/>
        </w:rPr>
        <w:t>(21)</w:t>
      </w:r>
      <w:r>
        <w:t xml:space="preserve"> = 4.12, p &lt; .001, Cohen's d = 0.878), it was absent in the PL sessions (t</w:t>
      </w:r>
      <w:r>
        <w:rPr>
          <w:vertAlign w:val="subscript"/>
        </w:rPr>
        <w:t>(23)</w:t>
      </w:r>
      <w:r>
        <w:t xml:space="preserve"> = -0.52, p = .6, Cohen's d = -0.1).</w:t>
      </w:r>
    </w:p>
    <w:p w14:paraId="04BA2AC6" w14:textId="77777777" w:rsidR="001D463D" w:rsidRPr="00553F68" w:rsidRDefault="001D463D"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r>
        <w:rPr>
          <w:rFonts w:eastAsia="Arial Unicode MS" w:cs="Arial Unicode MS"/>
          <w:b/>
          <w:bCs/>
          <w:color w:val="000000"/>
          <w:u w:color="000000"/>
          <w:bdr w:val="nil"/>
        </w:rPr>
        <w:t>Brain-Behavior correlations</w:t>
      </w:r>
    </w:p>
    <w:p w14:paraId="7507AE97" w14:textId="77777777" w:rsidR="001D463D" w:rsidRPr="00462802" w:rsidRDefault="001D463D" w:rsidP="001D463D">
      <w:pPr>
        <w:pBdr>
          <w:top w:val="nil"/>
          <w:left w:val="nil"/>
          <w:bottom w:val="nil"/>
          <w:right w:val="nil"/>
          <w:between w:val="nil"/>
          <w:bar w:val="nil"/>
        </w:pBdr>
        <w:spacing w:before="240" w:line="480" w:lineRule="auto"/>
        <w:rPr>
          <w:rFonts w:eastAsia="Arial Unicode MS" w:cs="Arial Unicode MS"/>
          <w:color w:val="000000"/>
          <w:u w:color="000000"/>
          <w:bdr w:val="nil"/>
        </w:rPr>
      </w:pPr>
      <w:r>
        <w:t xml:space="preserve">We first examined the correlation between </w:t>
      </w:r>
      <w:r>
        <w:rPr>
          <w:rFonts w:eastAsia="Calibri"/>
        </w:rPr>
        <w:t xml:space="preserve">the </w:t>
      </w:r>
      <w:r>
        <w:t xml:space="preserve">effect of OT on frontal regions and the clinical assessment of participants’ abilities. </w:t>
      </w:r>
      <w:r>
        <w:rPr>
          <w:rFonts w:eastAsia="Arial Unicode MS" w:cs="Arial Unicode MS"/>
          <w:color w:val="000000"/>
          <w:u w:color="000000"/>
          <w:bdr w:val="nil"/>
        </w:rPr>
        <w:t>No significant correlation was observed (</w:t>
      </w:r>
      <w:r>
        <w:t xml:space="preserve">WASI: social: r=- 0.004, </w:t>
      </w:r>
      <w:r>
        <w:rPr>
          <w:i/>
          <w:iCs/>
        </w:rPr>
        <w:t>p</w:t>
      </w:r>
      <w:r>
        <w:t xml:space="preserve">=0.98; non-social: r=- 0.02, </w:t>
      </w:r>
      <w:r>
        <w:rPr>
          <w:i/>
          <w:iCs/>
        </w:rPr>
        <w:t>p</w:t>
      </w:r>
      <w:r>
        <w:t xml:space="preserve">=.83; or ADOS social: r=- 0.166, </w:t>
      </w:r>
      <w:r>
        <w:rPr>
          <w:i/>
          <w:iCs/>
        </w:rPr>
        <w:t>p</w:t>
      </w:r>
      <w:r>
        <w:t xml:space="preserve">=0.44; non-social: r=- 0.1, </w:t>
      </w:r>
      <w:r>
        <w:rPr>
          <w:i/>
          <w:iCs/>
        </w:rPr>
        <w:t>p</w:t>
      </w:r>
      <w:r>
        <w:t>=.63).</w:t>
      </w:r>
    </w:p>
    <w:p w14:paraId="42C1CDB1" w14:textId="77777777" w:rsidR="001D463D" w:rsidRPr="00F801D2" w:rsidRDefault="001D463D" w:rsidP="001D463D">
      <w:pPr>
        <w:spacing w:before="240" w:after="240" w:line="480" w:lineRule="auto"/>
      </w:pPr>
      <w:r>
        <w:t>We also examined the correlation between</w:t>
      </w:r>
      <w:r>
        <w:rPr>
          <w:rFonts w:eastAsia="Calibri"/>
        </w:rPr>
        <w:t xml:space="preserve"> the</w:t>
      </w:r>
      <w:r>
        <w:t xml:space="preserve"> neural effect of OT and behavioral performance on the task using two indices. We calculated the effects of OT by subtracting the neural activity and the behavioral performance in the PL session from that of the OT session for each condition separately. For the neural score, we used the average neural activation in three clusters: frontal regions, where </w:t>
      </w:r>
      <w:r>
        <w:rPr>
          <w:rFonts w:eastAsia="Calibri"/>
        </w:rPr>
        <w:t xml:space="preserve">an </w:t>
      </w:r>
      <w:r>
        <w:t xml:space="preserve">interaction effect was observed, and typical posterior ROIs, where we located the main effect of </w:t>
      </w:r>
      <w:r>
        <w:lastRenderedPageBreak/>
        <w:t>OT. Next, we correlated the neural and behavioral indices with each other. As mentioned in the main text, no interaction was observed for social and non-social cues.</w:t>
      </w:r>
    </w:p>
    <w:p w14:paraId="1FFCDC70" w14:textId="77777777" w:rsidR="001D463D" w:rsidRDefault="001D463D"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p>
    <w:p w14:paraId="42A1860F" w14:textId="77777777" w:rsidR="001D463D" w:rsidRDefault="001D463D"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p>
    <w:p w14:paraId="49A0D154" w14:textId="77777777" w:rsidR="001D463D" w:rsidRPr="00BC7E1D" w:rsidRDefault="001D463D" w:rsidP="001D463D">
      <w:pPr>
        <w:pBdr>
          <w:top w:val="nil"/>
          <w:left w:val="nil"/>
          <w:bottom w:val="nil"/>
          <w:right w:val="nil"/>
          <w:between w:val="nil"/>
          <w:bar w:val="nil"/>
        </w:pBdr>
        <w:spacing w:before="240" w:line="480" w:lineRule="auto"/>
        <w:rPr>
          <w:rFonts w:eastAsia="Arial Unicode MS" w:cs="Arial Unicode MS"/>
          <w:b/>
          <w:bCs/>
          <w:color w:val="000000"/>
          <w:u w:color="000000"/>
          <w:bdr w:val="nil"/>
        </w:rPr>
      </w:pPr>
    </w:p>
    <w:p w14:paraId="1BD36835" w14:textId="77777777" w:rsidR="001D463D" w:rsidRDefault="001D463D"/>
    <w:sectPr w:rsidR="001D463D" w:rsidSect="00BF4BB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64297"/>
    <w:multiLevelType w:val="hybridMultilevel"/>
    <w:tmpl w:val="AC966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2NTI2MzExNjI3NTZQ0lEKTi0uzszPAykwrgUAD4i7rSwAAAA="/>
  </w:docVars>
  <w:rsids>
    <w:rsidRoot w:val="00770BF1"/>
    <w:rsid w:val="000E40FA"/>
    <w:rsid w:val="001D463D"/>
    <w:rsid w:val="002B1AE4"/>
    <w:rsid w:val="002C3AB7"/>
    <w:rsid w:val="005B43C5"/>
    <w:rsid w:val="006E1117"/>
    <w:rsid w:val="00770BF1"/>
    <w:rsid w:val="00971FD8"/>
    <w:rsid w:val="00BF4BB7"/>
    <w:rsid w:val="00C70C4D"/>
    <w:rsid w:val="00D236CC"/>
    <w:rsid w:val="00D27AF8"/>
    <w:rsid w:val="00EE3D6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41327"/>
  <w15:chartTrackingRefBased/>
  <w15:docId w15:val="{D2E5C9C0-82E6-4CA1-BBB7-D6904FA9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D69"/>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3D69"/>
    <w:pPr>
      <w:ind w:left="720"/>
      <w:contextualSpacing/>
    </w:pPr>
  </w:style>
  <w:style w:type="paragraph" w:styleId="Caption">
    <w:name w:val="caption"/>
    <w:basedOn w:val="Normal"/>
    <w:next w:val="Normal"/>
    <w:unhideWhenUsed/>
    <w:qFormat/>
    <w:rsid w:val="001D463D"/>
    <w:pPr>
      <w:bidi/>
      <w:spacing w:after="200" w:line="240" w:lineRule="auto"/>
    </w:pPr>
    <w:rPr>
      <w:rFonts w:asciiTheme="minorHAnsi" w:eastAsiaTheme="minorHAnsi" w:hAnsiTheme="minorHAnsi" w:cstheme="minorBidi"/>
      <w:i/>
      <w:iCs/>
      <w:color w:val="44546A"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786</Words>
  <Characters>4483</Characters>
  <Application>Microsoft Office Word</Application>
  <DocSecurity>0</DocSecurity>
  <Lines>37</Lines>
  <Paragraphs>10</Paragraphs>
  <ScaleCrop>false</ScaleCrop>
  <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עדי קילים</dc:creator>
  <cp:keywords/>
  <dc:description/>
  <cp:lastModifiedBy>ilanit gordon</cp:lastModifiedBy>
  <cp:revision>2</cp:revision>
  <dcterms:created xsi:type="dcterms:W3CDTF">2022-02-27T09:58:00Z</dcterms:created>
  <dcterms:modified xsi:type="dcterms:W3CDTF">2022-02-27T09:58:00Z</dcterms:modified>
</cp:coreProperties>
</file>