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7353" w:rsidRDefault="00807353" w:rsidP="00E451E3">
      <w:pPr>
        <w:pStyle w:val="Head"/>
        <w:adjustRightInd w:val="0"/>
        <w:snapToGrid w:val="0"/>
        <w:spacing w:before="0" w:after="0" w:line="480" w:lineRule="auto"/>
        <w:jc w:val="left"/>
      </w:pPr>
      <w:r>
        <w:t>Supplementary Information</w:t>
      </w:r>
    </w:p>
    <w:p w:rsidR="00807353" w:rsidRDefault="00807353" w:rsidP="00E451E3">
      <w:pPr>
        <w:pStyle w:val="Head"/>
        <w:adjustRightInd w:val="0"/>
        <w:snapToGrid w:val="0"/>
        <w:spacing w:before="0" w:after="0" w:line="480" w:lineRule="auto"/>
        <w:jc w:val="left"/>
      </w:pPr>
    </w:p>
    <w:p w:rsidR="00D37F67" w:rsidRPr="00E451E3" w:rsidRDefault="00D37F67" w:rsidP="00E451E3">
      <w:pPr>
        <w:pStyle w:val="Head"/>
        <w:adjustRightInd w:val="0"/>
        <w:snapToGrid w:val="0"/>
        <w:spacing w:before="0" w:after="0" w:line="480" w:lineRule="auto"/>
        <w:jc w:val="left"/>
      </w:pPr>
      <w:r w:rsidRPr="00E451E3">
        <w:t xml:space="preserve">Subduction age and stress state control on seismicity in the NW Pacific subducting plate </w:t>
      </w:r>
    </w:p>
    <w:p w:rsidR="00D37F67" w:rsidRDefault="00D37F67" w:rsidP="00E451E3">
      <w:pPr>
        <w:pStyle w:val="Head"/>
        <w:adjustRightInd w:val="0"/>
        <w:snapToGrid w:val="0"/>
        <w:spacing w:before="0" w:after="0" w:line="480" w:lineRule="auto"/>
      </w:pPr>
    </w:p>
    <w:p w:rsidR="00D37F67" w:rsidRPr="002C64B5" w:rsidRDefault="006D3CCC" w:rsidP="00E451E3">
      <w:pPr>
        <w:pStyle w:val="Teaser"/>
        <w:adjustRightInd w:val="0"/>
        <w:snapToGrid w:val="0"/>
        <w:spacing w:before="0" w:line="480" w:lineRule="auto"/>
        <w:rPr>
          <w:lang w:val="it-IT"/>
        </w:rPr>
      </w:pPr>
      <w:r w:rsidRPr="002C64B5">
        <w:rPr>
          <w:color w:val="000000"/>
          <w:lang w:val="it-IT"/>
        </w:rPr>
        <w:t>Nicola Alessandro Pino</w:t>
      </w:r>
      <w:r w:rsidRPr="002C64B5">
        <w:rPr>
          <w:color w:val="000000"/>
          <w:vertAlign w:val="superscript"/>
          <w:lang w:val="it-IT"/>
        </w:rPr>
        <w:t>1</w:t>
      </w:r>
      <w:r>
        <w:rPr>
          <w:color w:val="000000"/>
          <w:lang w:val="it-IT"/>
        </w:rPr>
        <w:t xml:space="preserve">*, </w:t>
      </w:r>
      <w:r w:rsidRPr="002C64B5">
        <w:rPr>
          <w:color w:val="000000"/>
          <w:lang w:val="it-IT"/>
        </w:rPr>
        <w:t>Vincenzo Convertito</w:t>
      </w:r>
      <w:r>
        <w:rPr>
          <w:color w:val="000000"/>
          <w:vertAlign w:val="superscript"/>
          <w:lang w:val="it-IT"/>
        </w:rPr>
        <w:t>1</w:t>
      </w:r>
      <w:r>
        <w:rPr>
          <w:color w:val="000000"/>
          <w:lang w:val="it-IT"/>
        </w:rPr>
        <w:t>,</w:t>
      </w:r>
      <w:r w:rsidRPr="002C64B5">
        <w:rPr>
          <w:color w:val="000000"/>
          <w:lang w:val="it-IT"/>
        </w:rPr>
        <w:t xml:space="preserve"> Cataldo Godano</w:t>
      </w:r>
      <w:r>
        <w:rPr>
          <w:color w:val="000000"/>
          <w:vertAlign w:val="superscript"/>
          <w:lang w:val="it-IT"/>
        </w:rPr>
        <w:t>2</w:t>
      </w:r>
      <w:r>
        <w:rPr>
          <w:color w:val="000000"/>
          <w:lang w:val="it-IT"/>
        </w:rPr>
        <w:t xml:space="preserve"> &amp; </w:t>
      </w:r>
      <w:r w:rsidRPr="002C64B5">
        <w:rPr>
          <w:color w:val="000000"/>
          <w:lang w:val="it-IT"/>
        </w:rPr>
        <w:t>Claudia Piromallo</w:t>
      </w:r>
      <w:r w:rsidRPr="002C64B5">
        <w:rPr>
          <w:color w:val="000000"/>
          <w:vertAlign w:val="superscript"/>
          <w:lang w:val="it-IT"/>
        </w:rPr>
        <w:t>3</w:t>
      </w:r>
      <w:r w:rsidRPr="002C64B5">
        <w:rPr>
          <w:lang w:val="it-IT"/>
        </w:rPr>
        <w:t xml:space="preserve"> </w:t>
      </w:r>
      <w:bookmarkStart w:id="0" w:name="_GoBack"/>
      <w:bookmarkEnd w:id="0"/>
      <w:r w:rsidR="00D37F67" w:rsidRPr="002C64B5">
        <w:rPr>
          <w:lang w:val="it-IT"/>
        </w:rPr>
        <w:t xml:space="preserve"> </w:t>
      </w:r>
    </w:p>
    <w:p w:rsidR="00D37F67" w:rsidRPr="002C64B5" w:rsidRDefault="00D37F67" w:rsidP="00E451E3">
      <w:pPr>
        <w:pStyle w:val="Paragraph"/>
        <w:adjustRightInd w:val="0"/>
        <w:snapToGrid w:val="0"/>
        <w:spacing w:before="0" w:line="480" w:lineRule="auto"/>
        <w:ind w:firstLine="0"/>
        <w:rPr>
          <w:b/>
          <w:lang w:val="it-IT"/>
        </w:rPr>
      </w:pPr>
    </w:p>
    <w:p w:rsidR="00D37F67" w:rsidRPr="002C64B5" w:rsidRDefault="00D37F67" w:rsidP="00E451E3">
      <w:pPr>
        <w:pStyle w:val="Paragraph"/>
        <w:adjustRightInd w:val="0"/>
        <w:snapToGrid w:val="0"/>
        <w:spacing w:before="0" w:line="480" w:lineRule="auto"/>
        <w:ind w:firstLine="0"/>
        <w:rPr>
          <w:lang w:val="it-IT"/>
        </w:rPr>
      </w:pPr>
      <w:r w:rsidRPr="002C64B5">
        <w:rPr>
          <w:vertAlign w:val="superscript"/>
          <w:lang w:val="it-IT"/>
        </w:rPr>
        <w:t>1</w:t>
      </w:r>
      <w:r w:rsidRPr="002C64B5">
        <w:rPr>
          <w:lang w:val="it-IT"/>
        </w:rPr>
        <w:t>Istituto Nazionale di Geofisica e Vulcanologia, Osservatorio Vesuviano</w:t>
      </w:r>
      <w:r>
        <w:rPr>
          <w:lang w:val="it-IT"/>
        </w:rPr>
        <w:t xml:space="preserve">, </w:t>
      </w:r>
      <w:r w:rsidRPr="002C64B5">
        <w:rPr>
          <w:lang w:val="it-IT"/>
        </w:rPr>
        <w:t>Via Diocleziano, 328</w:t>
      </w:r>
      <w:r>
        <w:rPr>
          <w:lang w:val="it-IT"/>
        </w:rPr>
        <w:t xml:space="preserve">, </w:t>
      </w:r>
      <w:r w:rsidRPr="002C64B5">
        <w:rPr>
          <w:lang w:val="it-IT"/>
        </w:rPr>
        <w:t>80134, Napoli, Italy</w:t>
      </w:r>
      <w:r>
        <w:rPr>
          <w:lang w:val="it-IT"/>
        </w:rPr>
        <w:t>.</w:t>
      </w:r>
    </w:p>
    <w:p w:rsidR="00D37F67" w:rsidRPr="002C64B5" w:rsidRDefault="00D37F67" w:rsidP="00E451E3">
      <w:pPr>
        <w:pStyle w:val="Paragraph"/>
        <w:adjustRightInd w:val="0"/>
        <w:snapToGrid w:val="0"/>
        <w:spacing w:before="0" w:line="480" w:lineRule="auto"/>
        <w:ind w:firstLine="0"/>
        <w:rPr>
          <w:lang w:val="it-IT"/>
        </w:rPr>
      </w:pPr>
    </w:p>
    <w:p w:rsidR="00D37F67" w:rsidRPr="002C64B5" w:rsidRDefault="00D37F67" w:rsidP="00E451E3">
      <w:pPr>
        <w:pStyle w:val="Paragraph"/>
        <w:adjustRightInd w:val="0"/>
        <w:snapToGrid w:val="0"/>
        <w:spacing w:before="0" w:line="480" w:lineRule="auto"/>
        <w:ind w:firstLine="0"/>
        <w:rPr>
          <w:lang w:val="it-IT"/>
        </w:rPr>
      </w:pPr>
      <w:r w:rsidRPr="002C64B5">
        <w:rPr>
          <w:vertAlign w:val="superscript"/>
          <w:lang w:val="it-IT"/>
        </w:rPr>
        <w:t>2</w:t>
      </w:r>
      <w:r w:rsidRPr="002C64B5">
        <w:rPr>
          <w:lang w:val="it-IT"/>
        </w:rPr>
        <w:t>Università della Campania “Luigi Vanvitelli”, Dipartimento di Matematica e Fisica</w:t>
      </w:r>
      <w:r>
        <w:rPr>
          <w:lang w:val="it-IT"/>
        </w:rPr>
        <w:t xml:space="preserve">, </w:t>
      </w:r>
      <w:r w:rsidRPr="002C64B5">
        <w:rPr>
          <w:lang w:val="it-IT"/>
        </w:rPr>
        <w:t>Via Vivaldi, 43</w:t>
      </w:r>
      <w:r>
        <w:rPr>
          <w:lang w:val="it-IT"/>
        </w:rPr>
        <w:t xml:space="preserve">, </w:t>
      </w:r>
      <w:r w:rsidRPr="002C64B5">
        <w:rPr>
          <w:lang w:val="it-IT"/>
        </w:rPr>
        <w:t>81100, Caserta, Italy</w:t>
      </w:r>
      <w:r>
        <w:rPr>
          <w:lang w:val="it-IT"/>
        </w:rPr>
        <w:t>.</w:t>
      </w:r>
    </w:p>
    <w:p w:rsidR="00D37F67" w:rsidRPr="002C64B5" w:rsidRDefault="00D37F67" w:rsidP="00E451E3">
      <w:pPr>
        <w:pStyle w:val="Paragraph"/>
        <w:adjustRightInd w:val="0"/>
        <w:snapToGrid w:val="0"/>
        <w:spacing w:before="0" w:line="480" w:lineRule="auto"/>
        <w:ind w:firstLine="0"/>
        <w:rPr>
          <w:lang w:val="it-IT"/>
        </w:rPr>
      </w:pPr>
    </w:p>
    <w:p w:rsidR="00D37F67" w:rsidRPr="00A42BED" w:rsidRDefault="00D37F67" w:rsidP="00E451E3">
      <w:pPr>
        <w:pStyle w:val="Paragraph"/>
        <w:adjustRightInd w:val="0"/>
        <w:snapToGrid w:val="0"/>
        <w:spacing w:before="0" w:line="480" w:lineRule="auto"/>
        <w:ind w:firstLine="0"/>
        <w:rPr>
          <w:lang w:val="it-IT"/>
        </w:rPr>
      </w:pPr>
      <w:r w:rsidRPr="002C64B5">
        <w:rPr>
          <w:vertAlign w:val="superscript"/>
          <w:lang w:val="it-IT"/>
        </w:rPr>
        <w:t>3</w:t>
      </w:r>
      <w:r w:rsidRPr="002C64B5">
        <w:rPr>
          <w:lang w:val="it-IT"/>
        </w:rPr>
        <w:t>Istituto Nazionale di Geofisica e Vulcanologia, Sezione di Roma 1</w:t>
      </w:r>
      <w:r>
        <w:rPr>
          <w:lang w:val="it-IT"/>
        </w:rPr>
        <w:t xml:space="preserve">, </w:t>
      </w:r>
      <w:r w:rsidRPr="002C64B5">
        <w:rPr>
          <w:lang w:val="it-IT"/>
        </w:rPr>
        <w:t>Via di Vigna Murata, 605</w:t>
      </w:r>
      <w:r>
        <w:rPr>
          <w:lang w:val="it-IT"/>
        </w:rPr>
        <w:t xml:space="preserve">, </w:t>
      </w:r>
      <w:r w:rsidRPr="002C64B5">
        <w:rPr>
          <w:lang w:val="it-IT"/>
        </w:rPr>
        <w:t>00143, Roma, Italy</w:t>
      </w:r>
      <w:r>
        <w:rPr>
          <w:lang w:val="it-IT"/>
        </w:rPr>
        <w:t>.</w:t>
      </w:r>
    </w:p>
    <w:p w:rsidR="00D37F67" w:rsidRPr="00A42BED" w:rsidRDefault="00D37F67" w:rsidP="00E451E3">
      <w:pPr>
        <w:pStyle w:val="Paragraph"/>
        <w:adjustRightInd w:val="0"/>
        <w:snapToGrid w:val="0"/>
        <w:spacing w:before="0" w:line="480" w:lineRule="auto"/>
        <w:ind w:firstLine="0"/>
        <w:rPr>
          <w:lang w:val="it-IT"/>
        </w:rPr>
      </w:pPr>
    </w:p>
    <w:p w:rsidR="00D37F67" w:rsidRPr="001309B0" w:rsidRDefault="00D37F67" w:rsidP="00E451E3">
      <w:pPr>
        <w:pStyle w:val="Paragraph"/>
        <w:adjustRightInd w:val="0"/>
        <w:snapToGrid w:val="0"/>
        <w:spacing w:before="0" w:line="480" w:lineRule="auto"/>
        <w:ind w:firstLine="0"/>
        <w:rPr>
          <w:b/>
          <w:lang w:val="it-IT"/>
        </w:rPr>
      </w:pPr>
      <w:r w:rsidRPr="001309B0">
        <w:rPr>
          <w:b/>
          <w:lang w:val="it-IT"/>
        </w:rPr>
        <w:t xml:space="preserve">*e-mail: </w:t>
      </w:r>
      <w:hyperlink r:id="rId4" w:history="1">
        <w:r w:rsidRPr="0042311B">
          <w:rPr>
            <w:b/>
            <w:lang w:val="it-IT"/>
          </w:rPr>
          <w:t>alessandro.pino@ingv.it</w:t>
        </w:r>
      </w:hyperlink>
    </w:p>
    <w:p w:rsidR="00D37F67" w:rsidRDefault="00D37F67" w:rsidP="00E451E3">
      <w:pPr>
        <w:pStyle w:val="AbstractSummary"/>
        <w:shd w:val="clear" w:color="auto" w:fill="FFFFFF"/>
        <w:adjustRightInd w:val="0"/>
        <w:snapToGrid w:val="0"/>
        <w:spacing w:before="0" w:line="480" w:lineRule="auto"/>
        <w:rPr>
          <w:b/>
          <w:lang w:val="it-IT"/>
        </w:rPr>
      </w:pPr>
    </w:p>
    <w:p w:rsidR="00471B78" w:rsidRPr="00D7417D" w:rsidRDefault="00471B78" w:rsidP="00471B78">
      <w:pPr>
        <w:adjustRightInd w:val="0"/>
        <w:snapToGrid w:val="0"/>
        <w:spacing w:line="480" w:lineRule="auto"/>
        <w:ind w:firstLine="284"/>
        <w:rPr>
          <w:sz w:val="24"/>
          <w:szCs w:val="24"/>
          <w:lang w:val="it-IT"/>
        </w:rPr>
      </w:pPr>
    </w:p>
    <w:p w:rsidR="00807353" w:rsidRPr="00D7417D" w:rsidRDefault="00807353" w:rsidP="00471B78">
      <w:pPr>
        <w:adjustRightInd w:val="0"/>
        <w:snapToGrid w:val="0"/>
        <w:spacing w:line="480" w:lineRule="auto"/>
        <w:ind w:firstLine="284"/>
        <w:rPr>
          <w:sz w:val="24"/>
          <w:szCs w:val="24"/>
          <w:lang w:val="it-IT"/>
        </w:rPr>
      </w:pPr>
    </w:p>
    <w:p w:rsidR="00807353" w:rsidRPr="00F15D36" w:rsidRDefault="00807353" w:rsidP="00807353">
      <w:pPr>
        <w:pStyle w:val="SMHeading"/>
      </w:pPr>
      <w:r w:rsidRPr="00F15D36">
        <w:rPr>
          <w:noProof/>
        </w:rPr>
        <w:lastRenderedPageBreak/>
        <w:drawing>
          <wp:inline distT="0" distB="0" distL="0" distR="0" wp14:anchorId="5BF04025" wp14:editId="2AD9AD86">
            <wp:extent cx="6019800" cy="744767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uraS1.jpg"/>
                    <pic:cNvPicPr/>
                  </pic:nvPicPr>
                  <pic:blipFill rotWithShape="1">
                    <a:blip r:embed="rId5" cstate="print">
                      <a:extLst>
                        <a:ext uri="{28A0092B-C50C-407E-A947-70E740481C1C}">
                          <a14:useLocalDpi xmlns:a14="http://schemas.microsoft.com/office/drawing/2010/main" val="0"/>
                        </a:ext>
                      </a:extLst>
                    </a:blip>
                    <a:srcRect l="3067" t="3671" r="3966" b="15049"/>
                    <a:stretch/>
                  </pic:blipFill>
                  <pic:spPr bwMode="auto">
                    <a:xfrm>
                      <a:off x="0" y="0"/>
                      <a:ext cx="6046484" cy="7480691"/>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xt>
                    </a:extLst>
                  </pic:spPr>
                </pic:pic>
              </a:graphicData>
            </a:graphic>
          </wp:inline>
        </w:drawing>
      </w:r>
    </w:p>
    <w:p w:rsidR="00807353" w:rsidRDefault="00807353" w:rsidP="00807353">
      <w:pPr>
        <w:pStyle w:val="SMHeading"/>
        <w:rPr>
          <w:b w:val="0"/>
        </w:rPr>
      </w:pPr>
      <w:r>
        <w:t>Supplementary Figure S1</w:t>
      </w:r>
      <w:r w:rsidRPr="00F15D36">
        <w:t xml:space="preserve">. </w:t>
      </w:r>
      <w:r w:rsidRPr="00F15D36">
        <w:rPr>
          <w:b w:val="0"/>
        </w:rPr>
        <w:t xml:space="preserve">Vertical </w:t>
      </w:r>
      <w:r>
        <w:rPr>
          <w:b w:val="0"/>
        </w:rPr>
        <w:t>cross-</w:t>
      </w:r>
      <w:r w:rsidRPr="00F15D36">
        <w:rPr>
          <w:b w:val="0"/>
        </w:rPr>
        <w:t xml:space="preserve">sections of the seismicity, along the </w:t>
      </w:r>
      <w:r>
        <w:rPr>
          <w:b w:val="0"/>
        </w:rPr>
        <w:t xml:space="preserve">two </w:t>
      </w:r>
      <w:r w:rsidRPr="00F15D36">
        <w:rPr>
          <w:b w:val="0"/>
        </w:rPr>
        <w:t xml:space="preserve">profiles reported in Fig. 1. The profiles are parallel to the trench of the Kurile and Izu-Bonin subduction zones. </w:t>
      </w:r>
      <w:r>
        <w:rPr>
          <w:b w:val="0"/>
        </w:rPr>
        <w:t>Data are</w:t>
      </w:r>
      <w:r w:rsidRPr="005134EE">
        <w:rPr>
          <w:b w:val="0"/>
        </w:rPr>
        <w:t xml:space="preserve"> </w:t>
      </w:r>
      <w:r>
        <w:rPr>
          <w:b w:val="0"/>
        </w:rPr>
        <w:t>projected</w:t>
      </w:r>
      <w:r w:rsidRPr="005134EE">
        <w:rPr>
          <w:b w:val="0"/>
        </w:rPr>
        <w:t xml:space="preserve"> onto distance-depth vertical sections and the values</w:t>
      </w:r>
      <w:r>
        <w:rPr>
          <w:b w:val="0"/>
        </w:rPr>
        <w:t xml:space="preserve"> are resampled</w:t>
      </w:r>
      <w:r w:rsidRPr="005134EE">
        <w:rPr>
          <w:b w:val="0"/>
        </w:rPr>
        <w:t xml:space="preserve"> over a regular grid.</w:t>
      </w:r>
      <w:r>
        <w:rPr>
          <w:b w:val="0"/>
        </w:rPr>
        <w:t xml:space="preserve"> </w:t>
      </w:r>
      <w:r w:rsidRPr="00F15D36">
        <w:rPr>
          <w:b w:val="0"/>
        </w:rPr>
        <w:t>The lines of equal thermal parameter (top), lithosphere age (middle), and sink velocity (bottom)</w:t>
      </w:r>
      <w:r>
        <w:rPr>
          <w:b w:val="0"/>
        </w:rPr>
        <w:t xml:space="preserve"> </w:t>
      </w:r>
      <w:r w:rsidRPr="00F15D36">
        <w:rPr>
          <w:b w:val="0"/>
        </w:rPr>
        <w:t xml:space="preserve">are also displayed. The events are ordered in the projection according to their magnitude, with lower magnitude earthquakes behind, to evidence the areas where stronger events </w:t>
      </w:r>
      <w:r>
        <w:rPr>
          <w:b w:val="0"/>
        </w:rPr>
        <w:t>occur</w:t>
      </w:r>
      <w:r w:rsidRPr="00F15D36">
        <w:rPr>
          <w:b w:val="0"/>
        </w:rPr>
        <w:t>.</w:t>
      </w:r>
      <w:r>
        <w:rPr>
          <w:b w:val="0"/>
        </w:rPr>
        <w:t xml:space="preserve"> </w:t>
      </w:r>
    </w:p>
    <w:p w:rsidR="00807353" w:rsidRDefault="00807353" w:rsidP="00807353"/>
    <w:p w:rsidR="00807353" w:rsidRPr="00F15D36" w:rsidRDefault="00807353" w:rsidP="00807353">
      <w:pPr>
        <w:pStyle w:val="SMHeading"/>
      </w:pPr>
      <w:r w:rsidRPr="00F15D36">
        <w:rPr>
          <w:noProof/>
        </w:rPr>
        <w:lastRenderedPageBreak/>
        <w:drawing>
          <wp:inline distT="0" distB="0" distL="0" distR="0" wp14:anchorId="7BE2BE99" wp14:editId="44B6FA61">
            <wp:extent cx="5760000" cy="2420482"/>
            <wp:effectExtent l="0" t="0" r="0" b="5715"/>
            <wp:docPr id="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uraS2.jpg"/>
                    <pic:cNvPicPr/>
                  </pic:nvPicPr>
                  <pic:blipFill rotWithShape="1">
                    <a:blip r:embed="rId6">
                      <a:extLst>
                        <a:ext uri="{28A0092B-C50C-407E-A947-70E740481C1C}">
                          <a14:useLocalDpi xmlns:a14="http://schemas.microsoft.com/office/drawing/2010/main" val="0"/>
                        </a:ext>
                      </a:extLst>
                    </a:blip>
                    <a:srcRect l="10352" t="37113" r="10279" b="39317"/>
                    <a:stretch/>
                  </pic:blipFill>
                  <pic:spPr bwMode="auto">
                    <a:xfrm>
                      <a:off x="0" y="0"/>
                      <a:ext cx="5760000" cy="2420482"/>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xt>
                    </a:extLst>
                  </pic:spPr>
                </pic:pic>
              </a:graphicData>
            </a:graphic>
          </wp:inline>
        </w:drawing>
      </w:r>
    </w:p>
    <w:p w:rsidR="00807353" w:rsidRDefault="00807353" w:rsidP="00807353">
      <w:pPr>
        <w:pStyle w:val="SMHeading"/>
        <w:rPr>
          <w:b w:val="0"/>
        </w:rPr>
      </w:pPr>
      <w:r>
        <w:t>Supplementary Figure S2</w:t>
      </w:r>
      <w:r w:rsidRPr="00F15D36">
        <w:t xml:space="preserve">. </w:t>
      </w:r>
      <w:r w:rsidRPr="00F15D36">
        <w:rPr>
          <w:b w:val="0"/>
          <w:i/>
        </w:rPr>
        <w:t>P</w:t>
      </w:r>
      <w:r w:rsidRPr="00F15D36">
        <w:rPr>
          <w:b w:val="0"/>
        </w:rPr>
        <w:t xml:space="preserve"> axes of the earthquakes’ </w:t>
      </w:r>
      <w:r>
        <w:rPr>
          <w:b w:val="0"/>
        </w:rPr>
        <w:t>g</w:t>
      </w:r>
      <w:r w:rsidRPr="00F15D36">
        <w:rPr>
          <w:b w:val="0"/>
        </w:rPr>
        <w:t xml:space="preserve">CMT focal mechanisms, (https://www.globalcmt.org/CMTsearch.html) projected on the vertical sections corresponding to the profiles indicated in Fig. 1 of the article. The vertical projection is chosen in order to compare the </w:t>
      </w:r>
      <w:r w:rsidRPr="00F15D36">
        <w:rPr>
          <w:b w:val="0"/>
          <w:i/>
        </w:rPr>
        <w:t>P</w:t>
      </w:r>
      <w:r w:rsidRPr="00F15D36">
        <w:rPr>
          <w:b w:val="0"/>
        </w:rPr>
        <w:t xml:space="preserve"> axes with the slab age. With respect to the sink direction (i.e., the gradient of the lines of equal slab age), the stress regime deduced from the principal compression axes for intermediate events in Kurile and Izu-Bonin is respectively tensional and compressional, while in both areas it is compressional for deep earthquakes.</w:t>
      </w:r>
    </w:p>
    <w:p w:rsidR="00807353" w:rsidRDefault="00807353" w:rsidP="00807353">
      <w:pPr>
        <w:rPr>
          <w:bCs/>
          <w:kern w:val="32"/>
          <w:szCs w:val="24"/>
        </w:rPr>
      </w:pPr>
      <w:r>
        <w:rPr>
          <w:b/>
        </w:rPr>
        <w:br w:type="page"/>
      </w:r>
    </w:p>
    <w:p w:rsidR="00807353" w:rsidRDefault="00807353" w:rsidP="00807353">
      <w:pPr>
        <w:rPr>
          <w:bCs/>
          <w:kern w:val="32"/>
          <w:szCs w:val="24"/>
        </w:rPr>
      </w:pPr>
    </w:p>
    <w:p w:rsidR="00807353" w:rsidRPr="00F15D36" w:rsidRDefault="00807353" w:rsidP="00807353">
      <w:pPr>
        <w:pStyle w:val="SMHeading"/>
        <w:rPr>
          <w:lang w:val="it-IT"/>
        </w:rPr>
      </w:pPr>
      <w:r w:rsidRPr="00F15D36">
        <w:rPr>
          <w:noProof/>
        </w:rPr>
        <w:drawing>
          <wp:inline distT="0" distB="0" distL="0" distR="0" wp14:anchorId="3AB02C63" wp14:editId="13A3A0F1">
            <wp:extent cx="2484796" cy="6962274"/>
            <wp:effectExtent l="0" t="0" r="444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ureS3.jpg"/>
                    <pic:cNvPicPr/>
                  </pic:nvPicPr>
                  <pic:blipFill rotWithShape="1">
                    <a:blip r:embed="rId7" cstate="print">
                      <a:extLst>
                        <a:ext uri="{28A0092B-C50C-407E-A947-70E740481C1C}">
                          <a14:useLocalDpi xmlns:a14="http://schemas.microsoft.com/office/drawing/2010/main" val="0"/>
                        </a:ext>
                      </a:extLst>
                    </a:blip>
                    <a:srcRect l="29904" t="9482" r="29658" b="10448"/>
                    <a:stretch/>
                  </pic:blipFill>
                  <pic:spPr bwMode="auto">
                    <a:xfrm>
                      <a:off x="0" y="0"/>
                      <a:ext cx="2485608" cy="6964549"/>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xt>
                    </a:extLst>
                  </pic:spPr>
                </pic:pic>
              </a:graphicData>
            </a:graphic>
          </wp:inline>
        </w:drawing>
      </w:r>
    </w:p>
    <w:p w:rsidR="00807353" w:rsidRPr="00F15D36" w:rsidRDefault="00807353" w:rsidP="00807353">
      <w:pPr>
        <w:pStyle w:val="SMHeading"/>
        <w:rPr>
          <w:b w:val="0"/>
        </w:rPr>
      </w:pPr>
      <w:r>
        <w:t xml:space="preserve">Supplementary </w:t>
      </w:r>
      <w:r w:rsidRPr="00F15D36">
        <w:t>Fig</w:t>
      </w:r>
      <w:r>
        <w:t>ure</w:t>
      </w:r>
      <w:r w:rsidRPr="00F15D36">
        <w:t xml:space="preserve"> </w:t>
      </w:r>
      <w:r>
        <w:t>S</w:t>
      </w:r>
      <w:r w:rsidRPr="00F15D36">
        <w:t xml:space="preserve">3. </w:t>
      </w:r>
      <w:r w:rsidRPr="00F15D36">
        <w:rPr>
          <w:b w:val="0"/>
        </w:rPr>
        <w:t xml:space="preserve">Depth distributions of the estimated </w:t>
      </w:r>
      <w:r w:rsidRPr="00F15D36">
        <w:rPr>
          <w:b w:val="0"/>
          <w:i/>
        </w:rPr>
        <w:t>b</w:t>
      </w:r>
      <w:r w:rsidRPr="00F15D36">
        <w:rPr>
          <w:b w:val="0"/>
        </w:rPr>
        <w:t>-values for the Kurile subduction zone. Each depth profile includes values along 100 km-thick slices, centered at the distance indicated on top, along the relevant section. The red lines represent the 30 pts. moving average except for the -50 km profile, for which a 10 pts. average is applied due to the lower number of points available.</w:t>
      </w:r>
    </w:p>
    <w:p w:rsidR="00807353" w:rsidRDefault="00807353" w:rsidP="00807353">
      <w:pPr>
        <w:rPr>
          <w:b/>
          <w:bCs/>
          <w:kern w:val="32"/>
          <w:szCs w:val="24"/>
        </w:rPr>
      </w:pPr>
      <w:r>
        <w:br w:type="page"/>
      </w:r>
    </w:p>
    <w:p w:rsidR="00807353" w:rsidRPr="00F15D36" w:rsidRDefault="00807353" w:rsidP="00807353">
      <w:pPr>
        <w:pStyle w:val="SMHeading"/>
        <w:rPr>
          <w:lang w:val="it-IT"/>
        </w:rPr>
      </w:pPr>
      <w:r w:rsidRPr="00F15D36">
        <w:rPr>
          <w:noProof/>
        </w:rPr>
        <w:lastRenderedPageBreak/>
        <w:drawing>
          <wp:inline distT="0" distB="0" distL="0" distR="0" wp14:anchorId="07620244" wp14:editId="55FD8D78">
            <wp:extent cx="4552219" cy="6545179"/>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igureS4.jpg"/>
                    <pic:cNvPicPr/>
                  </pic:nvPicPr>
                  <pic:blipFill rotWithShape="1">
                    <a:blip r:embed="rId8" cstate="print">
                      <a:extLst>
                        <a:ext uri="{28A0092B-C50C-407E-A947-70E740481C1C}">
                          <a14:useLocalDpi xmlns:a14="http://schemas.microsoft.com/office/drawing/2010/main" val="0"/>
                        </a:ext>
                      </a:extLst>
                    </a:blip>
                    <a:srcRect l="10543" t="10024" r="11059" b="10320"/>
                    <a:stretch/>
                  </pic:blipFill>
                  <pic:spPr bwMode="auto">
                    <a:xfrm>
                      <a:off x="0" y="0"/>
                      <a:ext cx="4554395" cy="6548307"/>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xt>
                    </a:extLst>
                  </pic:spPr>
                </pic:pic>
              </a:graphicData>
            </a:graphic>
          </wp:inline>
        </w:drawing>
      </w:r>
    </w:p>
    <w:p w:rsidR="00807353" w:rsidRDefault="00807353" w:rsidP="00807353">
      <w:pPr>
        <w:pStyle w:val="SMHeading"/>
        <w:rPr>
          <w:b w:val="0"/>
        </w:rPr>
      </w:pPr>
      <w:r>
        <w:t xml:space="preserve">Supplementary </w:t>
      </w:r>
      <w:r w:rsidRPr="00F15D36">
        <w:t>Fig</w:t>
      </w:r>
      <w:r>
        <w:t>ure</w:t>
      </w:r>
      <w:r w:rsidRPr="00F15D36">
        <w:t xml:space="preserve"> </w:t>
      </w:r>
      <w:r>
        <w:t>S</w:t>
      </w:r>
      <w:r w:rsidRPr="00F15D36">
        <w:t xml:space="preserve">4. </w:t>
      </w:r>
      <w:r w:rsidRPr="00F15D36">
        <w:rPr>
          <w:b w:val="0"/>
        </w:rPr>
        <w:t xml:space="preserve">Depth distributions of the estimated </w:t>
      </w:r>
      <w:r w:rsidRPr="00F15D36">
        <w:rPr>
          <w:b w:val="0"/>
          <w:i/>
        </w:rPr>
        <w:t>b</w:t>
      </w:r>
      <w:r w:rsidRPr="00F15D36">
        <w:rPr>
          <w:b w:val="0"/>
        </w:rPr>
        <w:t>-values for the Izu-Bonin subduction zone. Each depth profile includes values along 100 km-thick slices, centered at the distance indicated on top, along the relevant section. The red lines represent the 30 pts. moving average, except for the 450 km and 550 km profiles, for which a 10 pts. average is applied due to the lower number of points available.</w:t>
      </w:r>
    </w:p>
    <w:p w:rsidR="00807353" w:rsidRDefault="00807353" w:rsidP="00807353">
      <w:pPr>
        <w:pStyle w:val="SMHeading"/>
        <w:rPr>
          <w:b w:val="0"/>
        </w:rPr>
      </w:pPr>
      <w:r>
        <w:rPr>
          <w:b w:val="0"/>
        </w:rPr>
        <w:br w:type="page"/>
      </w:r>
    </w:p>
    <w:p w:rsidR="00807353" w:rsidRDefault="00807353" w:rsidP="00807353">
      <w:pPr>
        <w:pStyle w:val="SMHeading"/>
      </w:pPr>
      <w:r>
        <w:rPr>
          <w:noProof/>
        </w:rPr>
        <w:lastRenderedPageBreak/>
        <w:drawing>
          <wp:inline distT="0" distB="0" distL="0" distR="0" wp14:anchorId="7B291938" wp14:editId="72B9775F">
            <wp:extent cx="5998514" cy="44704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uraS5.pdf"/>
                    <pic:cNvPicPr/>
                  </pic:nvPicPr>
                  <pic:blipFill rotWithShape="1">
                    <a:blip r:embed="rId9">
                      <a:extLst>
                        <a:ext uri="{28A0092B-C50C-407E-A947-70E740481C1C}">
                          <a14:useLocalDpi xmlns:a14="http://schemas.microsoft.com/office/drawing/2010/main" val="0"/>
                        </a:ext>
                      </a:extLst>
                    </a:blip>
                    <a:srcRect t="9674" b="37664"/>
                    <a:stretch/>
                  </pic:blipFill>
                  <pic:spPr bwMode="auto">
                    <a:xfrm>
                      <a:off x="0" y="0"/>
                      <a:ext cx="5998845" cy="4470647"/>
                    </a:xfrm>
                    <a:prstGeom prst="rect">
                      <a:avLst/>
                    </a:prstGeom>
                    <a:ln>
                      <a:noFill/>
                    </a:ln>
                    <a:extLst>
                      <a:ext uri="{53640926-AAD7-44D8-BBD7-CCE9431645EC}">
                        <a14:shadowObscured xmlns:a14="http://schemas.microsoft.com/office/drawing/2010/main"/>
                      </a:ext>
                    </a:extLst>
                  </pic:spPr>
                </pic:pic>
              </a:graphicData>
            </a:graphic>
          </wp:inline>
        </w:drawing>
      </w:r>
    </w:p>
    <w:p w:rsidR="00807353" w:rsidRPr="00D7417D" w:rsidRDefault="00807353" w:rsidP="00D7417D">
      <w:pPr>
        <w:pStyle w:val="SMHeading"/>
        <w:rPr>
          <w:b w:val="0"/>
        </w:rPr>
      </w:pPr>
      <w:r>
        <w:t xml:space="preserve">Supplementary </w:t>
      </w:r>
      <w:r w:rsidRPr="000E1F52">
        <w:t>Fig</w:t>
      </w:r>
      <w:r>
        <w:t>ure</w:t>
      </w:r>
      <w:r w:rsidRPr="000E1F52">
        <w:t xml:space="preserve"> S</w:t>
      </w:r>
      <w:r>
        <w:t>5</w:t>
      </w:r>
      <w:r w:rsidRPr="000E1F52">
        <w:t xml:space="preserve">. </w:t>
      </w:r>
      <w:r>
        <w:rPr>
          <w:b w:val="0"/>
        </w:rPr>
        <w:t>Distribution of the minimum magnitude of completeness M</w:t>
      </w:r>
      <w:r w:rsidRPr="000950BF">
        <w:rPr>
          <w:b w:val="0"/>
          <w:vertAlign w:val="subscript"/>
        </w:rPr>
        <w:t>c</w:t>
      </w:r>
      <w:r>
        <w:rPr>
          <w:b w:val="0"/>
          <w:vertAlign w:val="subscript"/>
        </w:rPr>
        <w:t xml:space="preserve"> </w:t>
      </w:r>
      <w:r>
        <w:rPr>
          <w:b w:val="0"/>
        </w:rPr>
        <w:t>used</w:t>
      </w:r>
      <w:r w:rsidRPr="000E6296">
        <w:rPr>
          <w:b w:val="0"/>
        </w:rPr>
        <w:t xml:space="preserve"> for determination of the </w:t>
      </w:r>
      <w:r w:rsidRPr="000E6296">
        <w:rPr>
          <w:b w:val="0"/>
          <w:i/>
        </w:rPr>
        <w:t>b</w:t>
      </w:r>
      <w:r w:rsidRPr="000E6296">
        <w:rPr>
          <w:b w:val="0"/>
        </w:rPr>
        <w:t>-value</w:t>
      </w:r>
      <w:r>
        <w:rPr>
          <w:b w:val="0"/>
          <w:vertAlign w:val="subscript"/>
        </w:rPr>
        <w:t xml:space="preserve"> </w:t>
      </w:r>
      <w:r>
        <w:rPr>
          <w:b w:val="0"/>
        </w:rPr>
        <w:t xml:space="preserve">(top), and of the </w:t>
      </w:r>
      <w:r w:rsidRPr="000E6296">
        <w:rPr>
          <w:b w:val="0"/>
          <w:i/>
        </w:rPr>
        <w:t>b</w:t>
      </w:r>
      <w:r>
        <w:rPr>
          <w:b w:val="0"/>
        </w:rPr>
        <w:t xml:space="preserve">-value standard error </w:t>
      </w:r>
      <m:oMath>
        <m:r>
          <m:rPr>
            <m:sty m:val="bi"/>
          </m:rPr>
          <w:rPr>
            <w:rFonts w:ascii="Cambria Math" w:hAnsi="Cambria Math"/>
          </w:rPr>
          <m:t>σ</m:t>
        </m:r>
      </m:oMath>
      <w:r>
        <w:rPr>
          <w:b w:val="0"/>
        </w:rPr>
        <w:t xml:space="preserve"> (bottom), for the two subduction zones. See Methods section for details.</w:t>
      </w:r>
    </w:p>
    <w:sectPr w:rsidR="00807353" w:rsidRPr="00D7417D" w:rsidSect="00471B78">
      <w:pgSz w:w="11900" w:h="16840"/>
      <w:pgMar w:top="1418" w:right="1134" w:bottom="1134" w:left="1134" w:header="709" w:footer="709"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09"/>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F67"/>
    <w:rsid w:val="00094D5F"/>
    <w:rsid w:val="001F7C81"/>
    <w:rsid w:val="0045369C"/>
    <w:rsid w:val="00471B78"/>
    <w:rsid w:val="006D3CCC"/>
    <w:rsid w:val="00807353"/>
    <w:rsid w:val="00C65B8D"/>
    <w:rsid w:val="00D37F67"/>
    <w:rsid w:val="00D7417D"/>
    <w:rsid w:val="00D75852"/>
    <w:rsid w:val="00E451E3"/>
    <w:rsid w:val="00E8426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0D89469E"/>
  <w15:chartTrackingRefBased/>
  <w15:docId w15:val="{168DE613-58A9-A948-B2C5-7A693F9D5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D37F67"/>
    <w:rPr>
      <w:rFonts w:ascii="Times New Roman" w:eastAsia="Calibri" w:hAnsi="Times New Roman" w:cs="Times New Roman"/>
      <w:sz w:val="20"/>
      <w:szCs w:val="20"/>
      <w:lang w:val="en-US"/>
    </w:rPr>
  </w:style>
  <w:style w:type="paragraph" w:styleId="Titolo1">
    <w:name w:val="heading 1"/>
    <w:basedOn w:val="Normale"/>
    <w:next w:val="Normale"/>
    <w:link w:val="Titolo1Carattere"/>
    <w:uiPriority w:val="9"/>
    <w:qFormat/>
    <w:rsid w:val="0080735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AbstractSummary">
    <w:name w:val="Abstract/Summary"/>
    <w:basedOn w:val="Normale"/>
    <w:rsid w:val="00D37F67"/>
    <w:pPr>
      <w:spacing w:before="120"/>
    </w:pPr>
    <w:rPr>
      <w:rFonts w:eastAsia="Times New Roman"/>
      <w:sz w:val="24"/>
      <w:szCs w:val="24"/>
    </w:rPr>
  </w:style>
  <w:style w:type="paragraph" w:customStyle="1" w:styleId="Paragraph">
    <w:name w:val="Paragraph"/>
    <w:basedOn w:val="Normale"/>
    <w:rsid w:val="00D37F67"/>
    <w:pPr>
      <w:spacing w:before="120"/>
      <w:ind w:firstLine="720"/>
    </w:pPr>
    <w:rPr>
      <w:rFonts w:eastAsia="Times New Roman"/>
      <w:sz w:val="24"/>
      <w:szCs w:val="24"/>
    </w:rPr>
  </w:style>
  <w:style w:type="paragraph" w:customStyle="1" w:styleId="Head">
    <w:name w:val="Head"/>
    <w:basedOn w:val="Normale"/>
    <w:rsid w:val="00D37F67"/>
    <w:pPr>
      <w:keepNext/>
      <w:spacing w:before="120" w:after="120"/>
      <w:jc w:val="center"/>
      <w:outlineLvl w:val="0"/>
    </w:pPr>
    <w:rPr>
      <w:rFonts w:eastAsia="Times New Roman"/>
      <w:b/>
      <w:bCs/>
      <w:kern w:val="28"/>
      <w:sz w:val="28"/>
      <w:szCs w:val="28"/>
    </w:rPr>
  </w:style>
  <w:style w:type="paragraph" w:customStyle="1" w:styleId="Teaser">
    <w:name w:val="Teaser"/>
    <w:basedOn w:val="Normale"/>
    <w:rsid w:val="00D37F67"/>
    <w:pPr>
      <w:spacing w:before="120"/>
    </w:pPr>
    <w:rPr>
      <w:rFonts w:eastAsia="Times New Roman"/>
      <w:sz w:val="24"/>
      <w:szCs w:val="24"/>
    </w:rPr>
  </w:style>
  <w:style w:type="paragraph" w:customStyle="1" w:styleId="Referencesandnotes">
    <w:name w:val="References and notes"/>
    <w:basedOn w:val="Normale"/>
    <w:rsid w:val="00C65B8D"/>
    <w:pPr>
      <w:spacing w:before="120"/>
      <w:ind w:left="720" w:hanging="720"/>
    </w:pPr>
    <w:rPr>
      <w:rFonts w:eastAsia="Times New Roman"/>
      <w:sz w:val="24"/>
      <w:szCs w:val="24"/>
    </w:rPr>
  </w:style>
  <w:style w:type="paragraph" w:customStyle="1" w:styleId="Acknowledgement">
    <w:name w:val="Acknowledgement"/>
    <w:basedOn w:val="Referencesandnotes"/>
    <w:rsid w:val="00C65B8D"/>
  </w:style>
  <w:style w:type="paragraph" w:customStyle="1" w:styleId="Refhead">
    <w:name w:val="Ref head"/>
    <w:basedOn w:val="Normale"/>
    <w:rsid w:val="00C65B8D"/>
    <w:pPr>
      <w:keepNext/>
      <w:spacing w:before="120" w:after="120"/>
      <w:outlineLvl w:val="0"/>
    </w:pPr>
    <w:rPr>
      <w:rFonts w:eastAsia="Times New Roman"/>
      <w:b/>
      <w:bCs/>
      <w:kern w:val="28"/>
      <w:sz w:val="24"/>
      <w:szCs w:val="24"/>
    </w:rPr>
  </w:style>
  <w:style w:type="character" w:styleId="Numeroriga">
    <w:name w:val="line number"/>
    <w:basedOn w:val="Carpredefinitoparagrafo"/>
    <w:uiPriority w:val="99"/>
    <w:semiHidden/>
    <w:unhideWhenUsed/>
    <w:rsid w:val="00D75852"/>
  </w:style>
  <w:style w:type="paragraph" w:customStyle="1" w:styleId="SMHeading">
    <w:name w:val="SM Heading"/>
    <w:basedOn w:val="Titolo1"/>
    <w:qFormat/>
    <w:rsid w:val="00807353"/>
    <w:pPr>
      <w:keepLines w:val="0"/>
      <w:spacing w:after="60"/>
    </w:pPr>
    <w:rPr>
      <w:rFonts w:ascii="Times New Roman" w:eastAsia="Times New Roman" w:hAnsi="Times New Roman" w:cs="Times New Roman"/>
      <w:b/>
      <w:bCs/>
      <w:color w:val="auto"/>
      <w:kern w:val="32"/>
      <w:sz w:val="24"/>
      <w:szCs w:val="24"/>
    </w:rPr>
  </w:style>
  <w:style w:type="character" w:customStyle="1" w:styleId="Titolo1Carattere">
    <w:name w:val="Titolo 1 Carattere"/>
    <w:basedOn w:val="Carpredefinitoparagrafo"/>
    <w:link w:val="Titolo1"/>
    <w:uiPriority w:val="9"/>
    <w:rsid w:val="00807353"/>
    <w:rPr>
      <w:rFonts w:asciiTheme="majorHAnsi" w:eastAsiaTheme="majorEastAsia" w:hAnsiTheme="majorHAnsi" w:cstheme="majorBidi"/>
      <w:color w:val="2F5496"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hyperlink" Target="mailto:alessandro.pino@ingv.it" TargetMode="External"/><Relationship Id="rId9" Type="http://schemas.openxmlformats.org/officeDocument/2006/relationships/image" Target="media/image5.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435</Words>
  <Characters>2480</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Alessandro PINO</dc:creator>
  <cp:keywords/>
  <dc:description/>
  <cp:lastModifiedBy>Nicola Alessandro PINO</cp:lastModifiedBy>
  <cp:revision>4</cp:revision>
  <dcterms:created xsi:type="dcterms:W3CDTF">2022-02-26T08:58:00Z</dcterms:created>
  <dcterms:modified xsi:type="dcterms:W3CDTF">2022-02-26T15:29:00Z</dcterms:modified>
</cp:coreProperties>
</file>