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B4823C" w14:textId="77777777" w:rsidR="008F55F9" w:rsidRPr="00F01B6F" w:rsidRDefault="008F55F9" w:rsidP="00EA51BC">
      <w:pPr>
        <w:spacing w:line="480" w:lineRule="auto"/>
        <w:rPr>
          <w:rFonts w:ascii="Times New Roman" w:hAnsi="Times New Roman" w:cs="Times New Roman"/>
          <w:b/>
          <w:sz w:val="28"/>
          <w:szCs w:val="28"/>
        </w:rPr>
      </w:pPr>
      <w:r w:rsidRPr="00F01B6F">
        <w:rPr>
          <w:rFonts w:ascii="Times New Roman" w:hAnsi="Times New Roman" w:cs="Times New Roman"/>
          <w:b/>
          <w:sz w:val="28"/>
          <w:szCs w:val="28"/>
        </w:rPr>
        <w:t>Supplementary materials</w:t>
      </w:r>
    </w:p>
    <w:p w14:paraId="32F4E07C" w14:textId="77777777" w:rsidR="008F55F9" w:rsidRPr="00B95838" w:rsidRDefault="008F55F9" w:rsidP="00EA51BC">
      <w:pPr>
        <w:spacing w:line="480" w:lineRule="auto"/>
        <w:rPr>
          <w:rFonts w:ascii="Times New Roman" w:hAnsi="Times New Roman" w:cs="Times New Roman"/>
          <w:b/>
          <w:bCs/>
          <w:sz w:val="24"/>
          <w:szCs w:val="24"/>
        </w:rPr>
      </w:pPr>
    </w:p>
    <w:p w14:paraId="7754C0B9" w14:textId="77777777" w:rsidR="008F55F9" w:rsidRPr="00B95838" w:rsidRDefault="008F55F9" w:rsidP="00EA51BC">
      <w:pPr>
        <w:spacing w:line="480" w:lineRule="auto"/>
        <w:rPr>
          <w:rFonts w:ascii="Times New Roman" w:hAnsi="Times New Roman" w:cs="Times New Roman"/>
          <w:b/>
          <w:bCs/>
          <w:sz w:val="24"/>
          <w:szCs w:val="24"/>
        </w:rPr>
      </w:pPr>
      <w:r w:rsidRPr="00B95838">
        <w:rPr>
          <w:rFonts w:ascii="Times New Roman" w:hAnsi="Times New Roman" w:cs="Times New Roman"/>
          <w:b/>
          <w:bCs/>
          <w:sz w:val="24"/>
          <w:szCs w:val="24"/>
        </w:rPr>
        <w:t>Longitudinal Trajectories of Pneumonia Lesions and Lymphocyte Counts Associated with Disease Severity among Convalescent COVID-19 Patients: A Group-Based Multi-Trajectory Analysis</w:t>
      </w:r>
    </w:p>
    <w:p w14:paraId="37538FDF" w14:textId="77777777" w:rsidR="00FC1888" w:rsidRPr="000E5E71" w:rsidRDefault="00FC1888" w:rsidP="00FC1888">
      <w:pPr>
        <w:widowControl/>
        <w:rPr>
          <w:rFonts w:ascii="Times New Roman" w:eastAsia="AdvOTf3919c9c . B" w:hAnsi="Times New Roman"/>
          <w:kern w:val="0"/>
          <w:sz w:val="24"/>
          <w:lang w:bidi="ar"/>
        </w:rPr>
      </w:pPr>
      <w:r w:rsidRPr="000E5E71">
        <w:rPr>
          <w:rFonts w:ascii="Times New Roman" w:eastAsia="AdvOTf3919c9c . B" w:hAnsi="Times New Roman"/>
          <w:kern w:val="0"/>
          <w:sz w:val="24"/>
          <w:lang w:bidi="ar"/>
        </w:rPr>
        <w:t>*Joint first authors, contributed equally</w:t>
      </w:r>
    </w:p>
    <w:p w14:paraId="1BC334C8" w14:textId="77777777" w:rsidR="00FC1888" w:rsidRPr="000E5E71" w:rsidRDefault="00FC1888" w:rsidP="00FC1888">
      <w:pPr>
        <w:widowControl/>
        <w:rPr>
          <w:rFonts w:ascii="Times New Roman" w:eastAsia="AdvOTf3919c9c . B" w:hAnsi="Times New Roman"/>
          <w:kern w:val="0"/>
          <w:sz w:val="24"/>
          <w:lang w:bidi="ar"/>
        </w:rPr>
      </w:pPr>
      <w:r w:rsidRPr="000E5E71">
        <w:rPr>
          <w:rFonts w:ascii="Times New Roman" w:eastAsia="AdvOTf3919c9c . B" w:hAnsi="Times New Roman"/>
          <w:kern w:val="0"/>
          <w:sz w:val="24"/>
          <w:lang w:bidi="ar"/>
        </w:rPr>
        <w:t xml:space="preserve">1 Department of Radiology, Shanghai Public Health Clinical </w:t>
      </w:r>
      <w:proofErr w:type="spellStart"/>
      <w:r w:rsidRPr="000E5E71">
        <w:rPr>
          <w:rFonts w:ascii="Times New Roman" w:eastAsia="AdvOTf3919c9c . B" w:hAnsi="Times New Roman"/>
          <w:kern w:val="0"/>
          <w:sz w:val="24"/>
          <w:lang w:bidi="ar"/>
        </w:rPr>
        <w:t>Center</w:t>
      </w:r>
      <w:proofErr w:type="spellEnd"/>
      <w:r w:rsidRPr="000E5E71">
        <w:rPr>
          <w:rFonts w:ascii="Times New Roman" w:eastAsia="AdvOTf3919c9c . B" w:hAnsi="Times New Roman"/>
          <w:kern w:val="0"/>
          <w:sz w:val="24"/>
          <w:lang w:bidi="ar"/>
        </w:rPr>
        <w:t xml:space="preserve">, Fudan University, </w:t>
      </w:r>
      <w:r w:rsidRPr="000E5E71">
        <w:rPr>
          <w:rFonts w:ascii="Times New Roman" w:eastAsia="AdvOTf3919c9c . B" w:hAnsi="Times New Roman" w:hint="eastAsia"/>
          <w:kern w:val="0"/>
          <w:sz w:val="24"/>
          <w:lang w:bidi="ar"/>
        </w:rPr>
        <w:t>S</w:t>
      </w:r>
      <w:r w:rsidRPr="000E5E71">
        <w:rPr>
          <w:rFonts w:ascii="Times New Roman" w:eastAsia="AdvOTf3919c9c . B" w:hAnsi="Times New Roman"/>
          <w:kern w:val="0"/>
          <w:sz w:val="24"/>
          <w:lang w:bidi="ar"/>
        </w:rPr>
        <w:t xml:space="preserve">hanghai, China; </w:t>
      </w:r>
    </w:p>
    <w:p w14:paraId="2ACC9D2C" w14:textId="77777777" w:rsidR="00FC1888" w:rsidRPr="000E5E71" w:rsidRDefault="00FC1888" w:rsidP="00FC1888">
      <w:pPr>
        <w:widowControl/>
        <w:rPr>
          <w:rFonts w:ascii="Times New Roman" w:eastAsia="AdvOTf3919c9c . B" w:hAnsi="Times New Roman"/>
          <w:kern w:val="0"/>
          <w:sz w:val="24"/>
          <w:lang w:bidi="ar"/>
        </w:rPr>
      </w:pPr>
      <w:r w:rsidRPr="000E5E71">
        <w:rPr>
          <w:rFonts w:ascii="Times New Roman" w:eastAsia="AdvOTf3919c9c . B" w:hAnsi="Times New Roman"/>
          <w:kern w:val="0"/>
          <w:sz w:val="24"/>
          <w:lang w:bidi="ar"/>
        </w:rPr>
        <w:t xml:space="preserve">2 Shanghai Key Laboratory of Artificial Intelligence for Medical Image and Knowledge Graph, Shanghai, China; </w:t>
      </w:r>
    </w:p>
    <w:p w14:paraId="06B66386" w14:textId="77777777" w:rsidR="00FC1888" w:rsidRDefault="00FC1888" w:rsidP="00FC1888">
      <w:pPr>
        <w:widowControl/>
        <w:rPr>
          <w:rFonts w:ascii="Times New Roman" w:eastAsia="AdvOTf3919c9c . B" w:hAnsi="Times New Roman"/>
          <w:kern w:val="0"/>
          <w:sz w:val="24"/>
          <w:lang w:bidi="ar"/>
        </w:rPr>
      </w:pPr>
      <w:r w:rsidRPr="000E5E71">
        <w:rPr>
          <w:rFonts w:ascii="Times New Roman" w:eastAsia="AdvOTf3919c9c . B" w:hAnsi="Times New Roman"/>
          <w:kern w:val="0"/>
          <w:sz w:val="24"/>
          <w:lang w:bidi="ar"/>
        </w:rPr>
        <w:t>3</w:t>
      </w:r>
      <w:r>
        <w:rPr>
          <w:rFonts w:ascii="Times New Roman" w:eastAsia="AdvOTf3919c9c . B" w:hAnsi="Times New Roman"/>
          <w:kern w:val="0"/>
          <w:sz w:val="24"/>
          <w:lang w:bidi="ar"/>
        </w:rPr>
        <w:t xml:space="preserve"> </w:t>
      </w:r>
      <w:r w:rsidRPr="000E5E71">
        <w:rPr>
          <w:rFonts w:ascii="Times New Roman" w:eastAsia="AdvOTf3919c9c . B" w:hAnsi="Times New Roman" w:hint="eastAsia"/>
          <w:kern w:val="0"/>
          <w:sz w:val="24"/>
          <w:lang w:bidi="ar"/>
        </w:rPr>
        <w:t>I</w:t>
      </w:r>
      <w:r w:rsidRPr="000E5E71">
        <w:rPr>
          <w:rFonts w:ascii="Times New Roman" w:eastAsia="AdvOTf3919c9c . B" w:hAnsi="Times New Roman"/>
          <w:kern w:val="0"/>
          <w:sz w:val="24"/>
          <w:lang w:bidi="ar"/>
        </w:rPr>
        <w:t xml:space="preserve">nstitute of Healthcare Research, </w:t>
      </w:r>
      <w:proofErr w:type="spellStart"/>
      <w:r w:rsidRPr="000E5E71">
        <w:rPr>
          <w:rFonts w:ascii="Times New Roman" w:eastAsia="AdvOTf3919c9c . B" w:hAnsi="Times New Roman"/>
          <w:kern w:val="0"/>
          <w:sz w:val="24"/>
          <w:lang w:bidi="ar"/>
        </w:rPr>
        <w:t>Yizhi</w:t>
      </w:r>
      <w:proofErr w:type="spellEnd"/>
      <w:r w:rsidRPr="000E5E71">
        <w:rPr>
          <w:rFonts w:ascii="Times New Roman" w:eastAsia="AdvOTf3919c9c . B" w:hAnsi="Times New Roman"/>
          <w:kern w:val="0"/>
          <w:sz w:val="24"/>
          <w:lang w:bidi="ar"/>
        </w:rPr>
        <w:t>, Shanghai, China;</w:t>
      </w:r>
    </w:p>
    <w:p w14:paraId="1E14CA8C" w14:textId="77777777" w:rsidR="00FC1888" w:rsidRPr="000E5E71" w:rsidRDefault="00FC1888" w:rsidP="00FC1888">
      <w:pPr>
        <w:widowControl/>
        <w:rPr>
          <w:rFonts w:ascii="Times New Roman" w:eastAsia="AdvOTf3919c9c . B" w:hAnsi="Times New Roman"/>
          <w:kern w:val="0"/>
          <w:sz w:val="24"/>
          <w:lang w:bidi="ar"/>
        </w:rPr>
      </w:pPr>
      <w:r>
        <w:rPr>
          <w:rFonts w:ascii="Times New Roman" w:eastAsia="AdvOTf3919c9c . B" w:hAnsi="Times New Roman" w:hint="eastAsia"/>
          <w:kern w:val="0"/>
          <w:sz w:val="24"/>
          <w:lang w:bidi="ar"/>
        </w:rPr>
        <w:t>4</w:t>
      </w:r>
      <w:r>
        <w:rPr>
          <w:rFonts w:ascii="Times New Roman" w:eastAsia="AdvOTf3919c9c . B" w:hAnsi="Times New Roman"/>
          <w:kern w:val="0"/>
          <w:sz w:val="24"/>
          <w:lang w:bidi="ar"/>
        </w:rPr>
        <w:t xml:space="preserve"> </w:t>
      </w:r>
      <w:r w:rsidRPr="000E5E71">
        <w:rPr>
          <w:rFonts w:ascii="Times New Roman" w:eastAsia="AdvOTf3919c9c . B" w:hAnsi="Times New Roman"/>
          <w:kern w:val="0"/>
          <w:sz w:val="24"/>
          <w:lang w:bidi="ar"/>
        </w:rPr>
        <w:t xml:space="preserve">Shanghai Institute for Advanced Communication and Data Science, Shanghai University, Shanghai, China; </w:t>
      </w:r>
    </w:p>
    <w:p w14:paraId="1EAB1F8C" w14:textId="77777777" w:rsidR="00FC1888" w:rsidRPr="000E5E71" w:rsidRDefault="00FC1888" w:rsidP="00FC1888">
      <w:pPr>
        <w:widowControl/>
        <w:rPr>
          <w:rFonts w:ascii="Times New Roman" w:eastAsia="AdvOTf3919c9c . B" w:hAnsi="Times New Roman"/>
          <w:kern w:val="0"/>
          <w:sz w:val="24"/>
          <w:lang w:bidi="ar"/>
        </w:rPr>
      </w:pPr>
      <w:r>
        <w:rPr>
          <w:rFonts w:ascii="Times New Roman" w:eastAsia="AdvOTf3919c9c . B" w:hAnsi="Times New Roman" w:hint="eastAsia"/>
          <w:kern w:val="0"/>
          <w:sz w:val="24"/>
          <w:lang w:bidi="ar"/>
        </w:rPr>
        <w:t>5</w:t>
      </w:r>
      <w:r>
        <w:rPr>
          <w:rFonts w:ascii="Times New Roman" w:eastAsia="AdvOTf3919c9c . B" w:hAnsi="Times New Roman"/>
          <w:kern w:val="0"/>
          <w:sz w:val="24"/>
          <w:lang w:bidi="ar"/>
        </w:rPr>
        <w:t xml:space="preserve"> </w:t>
      </w:r>
      <w:r w:rsidRPr="000E5E71">
        <w:rPr>
          <w:rFonts w:ascii="Times New Roman" w:eastAsia="AdvOTf3919c9c . B" w:hAnsi="Times New Roman"/>
          <w:kern w:val="0"/>
          <w:sz w:val="24"/>
          <w:lang w:bidi="ar"/>
        </w:rPr>
        <w:t>School of Communication and Information Engineering, Shanghai University, Shanghai, China;</w:t>
      </w:r>
    </w:p>
    <w:p w14:paraId="25E60AAA" w14:textId="77777777" w:rsidR="00FC1888" w:rsidRPr="000E5E71" w:rsidRDefault="00FC1888" w:rsidP="00FC1888">
      <w:pPr>
        <w:widowControl/>
        <w:rPr>
          <w:rFonts w:ascii="Times New Roman" w:eastAsia="AdvOTf3919c9c . B" w:hAnsi="Times New Roman"/>
          <w:kern w:val="0"/>
          <w:sz w:val="24"/>
          <w:lang w:bidi="ar"/>
        </w:rPr>
      </w:pPr>
      <w:r w:rsidRPr="000E5E71">
        <w:rPr>
          <w:rFonts w:ascii="Times New Roman" w:eastAsia="AdvOTf3919c9c . B" w:hAnsi="Times New Roman"/>
          <w:kern w:val="0"/>
          <w:sz w:val="24"/>
          <w:lang w:bidi="ar"/>
        </w:rPr>
        <w:t>6 Fudan University, Shanghai, China;</w:t>
      </w:r>
    </w:p>
    <w:p w14:paraId="0533D635" w14:textId="77777777" w:rsidR="00FC1888" w:rsidRPr="000E5E71" w:rsidRDefault="00FC1888" w:rsidP="00FC1888">
      <w:pPr>
        <w:widowControl/>
        <w:rPr>
          <w:rFonts w:ascii="Times New Roman" w:eastAsia="AdvOTf3919c9c . B" w:hAnsi="Times New Roman"/>
          <w:kern w:val="0"/>
          <w:sz w:val="24"/>
          <w:lang w:bidi="ar"/>
        </w:rPr>
      </w:pPr>
    </w:p>
    <w:p w14:paraId="30AD5671" w14:textId="77777777" w:rsidR="00FC1888" w:rsidRPr="000E5E71" w:rsidRDefault="00FC1888" w:rsidP="00FC1888">
      <w:pPr>
        <w:widowControl/>
        <w:rPr>
          <w:rFonts w:ascii="Times New Roman" w:eastAsia="AdvOTf3919c9c . B" w:hAnsi="Times New Roman"/>
          <w:kern w:val="0"/>
          <w:sz w:val="24"/>
          <w:lang w:bidi="ar"/>
        </w:rPr>
      </w:pPr>
      <w:r>
        <w:rPr>
          <w:rFonts w:ascii="Times New Roman" w:eastAsia="AdvOTf3919c9c . B" w:hAnsi="Times New Roman"/>
          <w:kern w:val="0"/>
          <w:sz w:val="24"/>
          <w:vertAlign w:val="superscript"/>
          <w:lang w:bidi="ar"/>
        </w:rPr>
        <w:t>#</w:t>
      </w:r>
      <w:r w:rsidRPr="000E5E71">
        <w:rPr>
          <w:rFonts w:ascii="Times New Roman" w:eastAsia="AdvOTf3919c9c . B" w:hAnsi="Times New Roman"/>
          <w:kern w:val="0"/>
          <w:sz w:val="24"/>
          <w:lang w:bidi="ar"/>
        </w:rPr>
        <w:t>Correspondence to:</w:t>
      </w:r>
    </w:p>
    <w:p w14:paraId="04DA06D2" w14:textId="77777777" w:rsidR="00FC1888" w:rsidRPr="000E5E71" w:rsidRDefault="00FC1888" w:rsidP="00FC1888">
      <w:pPr>
        <w:widowControl/>
        <w:rPr>
          <w:rFonts w:ascii="Times New Roman" w:eastAsia="AdvOTf3919c9c . B" w:hAnsi="Times New Roman"/>
          <w:kern w:val="0"/>
          <w:sz w:val="24"/>
          <w:lang w:bidi="ar"/>
        </w:rPr>
      </w:pPr>
      <w:bookmarkStart w:id="0" w:name="_Hlk35028603"/>
      <w:r w:rsidRPr="000E5E71">
        <w:rPr>
          <w:rFonts w:ascii="Times New Roman" w:eastAsia="AdvOTf3919c9c . B" w:hAnsi="Times New Roman"/>
          <w:kern w:val="0"/>
          <w:sz w:val="24"/>
          <w:lang w:bidi="ar"/>
        </w:rPr>
        <w:t xml:space="preserve">Prof </w:t>
      </w:r>
      <w:proofErr w:type="spellStart"/>
      <w:r w:rsidRPr="000E5E71">
        <w:rPr>
          <w:rFonts w:ascii="Times New Roman" w:eastAsia="AdvOTf3919c9c . B" w:hAnsi="Times New Roman"/>
          <w:kern w:val="0"/>
          <w:sz w:val="24"/>
          <w:lang w:bidi="ar"/>
        </w:rPr>
        <w:t>Yuxin</w:t>
      </w:r>
      <w:proofErr w:type="spellEnd"/>
      <w:r w:rsidRPr="000E5E71">
        <w:rPr>
          <w:rFonts w:ascii="Times New Roman" w:eastAsia="AdvOTf3919c9c . B" w:hAnsi="Times New Roman"/>
          <w:kern w:val="0"/>
          <w:sz w:val="24"/>
          <w:lang w:bidi="ar"/>
        </w:rPr>
        <w:t xml:space="preserve"> Shi,</w:t>
      </w:r>
    </w:p>
    <w:p w14:paraId="3B444AA1" w14:textId="77777777" w:rsidR="00FC1888" w:rsidRPr="000E5E71" w:rsidRDefault="00FC1888" w:rsidP="00FC1888">
      <w:pPr>
        <w:widowControl/>
        <w:rPr>
          <w:rFonts w:ascii="Times New Roman" w:eastAsia="AdvOTf3919c9c . B" w:hAnsi="Times New Roman"/>
          <w:kern w:val="0"/>
          <w:sz w:val="24"/>
          <w:lang w:bidi="ar"/>
        </w:rPr>
      </w:pPr>
      <w:r w:rsidRPr="000E5E71">
        <w:rPr>
          <w:rFonts w:ascii="Times New Roman" w:eastAsia="AdvOTf3919c9c . B" w:hAnsi="Times New Roman"/>
          <w:kern w:val="0"/>
          <w:sz w:val="24"/>
          <w:lang w:bidi="ar"/>
        </w:rPr>
        <w:t xml:space="preserve">Department of Radiology, Shanghai Public Health Clinical </w:t>
      </w:r>
      <w:proofErr w:type="spellStart"/>
      <w:r w:rsidRPr="000E5E71">
        <w:rPr>
          <w:rFonts w:ascii="Times New Roman" w:eastAsia="AdvOTf3919c9c . B" w:hAnsi="Times New Roman"/>
          <w:kern w:val="0"/>
          <w:sz w:val="24"/>
          <w:lang w:bidi="ar"/>
        </w:rPr>
        <w:t>Center</w:t>
      </w:r>
      <w:proofErr w:type="spellEnd"/>
      <w:r w:rsidRPr="000E5E71">
        <w:rPr>
          <w:rFonts w:ascii="Times New Roman" w:eastAsia="AdvOTf3919c9c . B" w:hAnsi="Times New Roman"/>
          <w:kern w:val="0"/>
          <w:sz w:val="24"/>
          <w:lang w:bidi="ar"/>
        </w:rPr>
        <w:t xml:space="preserve">, Fudan University, </w:t>
      </w:r>
      <w:r w:rsidRPr="000E5E71">
        <w:rPr>
          <w:rFonts w:ascii="Times New Roman" w:eastAsia="AdvOTf3919c9c . B" w:hAnsi="Times New Roman" w:hint="eastAsia"/>
          <w:kern w:val="0"/>
          <w:sz w:val="24"/>
          <w:lang w:bidi="ar"/>
        </w:rPr>
        <w:t>S</w:t>
      </w:r>
      <w:r w:rsidRPr="000E5E71">
        <w:rPr>
          <w:rFonts w:ascii="Times New Roman" w:eastAsia="AdvOTf3919c9c . B" w:hAnsi="Times New Roman"/>
          <w:kern w:val="0"/>
          <w:sz w:val="24"/>
          <w:lang w:bidi="ar"/>
        </w:rPr>
        <w:t>hanghai 201508, China</w:t>
      </w:r>
    </w:p>
    <w:p w14:paraId="45EFE000" w14:textId="77777777" w:rsidR="00FC1888" w:rsidRDefault="00FC1888" w:rsidP="00FC1888">
      <w:pPr>
        <w:widowControl/>
        <w:rPr>
          <w:rFonts w:ascii="Times New Roman" w:eastAsia="AdvOTf3919c9c . B" w:hAnsi="Times New Roman"/>
          <w:kern w:val="0"/>
          <w:sz w:val="24"/>
          <w:lang w:bidi="ar"/>
        </w:rPr>
      </w:pPr>
      <w:hyperlink r:id="rId8" w:history="1">
        <w:r w:rsidRPr="0036786E">
          <w:rPr>
            <w:rStyle w:val="af0"/>
            <w:rFonts w:ascii="Times New Roman" w:eastAsia="AdvOTf3919c9c . B" w:hAnsi="Times New Roman"/>
            <w:kern w:val="0"/>
            <w:sz w:val="24"/>
            <w:lang w:bidi="ar"/>
          </w:rPr>
          <w:t>shiyx828288@163.com</w:t>
        </w:r>
      </w:hyperlink>
    </w:p>
    <w:p w14:paraId="1E712DDA" w14:textId="77777777" w:rsidR="00FC1888" w:rsidRPr="00781F93" w:rsidRDefault="00FC1888" w:rsidP="00FC1888">
      <w:pPr>
        <w:widowControl/>
        <w:rPr>
          <w:rFonts w:ascii="Times New Roman" w:eastAsia="AdvOTf3919c9c . B" w:hAnsi="Times New Roman"/>
          <w:kern w:val="0"/>
          <w:sz w:val="24"/>
          <w:lang w:bidi="ar"/>
        </w:rPr>
      </w:pPr>
      <w:r w:rsidRPr="00781F93">
        <w:rPr>
          <w:rFonts w:ascii="Times New Roman" w:eastAsia="AdvOTf3919c9c . B" w:hAnsi="Times New Roman"/>
          <w:kern w:val="0"/>
          <w:sz w:val="24"/>
          <w:lang w:bidi="ar"/>
        </w:rPr>
        <w:t>or</w:t>
      </w:r>
    </w:p>
    <w:p w14:paraId="76F8D377" w14:textId="77777777" w:rsidR="00FC1888" w:rsidRPr="00781F93" w:rsidRDefault="00FC1888" w:rsidP="00FC1888">
      <w:pPr>
        <w:widowControl/>
        <w:rPr>
          <w:rFonts w:ascii="Times New Roman" w:eastAsia="AdvOTf3919c9c . B" w:hAnsi="Times New Roman"/>
          <w:kern w:val="0"/>
          <w:sz w:val="24"/>
          <w:lang w:bidi="ar"/>
        </w:rPr>
      </w:pPr>
      <w:proofErr w:type="spellStart"/>
      <w:r w:rsidRPr="00781F93">
        <w:rPr>
          <w:rFonts w:ascii="Times New Roman" w:eastAsia="AdvOTf3919c9c . B" w:hAnsi="Times New Roman"/>
          <w:kern w:val="0"/>
          <w:sz w:val="24"/>
          <w:lang w:bidi="ar"/>
        </w:rPr>
        <w:t>Dr.</w:t>
      </w:r>
      <w:proofErr w:type="spellEnd"/>
      <w:r w:rsidRPr="00781F93">
        <w:rPr>
          <w:rFonts w:ascii="Times New Roman" w:eastAsia="AdvOTf3919c9c . B" w:hAnsi="Times New Roman"/>
          <w:kern w:val="0"/>
          <w:sz w:val="24"/>
          <w:lang w:bidi="ar"/>
        </w:rPr>
        <w:t xml:space="preserve"> Lei Shi,</w:t>
      </w:r>
    </w:p>
    <w:p w14:paraId="42D5832D" w14:textId="77777777" w:rsidR="00FC1888" w:rsidRPr="00781F93" w:rsidRDefault="00FC1888" w:rsidP="00FC1888">
      <w:pPr>
        <w:widowControl/>
        <w:rPr>
          <w:rFonts w:ascii="Times New Roman" w:eastAsia="AdvOTf3919c9c . B" w:hAnsi="Times New Roman"/>
          <w:kern w:val="0"/>
          <w:sz w:val="24"/>
          <w:lang w:bidi="ar"/>
        </w:rPr>
      </w:pPr>
      <w:r w:rsidRPr="00781F93">
        <w:rPr>
          <w:rFonts w:ascii="Times New Roman" w:eastAsia="AdvOTf3919c9c . B" w:hAnsi="Times New Roman"/>
          <w:kern w:val="0"/>
          <w:sz w:val="24"/>
          <w:lang w:bidi="ar"/>
        </w:rPr>
        <w:t xml:space="preserve">Institute of Healthcare Research, </w:t>
      </w:r>
      <w:proofErr w:type="spellStart"/>
      <w:r w:rsidRPr="00781F93">
        <w:rPr>
          <w:rFonts w:ascii="Times New Roman" w:eastAsia="AdvOTf3919c9c . B" w:hAnsi="Times New Roman"/>
          <w:kern w:val="0"/>
          <w:sz w:val="24"/>
          <w:lang w:bidi="ar"/>
        </w:rPr>
        <w:t>Yizhi</w:t>
      </w:r>
      <w:proofErr w:type="spellEnd"/>
      <w:r w:rsidRPr="00781F93">
        <w:rPr>
          <w:rFonts w:ascii="Times New Roman" w:eastAsia="AdvOTf3919c9c . B" w:hAnsi="Times New Roman"/>
          <w:kern w:val="0"/>
          <w:sz w:val="24"/>
          <w:lang w:bidi="ar"/>
        </w:rPr>
        <w:t>, Shanghai 200051, China</w:t>
      </w:r>
    </w:p>
    <w:p w14:paraId="1416346F" w14:textId="77777777" w:rsidR="00FC1888" w:rsidRPr="00781F93" w:rsidRDefault="00FC1888" w:rsidP="00FC1888">
      <w:pPr>
        <w:widowControl/>
        <w:rPr>
          <w:rFonts w:ascii="Times New Roman" w:eastAsia="AdvOTf3919c9c . B" w:hAnsi="Times New Roman"/>
          <w:kern w:val="0"/>
          <w:sz w:val="24"/>
          <w:lang w:bidi="ar"/>
        </w:rPr>
      </w:pPr>
      <w:r w:rsidRPr="00781F93">
        <w:rPr>
          <w:rFonts w:ascii="Times New Roman" w:eastAsia="AdvOTf3919c9c . B" w:hAnsi="Times New Roman"/>
          <w:kern w:val="0"/>
          <w:sz w:val="24"/>
          <w:lang w:bidi="ar"/>
        </w:rPr>
        <w:t>shilei_mr@163.com</w:t>
      </w:r>
    </w:p>
    <w:bookmarkEnd w:id="0"/>
    <w:p w14:paraId="09726495" w14:textId="77777777" w:rsidR="008F55F9" w:rsidRPr="00FC1888" w:rsidRDefault="008F55F9" w:rsidP="00EA51BC">
      <w:pPr>
        <w:spacing w:line="480" w:lineRule="auto"/>
        <w:rPr>
          <w:rFonts w:ascii="Times New Roman" w:hAnsi="Times New Roman" w:cs="Times New Roman"/>
          <w:sz w:val="24"/>
          <w:szCs w:val="24"/>
        </w:rPr>
      </w:pPr>
    </w:p>
    <w:p w14:paraId="048966D9" w14:textId="77777777" w:rsidR="008F55F9" w:rsidRPr="00B95838" w:rsidRDefault="008F55F9" w:rsidP="00EA51BC">
      <w:pPr>
        <w:spacing w:line="480" w:lineRule="auto"/>
        <w:rPr>
          <w:rFonts w:ascii="Times New Roman" w:hAnsi="Times New Roman" w:cs="Times New Roman"/>
          <w:b/>
          <w:sz w:val="24"/>
          <w:szCs w:val="24"/>
        </w:rPr>
      </w:pPr>
      <w:r w:rsidRPr="00B95838">
        <w:rPr>
          <w:rFonts w:ascii="Times New Roman" w:hAnsi="Times New Roman" w:cs="Times New Roman"/>
          <w:b/>
          <w:sz w:val="24"/>
          <w:szCs w:val="24"/>
        </w:rPr>
        <w:t>Methods</w:t>
      </w:r>
    </w:p>
    <w:p w14:paraId="263B4795" w14:textId="77777777" w:rsidR="008F55F9" w:rsidRPr="00B95838" w:rsidRDefault="008F55F9" w:rsidP="00EA51BC">
      <w:pPr>
        <w:spacing w:line="480" w:lineRule="auto"/>
        <w:rPr>
          <w:rFonts w:ascii="Times New Roman" w:hAnsi="Times New Roman" w:cs="Times New Roman"/>
          <w:b/>
          <w:sz w:val="24"/>
          <w:szCs w:val="24"/>
        </w:rPr>
      </w:pPr>
      <w:r w:rsidRPr="00B95838">
        <w:rPr>
          <w:rFonts w:ascii="Times New Roman" w:hAnsi="Times New Roman" w:cs="Times New Roman"/>
          <w:b/>
          <w:sz w:val="24"/>
          <w:szCs w:val="24"/>
        </w:rPr>
        <w:t>Chest CT acquisition and AI-based COVID-19 pneumonia lesion quantification</w:t>
      </w:r>
    </w:p>
    <w:p w14:paraId="4B35F42C" w14:textId="77777777" w:rsidR="008F55F9" w:rsidRPr="00B95838" w:rsidRDefault="008F55F9" w:rsidP="00EA51BC">
      <w:pPr>
        <w:spacing w:line="480" w:lineRule="auto"/>
        <w:ind w:firstLine="420"/>
        <w:rPr>
          <w:rFonts w:ascii="Times New Roman" w:hAnsi="Times New Roman" w:cs="Times New Roman"/>
          <w:sz w:val="24"/>
          <w:szCs w:val="24"/>
        </w:rPr>
      </w:pPr>
      <w:r w:rsidRPr="00B95838">
        <w:rPr>
          <w:rFonts w:ascii="Times New Roman" w:hAnsi="Times New Roman" w:cs="Times New Roman"/>
          <w:sz w:val="24"/>
          <w:szCs w:val="24"/>
        </w:rPr>
        <w:t>SCENARIA 64 CT (Hitachi Medical, Japan), Brilliance 64 CT (</w:t>
      </w:r>
      <w:bookmarkStart w:id="1" w:name="OLE_LINK24"/>
      <w:bookmarkStart w:id="2" w:name="OLE_LINK25"/>
      <w:r w:rsidRPr="00B95838">
        <w:rPr>
          <w:rFonts w:ascii="Times New Roman" w:hAnsi="Times New Roman" w:cs="Times New Roman"/>
          <w:sz w:val="24"/>
          <w:szCs w:val="24"/>
        </w:rPr>
        <w:t>Philips</w:t>
      </w:r>
      <w:bookmarkEnd w:id="1"/>
      <w:bookmarkEnd w:id="2"/>
      <w:r w:rsidRPr="00B95838">
        <w:rPr>
          <w:rFonts w:ascii="Times New Roman" w:hAnsi="Times New Roman" w:cs="Times New Roman"/>
          <w:sz w:val="24"/>
          <w:szCs w:val="24"/>
        </w:rPr>
        <w:t>, Netherlands), and uCT528 (United Imaging, China) were used with scanning parameters of 120 kV. The low-dose chest smart milliampere (180 mA-400 mA) scanning method was used to reduce the dose. Other CT imaging protocol settings were as follows: rotation time: 0.5 second; collimation: 0.625 mm; pitch: 1.5; and matrix: 512 x 512. Reconstruction was performed with a thickness of 1 mm.</w:t>
      </w:r>
    </w:p>
    <w:p w14:paraId="6FE51C0A" w14:textId="44EA7726" w:rsidR="008F55F9" w:rsidRPr="00B95838" w:rsidRDefault="008F55F9" w:rsidP="00EA51BC">
      <w:pPr>
        <w:spacing w:line="480" w:lineRule="auto"/>
        <w:ind w:firstLine="420"/>
        <w:rPr>
          <w:rFonts w:ascii="Times New Roman" w:hAnsi="Times New Roman" w:cs="Times New Roman"/>
          <w:sz w:val="24"/>
          <w:szCs w:val="24"/>
        </w:rPr>
      </w:pPr>
      <w:r w:rsidRPr="00B95838">
        <w:rPr>
          <w:rFonts w:ascii="Times New Roman" w:hAnsi="Times New Roman" w:cs="Times New Roman"/>
          <w:sz w:val="24"/>
          <w:szCs w:val="24"/>
        </w:rPr>
        <w:lastRenderedPageBreak/>
        <w:t xml:space="preserve">As shown in </w:t>
      </w:r>
      <w:r w:rsidRPr="00B95838">
        <w:rPr>
          <w:rFonts w:ascii="Times New Roman" w:hAnsi="Times New Roman" w:cs="Times New Roman"/>
          <w:b/>
          <w:sz w:val="24"/>
          <w:szCs w:val="24"/>
        </w:rPr>
        <w:t>Figure S1</w:t>
      </w:r>
      <w:r w:rsidRPr="00B95838">
        <w:rPr>
          <w:rFonts w:ascii="Times New Roman" w:hAnsi="Times New Roman" w:cs="Times New Roman"/>
          <w:sz w:val="24"/>
          <w:szCs w:val="24"/>
        </w:rPr>
        <w:t>, the Quantitative Evaluation System of CT for COVID-19 (YT-CT-Lung, YITU Healthcare Technology Co., Ltd., China) was employed as the CT image quantisation and analysis tool under the supervision of two board-certified radiologists with more than 10 years of experience. The system combined a fully convolutional network with adaptive thresholding and morphological operations for segmentation of lungs and pneumonia lesions</w:t>
      </w:r>
      <w:r w:rsidR="004136FF">
        <w:rPr>
          <w:rFonts w:ascii="Times New Roman" w:hAnsi="Times New Roman" w:cs="Times New Roman"/>
          <w:sz w:val="24"/>
          <w:szCs w:val="24"/>
        </w:rPr>
        <w:fldChar w:fldCharType="begin"/>
      </w:r>
      <w:r w:rsidR="00EA51BC">
        <w:rPr>
          <w:rFonts w:ascii="Times New Roman" w:hAnsi="Times New Roman" w:cs="Times New Roman"/>
          <w:sz w:val="24"/>
          <w:szCs w:val="24"/>
        </w:rPr>
        <w:instrText xml:space="preserve"> ADDIN NE.Ref.{6AEF395C-0A09-4882-B129-5F972536C302}</w:instrText>
      </w:r>
      <w:r w:rsidR="004136FF">
        <w:rPr>
          <w:rFonts w:ascii="Times New Roman" w:hAnsi="Times New Roman" w:cs="Times New Roman"/>
          <w:sz w:val="24"/>
          <w:szCs w:val="24"/>
        </w:rPr>
        <w:fldChar w:fldCharType="separate"/>
      </w:r>
      <w:r w:rsidR="00EA51BC">
        <w:rPr>
          <w:rFonts w:ascii="Times New Roman" w:hAnsi="Times New Roman" w:cs="Times New Roman"/>
          <w:color w:val="080000"/>
          <w:kern w:val="0"/>
          <w:sz w:val="24"/>
          <w:szCs w:val="24"/>
          <w:lang w:val="en-US"/>
        </w:rPr>
        <w:t>(1, 2)</w:t>
      </w:r>
      <w:r w:rsidR="004136FF">
        <w:rPr>
          <w:rFonts w:ascii="Times New Roman" w:hAnsi="Times New Roman" w:cs="Times New Roman"/>
          <w:sz w:val="24"/>
          <w:szCs w:val="24"/>
        </w:rPr>
        <w:fldChar w:fldCharType="end"/>
      </w:r>
      <w:r w:rsidRPr="00B95838">
        <w:rPr>
          <w:rFonts w:ascii="Times New Roman" w:hAnsi="Times New Roman" w:cs="Times New Roman"/>
          <w:sz w:val="24"/>
          <w:szCs w:val="24"/>
        </w:rPr>
        <w:t>. External validation with 383 axial CT images from 206 patients had a Dice coefficient of 82.08% for COVID-19 pneumonia lesion segmentation</w:t>
      </w:r>
      <w:r w:rsidR="004136FF">
        <w:rPr>
          <w:rFonts w:ascii="Times New Roman" w:hAnsi="Times New Roman" w:cs="Times New Roman"/>
          <w:sz w:val="24"/>
          <w:szCs w:val="24"/>
        </w:rPr>
        <w:fldChar w:fldCharType="begin"/>
      </w:r>
      <w:r w:rsidR="00EA51BC">
        <w:rPr>
          <w:rFonts w:ascii="Times New Roman" w:hAnsi="Times New Roman" w:cs="Times New Roman"/>
          <w:sz w:val="24"/>
          <w:szCs w:val="24"/>
        </w:rPr>
        <w:instrText xml:space="preserve"> ADDIN NE.Ref.{9A3173DA-F797-4621-B84C-CF141A484A97}</w:instrText>
      </w:r>
      <w:r w:rsidR="004136FF">
        <w:rPr>
          <w:rFonts w:ascii="Times New Roman" w:hAnsi="Times New Roman" w:cs="Times New Roman"/>
          <w:sz w:val="24"/>
          <w:szCs w:val="24"/>
        </w:rPr>
        <w:fldChar w:fldCharType="separate"/>
      </w:r>
      <w:r w:rsidR="00EA51BC">
        <w:rPr>
          <w:rFonts w:ascii="Times New Roman" w:hAnsi="Times New Roman" w:cs="Times New Roman"/>
          <w:color w:val="080000"/>
          <w:kern w:val="0"/>
          <w:sz w:val="24"/>
          <w:szCs w:val="24"/>
          <w:lang w:val="en-US"/>
        </w:rPr>
        <w:t>(3)</w:t>
      </w:r>
      <w:r w:rsidR="004136FF">
        <w:rPr>
          <w:rFonts w:ascii="Times New Roman" w:hAnsi="Times New Roman" w:cs="Times New Roman"/>
          <w:sz w:val="24"/>
          <w:szCs w:val="24"/>
        </w:rPr>
        <w:fldChar w:fldCharType="end"/>
      </w:r>
      <w:r w:rsidRPr="00B95838">
        <w:rPr>
          <w:rFonts w:ascii="Times New Roman" w:hAnsi="Times New Roman" w:cs="Times New Roman"/>
          <w:sz w:val="24"/>
          <w:szCs w:val="24"/>
        </w:rPr>
        <w:t>. Pneumonia lesion volumes and lung volumes were calculated with the segmentation masks and were used to compute the percentages of lung volumes involved with pneumonia lesions (hereinafter referred to as lesion percentage).</w:t>
      </w:r>
    </w:p>
    <w:p w14:paraId="4371A697" w14:textId="77777777" w:rsidR="008F55F9" w:rsidRPr="00B95838" w:rsidRDefault="008F55F9" w:rsidP="00EA51BC">
      <w:pPr>
        <w:spacing w:line="480" w:lineRule="auto"/>
        <w:rPr>
          <w:rFonts w:ascii="Times New Roman" w:hAnsi="Times New Roman" w:cs="Times New Roman"/>
          <w:sz w:val="24"/>
          <w:szCs w:val="24"/>
        </w:rPr>
      </w:pPr>
    </w:p>
    <w:p w14:paraId="7A10CB8A" w14:textId="764DC3A3" w:rsidR="008F55F9" w:rsidRPr="00B95838" w:rsidRDefault="008F55F9" w:rsidP="00EA51BC">
      <w:pPr>
        <w:spacing w:line="480" w:lineRule="auto"/>
        <w:rPr>
          <w:rFonts w:ascii="Times New Roman" w:hAnsi="Times New Roman" w:cs="Times New Roman"/>
          <w:b/>
          <w:sz w:val="24"/>
          <w:szCs w:val="24"/>
        </w:rPr>
      </w:pPr>
      <w:r w:rsidRPr="00B95838">
        <w:rPr>
          <w:rFonts w:ascii="Times New Roman" w:hAnsi="Times New Roman" w:cs="Times New Roman"/>
          <w:b/>
          <w:sz w:val="24"/>
          <w:szCs w:val="24"/>
        </w:rPr>
        <w:t xml:space="preserve">Steps of the group-based multi-trajectory </w:t>
      </w:r>
      <w:proofErr w:type="spellStart"/>
      <w:r w:rsidRPr="00B95838">
        <w:rPr>
          <w:rFonts w:ascii="Times New Roman" w:hAnsi="Times New Roman" w:cs="Times New Roman"/>
          <w:b/>
          <w:sz w:val="24"/>
          <w:szCs w:val="24"/>
        </w:rPr>
        <w:t>model</w:t>
      </w:r>
      <w:r w:rsidR="009029DF">
        <w:rPr>
          <w:rFonts w:ascii="Times New Roman" w:hAnsi="Times New Roman" w:cs="Times New Roman" w:hint="eastAsia"/>
          <w:b/>
          <w:sz w:val="24"/>
          <w:szCs w:val="24"/>
        </w:rPr>
        <w:t>ing</w:t>
      </w:r>
      <w:proofErr w:type="spellEnd"/>
      <w:r w:rsidR="00903C6E">
        <w:rPr>
          <w:rFonts w:ascii="Times New Roman" w:hAnsi="Times New Roman" w:cs="Times New Roman"/>
          <w:b/>
          <w:sz w:val="24"/>
          <w:szCs w:val="24"/>
        </w:rPr>
        <w:t xml:space="preserve"> (GBMTM)</w:t>
      </w:r>
      <w:r w:rsidRPr="00B95838">
        <w:rPr>
          <w:rFonts w:ascii="Times New Roman" w:hAnsi="Times New Roman" w:cs="Times New Roman"/>
          <w:b/>
          <w:sz w:val="24"/>
          <w:szCs w:val="24"/>
        </w:rPr>
        <w:t xml:space="preserve"> and assessment of the model</w:t>
      </w:r>
    </w:p>
    <w:p w14:paraId="3AFBAD70" w14:textId="38D1D3A8" w:rsidR="00F0745C" w:rsidRPr="003C7EED" w:rsidRDefault="00F0745C" w:rsidP="00EA51BC">
      <w:pPr>
        <w:spacing w:line="480" w:lineRule="auto"/>
        <w:ind w:firstLine="420"/>
        <w:rPr>
          <w:rFonts w:ascii="Times New Roman" w:hAnsi="Times New Roman" w:cs="Times New Roman"/>
          <w:sz w:val="24"/>
          <w:szCs w:val="24"/>
        </w:rPr>
      </w:pPr>
      <w:r w:rsidRPr="00B95838">
        <w:rPr>
          <w:rFonts w:ascii="Times New Roman" w:hAnsi="Times New Roman" w:cs="Times New Roman"/>
          <w:sz w:val="24"/>
          <w:szCs w:val="24"/>
        </w:rPr>
        <w:t>GBMTM uses maximum likelihood estimation to estimate both the trajectory shape for each group (modelled as a complex function of the biomarkers and time) and the estimated probabilities of each individual belonging to each trajectory group given their observed data</w:t>
      </w:r>
      <w:r w:rsidR="00616627">
        <w:rPr>
          <w:rFonts w:ascii="Times New Roman" w:hAnsi="Times New Roman" w:cs="Times New Roman"/>
          <w:sz w:val="24"/>
          <w:szCs w:val="24"/>
        </w:rPr>
        <w:fldChar w:fldCharType="begin"/>
      </w:r>
      <w:r w:rsidR="00EA51BC">
        <w:rPr>
          <w:rFonts w:ascii="Times New Roman" w:hAnsi="Times New Roman" w:cs="Times New Roman"/>
          <w:sz w:val="24"/>
          <w:szCs w:val="24"/>
        </w:rPr>
        <w:instrText xml:space="preserve"> ADDIN NE.Ref.{B92275B8-4546-47AF-90DE-3B4B2222D85A}</w:instrText>
      </w:r>
      <w:r w:rsidR="00616627">
        <w:rPr>
          <w:rFonts w:ascii="Times New Roman" w:hAnsi="Times New Roman" w:cs="Times New Roman"/>
          <w:sz w:val="24"/>
          <w:szCs w:val="24"/>
        </w:rPr>
        <w:fldChar w:fldCharType="separate"/>
      </w:r>
      <w:r w:rsidR="00EA51BC">
        <w:rPr>
          <w:rFonts w:ascii="Times New Roman" w:hAnsi="Times New Roman" w:cs="Times New Roman"/>
          <w:color w:val="080000"/>
          <w:kern w:val="0"/>
          <w:sz w:val="24"/>
          <w:szCs w:val="24"/>
          <w:lang w:val="en-US"/>
        </w:rPr>
        <w:t>(4)</w:t>
      </w:r>
      <w:r w:rsidR="00616627">
        <w:rPr>
          <w:rFonts w:ascii="Times New Roman" w:hAnsi="Times New Roman" w:cs="Times New Roman"/>
          <w:sz w:val="24"/>
          <w:szCs w:val="24"/>
        </w:rPr>
        <w:fldChar w:fldCharType="end"/>
      </w:r>
      <w:r w:rsidRPr="00B95838">
        <w:rPr>
          <w:rFonts w:ascii="Times New Roman" w:hAnsi="Times New Roman" w:cs="Times New Roman"/>
          <w:sz w:val="24"/>
          <w:szCs w:val="24"/>
        </w:rPr>
        <w:t>. Each individual is then assigned to a specific group based on the highest probability of group membership. The number of trajectory groups and order of the polynomials of time function are not actually known priori and are clarified using systematic model search following the guides in Nagin et al.</w:t>
      </w:r>
      <w:r w:rsidR="00616627">
        <w:rPr>
          <w:rFonts w:ascii="Times New Roman" w:hAnsi="Times New Roman" w:cs="Times New Roman"/>
          <w:sz w:val="24"/>
          <w:szCs w:val="24"/>
        </w:rPr>
        <w:fldChar w:fldCharType="begin"/>
      </w:r>
      <w:r w:rsidR="00EA51BC">
        <w:rPr>
          <w:rFonts w:ascii="Times New Roman" w:hAnsi="Times New Roman" w:cs="Times New Roman"/>
          <w:sz w:val="24"/>
          <w:szCs w:val="24"/>
        </w:rPr>
        <w:instrText xml:space="preserve"> ADDIN NE.Ref.{BAF7DCF6-04B8-4BB3-87CD-32BC8AB230B4}</w:instrText>
      </w:r>
      <w:r w:rsidR="00616627">
        <w:rPr>
          <w:rFonts w:ascii="Times New Roman" w:hAnsi="Times New Roman" w:cs="Times New Roman"/>
          <w:sz w:val="24"/>
          <w:szCs w:val="24"/>
        </w:rPr>
        <w:fldChar w:fldCharType="separate"/>
      </w:r>
      <w:r w:rsidR="00EA51BC">
        <w:rPr>
          <w:rFonts w:ascii="Times New Roman" w:hAnsi="Times New Roman" w:cs="Times New Roman"/>
          <w:color w:val="080000"/>
          <w:kern w:val="0"/>
          <w:sz w:val="24"/>
          <w:szCs w:val="24"/>
          <w:lang w:val="en-US"/>
        </w:rPr>
        <w:t>(4-6)</w:t>
      </w:r>
      <w:r w:rsidR="00616627">
        <w:rPr>
          <w:rFonts w:ascii="Times New Roman" w:hAnsi="Times New Roman" w:cs="Times New Roman"/>
          <w:sz w:val="24"/>
          <w:szCs w:val="24"/>
        </w:rPr>
        <w:fldChar w:fldCharType="end"/>
      </w:r>
      <w:r w:rsidR="00616627">
        <w:rPr>
          <w:rFonts w:ascii="Times New Roman" w:hAnsi="Times New Roman" w:cs="Times New Roman"/>
          <w:sz w:val="24"/>
          <w:szCs w:val="24"/>
        </w:rPr>
        <w:t xml:space="preserve"> 112122  </w:t>
      </w:r>
      <w:r w:rsidRPr="00B95838">
        <w:rPr>
          <w:rFonts w:ascii="Times New Roman" w:hAnsi="Times New Roman" w:cs="Times New Roman"/>
          <w:sz w:val="24"/>
          <w:szCs w:val="24"/>
        </w:rPr>
        <w:t>. In our analyses, both lesion percentage and lymphocyte count were modelled assuming a censored normal distribution and identity link. The trajectories were assumed to follow a quadratic function of log-transformed</w:t>
      </w:r>
      <w:r w:rsidRPr="00B95838">
        <w:rPr>
          <w:rStyle w:val="a8"/>
          <w:rFonts w:ascii="Times New Roman" w:hAnsi="Times New Roman" w:cs="Times New Roman"/>
          <w:sz w:val="24"/>
          <w:szCs w:val="24"/>
        </w:rPr>
        <w:t xml:space="preserve"> </w:t>
      </w:r>
      <w:r w:rsidRPr="00B95838">
        <w:rPr>
          <w:rFonts w:ascii="Times New Roman" w:hAnsi="Times New Roman" w:cs="Times New Roman"/>
          <w:sz w:val="24"/>
          <w:szCs w:val="24"/>
        </w:rPr>
        <w:t>days because we found that this setting coincided well with the observed data and was in line with the knowledge drawn from clinical practi</w:t>
      </w:r>
      <w:r>
        <w:rPr>
          <w:rFonts w:ascii="Times New Roman" w:hAnsi="Times New Roman" w:cs="Times New Roman"/>
          <w:sz w:val="24"/>
          <w:szCs w:val="24"/>
        </w:rPr>
        <w:t>s</w:t>
      </w:r>
      <w:r w:rsidRPr="00B95838">
        <w:rPr>
          <w:rFonts w:ascii="Times New Roman" w:hAnsi="Times New Roman" w:cs="Times New Roman"/>
          <w:sz w:val="24"/>
          <w:szCs w:val="24"/>
        </w:rPr>
        <w:t xml:space="preserve">e for COVID-19. GBMTM analyses were conducted with the </w:t>
      </w:r>
      <w:proofErr w:type="spellStart"/>
      <w:r w:rsidRPr="00B95838">
        <w:rPr>
          <w:rFonts w:ascii="Times New Roman" w:hAnsi="Times New Roman" w:cs="Times New Roman"/>
          <w:sz w:val="24"/>
          <w:szCs w:val="24"/>
        </w:rPr>
        <w:t>traj</w:t>
      </w:r>
      <w:proofErr w:type="spellEnd"/>
      <w:r w:rsidRPr="00B95838">
        <w:rPr>
          <w:rFonts w:ascii="Times New Roman" w:hAnsi="Times New Roman" w:cs="Times New Roman"/>
          <w:sz w:val="24"/>
          <w:szCs w:val="24"/>
        </w:rPr>
        <w:t xml:space="preserve"> package using Stata version 14.1 (</w:t>
      </w:r>
      <w:proofErr w:type="spellStart"/>
      <w:r w:rsidRPr="00B95838">
        <w:rPr>
          <w:rFonts w:ascii="Times New Roman" w:hAnsi="Times New Roman" w:cs="Times New Roman"/>
          <w:sz w:val="24"/>
          <w:szCs w:val="24"/>
        </w:rPr>
        <w:t>StataCorp</w:t>
      </w:r>
      <w:proofErr w:type="spellEnd"/>
      <w:r w:rsidRPr="00B95838">
        <w:rPr>
          <w:rFonts w:ascii="Times New Roman" w:hAnsi="Times New Roman" w:cs="Times New Roman"/>
          <w:sz w:val="24"/>
          <w:szCs w:val="24"/>
        </w:rPr>
        <w:t>, College Station, TX, USA).</w:t>
      </w:r>
    </w:p>
    <w:p w14:paraId="715D616B" w14:textId="6E7288EC" w:rsidR="008F55F9" w:rsidRPr="00B95838" w:rsidRDefault="008F55F9" w:rsidP="00EA51BC">
      <w:pPr>
        <w:spacing w:line="480" w:lineRule="auto"/>
        <w:ind w:firstLine="420"/>
        <w:rPr>
          <w:rFonts w:ascii="Times New Roman" w:hAnsi="Times New Roman" w:cs="Times New Roman"/>
          <w:sz w:val="24"/>
          <w:szCs w:val="24"/>
        </w:rPr>
      </w:pPr>
      <w:r w:rsidRPr="00B95838">
        <w:rPr>
          <w:rFonts w:ascii="Times New Roman" w:hAnsi="Times New Roman" w:cs="Times New Roman"/>
          <w:sz w:val="24"/>
          <w:szCs w:val="24"/>
        </w:rPr>
        <w:lastRenderedPageBreak/>
        <w:t>The first GBMTM step was separately estimating the trajectory models with varying numbers of groups for each biomarker to identify the proper groups of distinct trajectories composing the overall population. The second step was varying the order of the trajectory polynomials of time based on professional knowledge about the variables to select the model best optimised to fit and parsimony using the Bayesian information criterion.</w:t>
      </w:r>
    </w:p>
    <w:p w14:paraId="266F427B" w14:textId="6208BE2E" w:rsidR="008F55F9" w:rsidRPr="00B95838" w:rsidRDefault="008F55F9" w:rsidP="00EA51BC">
      <w:pPr>
        <w:spacing w:line="480" w:lineRule="auto"/>
        <w:ind w:firstLine="420"/>
        <w:rPr>
          <w:rFonts w:ascii="Times New Roman" w:hAnsi="Times New Roman" w:cs="Times New Roman"/>
          <w:sz w:val="24"/>
          <w:szCs w:val="24"/>
        </w:rPr>
      </w:pPr>
      <w:r w:rsidRPr="00B95838">
        <w:rPr>
          <w:rFonts w:ascii="Times New Roman" w:hAnsi="Times New Roman" w:cs="Times New Roman"/>
          <w:sz w:val="24"/>
          <w:szCs w:val="24"/>
        </w:rPr>
        <w:t>We assessed our final GBMTM model in terms of adequacy and fit of the trajectories using the following established metrics: (1) Group average posterior probability: for each group, we computed the average probability for individuals assigned to the group. (2) Odds ratio for correct classification: the odds ratio of probability of being assigned to the trajectory group in comparison to the estimated population-level group distribution. (3) Estimated group distribution based on using maximum probability assignment rule. (4) Estimated group distribution based on initial model. (5) Entropy: an indicator of discrepancy between trajectory groups</w:t>
      </w:r>
      <w:r w:rsidR="004136FF">
        <w:rPr>
          <w:rFonts w:ascii="Times New Roman" w:hAnsi="Times New Roman" w:cs="Times New Roman"/>
          <w:sz w:val="24"/>
          <w:szCs w:val="24"/>
        </w:rPr>
        <w:fldChar w:fldCharType="begin"/>
      </w:r>
      <w:r w:rsidR="00EA51BC">
        <w:rPr>
          <w:rFonts w:ascii="Times New Roman" w:hAnsi="Times New Roman" w:cs="Times New Roman"/>
          <w:sz w:val="24"/>
          <w:szCs w:val="24"/>
        </w:rPr>
        <w:instrText xml:space="preserve"> ADDIN NE.Ref.{A8AA1474-3A13-4594-8EC0-6868E0B79EF8}</w:instrText>
      </w:r>
      <w:r w:rsidR="004136FF">
        <w:rPr>
          <w:rFonts w:ascii="Times New Roman" w:hAnsi="Times New Roman" w:cs="Times New Roman"/>
          <w:sz w:val="24"/>
          <w:szCs w:val="24"/>
        </w:rPr>
        <w:fldChar w:fldCharType="separate"/>
      </w:r>
      <w:r w:rsidR="00EA51BC">
        <w:rPr>
          <w:rFonts w:ascii="Times New Roman" w:hAnsi="Times New Roman" w:cs="Times New Roman"/>
          <w:color w:val="080000"/>
          <w:kern w:val="0"/>
          <w:sz w:val="24"/>
          <w:szCs w:val="24"/>
          <w:lang w:val="en-US"/>
        </w:rPr>
        <w:t>(4, 7-9)</w:t>
      </w:r>
      <w:r w:rsidR="004136FF">
        <w:rPr>
          <w:rFonts w:ascii="Times New Roman" w:hAnsi="Times New Roman" w:cs="Times New Roman"/>
          <w:sz w:val="24"/>
          <w:szCs w:val="24"/>
        </w:rPr>
        <w:fldChar w:fldCharType="end"/>
      </w:r>
      <w:r w:rsidR="004136FF">
        <w:rPr>
          <w:rFonts w:ascii="Times New Roman" w:hAnsi="Times New Roman" w:cs="Times New Roman"/>
          <w:sz w:val="24"/>
          <w:szCs w:val="24"/>
        </w:rPr>
        <w:t>.</w:t>
      </w:r>
      <w:r w:rsidRPr="00B95838">
        <w:rPr>
          <w:rFonts w:ascii="Times New Roman" w:hAnsi="Times New Roman" w:cs="Times New Roman"/>
          <w:sz w:val="24"/>
          <w:szCs w:val="24"/>
        </w:rPr>
        <w:t xml:space="preserve"> </w:t>
      </w:r>
    </w:p>
    <w:p w14:paraId="15561EDC" w14:textId="77777777" w:rsidR="008F55F9" w:rsidRPr="00B95838" w:rsidRDefault="008F55F9" w:rsidP="00EA51BC">
      <w:pPr>
        <w:spacing w:line="480" w:lineRule="auto"/>
        <w:rPr>
          <w:rFonts w:ascii="Times New Roman" w:hAnsi="Times New Roman" w:cs="Times New Roman"/>
          <w:sz w:val="24"/>
          <w:szCs w:val="24"/>
        </w:rPr>
      </w:pPr>
    </w:p>
    <w:p w14:paraId="23EA9DEA" w14:textId="77777777" w:rsidR="008F55F9" w:rsidRPr="00B95838" w:rsidRDefault="008F55F9" w:rsidP="00EA51BC">
      <w:pPr>
        <w:spacing w:line="480" w:lineRule="auto"/>
        <w:rPr>
          <w:rFonts w:ascii="Times New Roman" w:hAnsi="Times New Roman" w:cs="Times New Roman"/>
          <w:b/>
          <w:sz w:val="24"/>
          <w:szCs w:val="24"/>
        </w:rPr>
      </w:pPr>
      <w:r w:rsidRPr="00B95838">
        <w:rPr>
          <w:rFonts w:ascii="Times New Roman" w:hAnsi="Times New Roman" w:cs="Times New Roman"/>
          <w:b/>
          <w:sz w:val="24"/>
          <w:szCs w:val="24"/>
        </w:rPr>
        <w:t>Results</w:t>
      </w:r>
    </w:p>
    <w:p w14:paraId="7AB8D220" w14:textId="77777777" w:rsidR="008F55F9" w:rsidRPr="00B95838" w:rsidRDefault="008F55F9" w:rsidP="00EA51BC">
      <w:pPr>
        <w:spacing w:line="480" w:lineRule="auto"/>
        <w:rPr>
          <w:rFonts w:ascii="Times New Roman" w:hAnsi="Times New Roman" w:cs="Times New Roman"/>
          <w:b/>
          <w:sz w:val="24"/>
          <w:szCs w:val="24"/>
        </w:rPr>
      </w:pPr>
      <w:r w:rsidRPr="00B95838">
        <w:rPr>
          <w:rFonts w:ascii="Times New Roman" w:hAnsi="Times New Roman" w:cs="Times New Roman"/>
          <w:b/>
          <w:sz w:val="24"/>
          <w:szCs w:val="24"/>
        </w:rPr>
        <w:t>Assessment metrics of the modelled trajectories</w:t>
      </w:r>
    </w:p>
    <w:p w14:paraId="1F6217B4" w14:textId="77777777" w:rsidR="008F55F9" w:rsidRPr="00B95838" w:rsidRDefault="008F55F9" w:rsidP="00EA51BC">
      <w:pPr>
        <w:spacing w:line="480" w:lineRule="auto"/>
        <w:ind w:firstLine="420"/>
        <w:rPr>
          <w:rFonts w:ascii="Times New Roman" w:hAnsi="Times New Roman" w:cs="Times New Roman"/>
          <w:sz w:val="24"/>
          <w:szCs w:val="24"/>
        </w:rPr>
      </w:pPr>
      <w:r w:rsidRPr="00B95838">
        <w:rPr>
          <w:rFonts w:ascii="Times New Roman" w:hAnsi="Times New Roman" w:cs="Times New Roman"/>
          <w:sz w:val="24"/>
          <w:szCs w:val="24"/>
        </w:rPr>
        <w:t>First, the average posterior probabilities for each group were all greater than 0.9, which was much higher than the criteria of 0.7. Second, the odds ratios for correct classifications were also much greater than 5 in all of the groups. Third, the estimated group distribution using the maximum probability assignment rule was pretty close to that based on the model. Finally, the overall entropy was 0.864, which was larger than 0.8 as required. Overall, the assessment results showed that the model had a very good fit and could discriminate the trajectory groups.</w:t>
      </w:r>
    </w:p>
    <w:p w14:paraId="11341475" w14:textId="77777777" w:rsidR="008F55F9" w:rsidRPr="00B95838" w:rsidRDefault="008F55F9" w:rsidP="00EA51BC">
      <w:pPr>
        <w:spacing w:line="480" w:lineRule="auto"/>
        <w:ind w:firstLine="420"/>
        <w:rPr>
          <w:rFonts w:ascii="Times New Roman" w:hAnsi="Times New Roman" w:cs="Times New Roman"/>
          <w:sz w:val="24"/>
          <w:szCs w:val="24"/>
        </w:rPr>
      </w:pPr>
    </w:p>
    <w:p w14:paraId="16018B99" w14:textId="77777777" w:rsidR="008F55F9" w:rsidRPr="00B95838" w:rsidRDefault="008F55F9" w:rsidP="00EA51BC">
      <w:pPr>
        <w:spacing w:line="480" w:lineRule="auto"/>
        <w:rPr>
          <w:rFonts w:ascii="Times New Roman" w:hAnsi="Times New Roman" w:cs="Times New Roman"/>
          <w:b/>
          <w:sz w:val="24"/>
          <w:szCs w:val="24"/>
        </w:rPr>
      </w:pPr>
      <w:r w:rsidRPr="00B95838">
        <w:rPr>
          <w:rFonts w:ascii="Times New Roman" w:hAnsi="Times New Roman" w:cs="Times New Roman"/>
          <w:b/>
          <w:sz w:val="24"/>
          <w:szCs w:val="24"/>
        </w:rPr>
        <w:t>Extended quantitative comparison between the four trajectory groups</w:t>
      </w:r>
    </w:p>
    <w:p w14:paraId="54551DCF" w14:textId="77777777" w:rsidR="008F55F9" w:rsidRPr="00B95838" w:rsidRDefault="008F55F9" w:rsidP="00EA51BC">
      <w:pPr>
        <w:spacing w:line="480" w:lineRule="auto"/>
        <w:ind w:firstLine="420"/>
        <w:rPr>
          <w:rFonts w:ascii="Times New Roman" w:hAnsi="Times New Roman" w:cs="Times New Roman"/>
          <w:sz w:val="24"/>
          <w:szCs w:val="24"/>
        </w:rPr>
      </w:pPr>
      <w:r w:rsidRPr="00B95838">
        <w:rPr>
          <w:rFonts w:ascii="Times New Roman" w:hAnsi="Times New Roman" w:cs="Times New Roman"/>
          <w:sz w:val="24"/>
          <w:szCs w:val="24"/>
        </w:rPr>
        <w:lastRenderedPageBreak/>
        <w:t>More metrics were derived to quantitatively compare the four trajectories. First, CT scans and biochemical tests right before discharge were extracted for each individual and analysed (</w:t>
      </w:r>
      <w:r w:rsidRPr="00B95838">
        <w:rPr>
          <w:rFonts w:ascii="Times New Roman" w:hAnsi="Times New Roman" w:cs="Times New Roman"/>
          <w:b/>
          <w:sz w:val="24"/>
          <w:szCs w:val="24"/>
        </w:rPr>
        <w:t>Table S2</w:t>
      </w:r>
      <w:r w:rsidRPr="00B95838">
        <w:rPr>
          <w:rFonts w:ascii="Times New Roman" w:hAnsi="Times New Roman" w:cs="Times New Roman"/>
          <w:sz w:val="24"/>
          <w:szCs w:val="24"/>
        </w:rPr>
        <w:t>). In Groups 1 to 4, the days from onset to discharge were 20 (IQR 16~26), 20 (IQR 17~25), 21 (IQR 18~26), and 29 days (24~34) (P &lt; 0.001). The lesion percentages right before discharge were 0.6% (IQR 0.1~1.5), 2.7% (IQR 0.8~5.7), 6.0% (IQR 2.7~10.5), and 24.6% (IQR 17.0~28.8) (</w:t>
      </w:r>
      <w:r w:rsidRPr="00B95838">
        <w:rPr>
          <w:rFonts w:ascii="Times New Roman" w:hAnsi="Times New Roman" w:cs="Times New Roman"/>
          <w:iCs/>
          <w:sz w:val="24"/>
          <w:szCs w:val="24"/>
        </w:rPr>
        <w:t>P</w:t>
      </w:r>
      <w:r w:rsidRPr="00B95838">
        <w:rPr>
          <w:rFonts w:ascii="Times New Roman" w:hAnsi="Times New Roman" w:cs="Times New Roman"/>
          <w:sz w:val="24"/>
          <w:szCs w:val="24"/>
        </w:rPr>
        <w:t xml:space="preserve"> &lt; 0.001). The lymphocyte counts right before discharge were 2.5 × 10</w:t>
      </w:r>
      <w:r w:rsidRPr="00B95838">
        <w:rPr>
          <w:rFonts w:ascii="Times New Roman" w:hAnsi="Times New Roman" w:cs="Times New Roman"/>
          <w:sz w:val="24"/>
          <w:szCs w:val="24"/>
          <w:vertAlign w:val="superscript"/>
        </w:rPr>
        <w:t>9</w:t>
      </w:r>
      <w:r w:rsidRPr="00B95838">
        <w:rPr>
          <w:rFonts w:ascii="Times New Roman" w:hAnsi="Times New Roman" w:cs="Times New Roman"/>
          <w:sz w:val="24"/>
          <w:szCs w:val="24"/>
        </w:rPr>
        <w:t>/L (IQR 2.2~2.9), 1.9 × 10</w:t>
      </w:r>
      <w:r w:rsidRPr="00B95838">
        <w:rPr>
          <w:rFonts w:ascii="Times New Roman" w:hAnsi="Times New Roman" w:cs="Times New Roman"/>
          <w:sz w:val="24"/>
          <w:szCs w:val="24"/>
          <w:vertAlign w:val="superscript"/>
        </w:rPr>
        <w:t>9</w:t>
      </w:r>
      <w:r w:rsidRPr="00B95838">
        <w:rPr>
          <w:rFonts w:ascii="Times New Roman" w:hAnsi="Times New Roman" w:cs="Times New Roman"/>
          <w:sz w:val="24"/>
          <w:szCs w:val="24"/>
        </w:rPr>
        <w:t>/L (IQR 1.6~2.1), 1.2 × 10</w:t>
      </w:r>
      <w:r w:rsidRPr="00B95838">
        <w:rPr>
          <w:rFonts w:ascii="Times New Roman" w:hAnsi="Times New Roman" w:cs="Times New Roman"/>
          <w:sz w:val="24"/>
          <w:szCs w:val="24"/>
          <w:vertAlign w:val="superscript"/>
        </w:rPr>
        <w:t>9</w:t>
      </w:r>
      <w:r w:rsidRPr="00B95838">
        <w:rPr>
          <w:rFonts w:ascii="Times New Roman" w:hAnsi="Times New Roman" w:cs="Times New Roman"/>
          <w:sz w:val="24"/>
          <w:szCs w:val="24"/>
        </w:rPr>
        <w:t>/L (IQR 1.1~1.5), and 1.5 × 10</w:t>
      </w:r>
      <w:r w:rsidRPr="00B95838">
        <w:rPr>
          <w:rFonts w:ascii="Times New Roman" w:hAnsi="Times New Roman" w:cs="Times New Roman"/>
          <w:sz w:val="24"/>
          <w:szCs w:val="24"/>
          <w:vertAlign w:val="superscript"/>
        </w:rPr>
        <w:t>9</w:t>
      </w:r>
      <w:r w:rsidRPr="00B95838">
        <w:rPr>
          <w:rFonts w:ascii="Times New Roman" w:hAnsi="Times New Roman" w:cs="Times New Roman"/>
          <w:sz w:val="24"/>
          <w:szCs w:val="24"/>
        </w:rPr>
        <w:t xml:space="preserve">/L (IQR 1.1~1.7) (P &lt; 0.001). It was noted that for all of the groups, the average time from either the selected CT scans or biochemical tests to discharge was 2~3 days and there was no significant difference between the groups (both </w:t>
      </w:r>
      <w:r w:rsidRPr="00B95838">
        <w:rPr>
          <w:rFonts w:ascii="Times New Roman" w:hAnsi="Times New Roman" w:cs="Times New Roman"/>
          <w:iCs/>
          <w:sz w:val="24"/>
          <w:szCs w:val="24"/>
        </w:rPr>
        <w:t>P</w:t>
      </w:r>
      <w:r w:rsidRPr="00B95838">
        <w:rPr>
          <w:rFonts w:ascii="Times New Roman" w:hAnsi="Times New Roman" w:cs="Times New Roman"/>
          <w:sz w:val="24"/>
          <w:szCs w:val="24"/>
        </w:rPr>
        <w:t xml:space="preserve"> &gt; 0.05; </w:t>
      </w:r>
      <w:r w:rsidRPr="00B95838">
        <w:rPr>
          <w:rFonts w:ascii="Times New Roman" w:hAnsi="Times New Roman" w:cs="Times New Roman"/>
          <w:b/>
          <w:bCs/>
          <w:sz w:val="24"/>
          <w:szCs w:val="24"/>
        </w:rPr>
        <w:t>Table S2</w:t>
      </w:r>
      <w:r w:rsidRPr="00B95838">
        <w:rPr>
          <w:rFonts w:ascii="Times New Roman" w:hAnsi="Times New Roman" w:cs="Times New Roman"/>
          <w:sz w:val="24"/>
          <w:szCs w:val="24"/>
        </w:rPr>
        <w:t xml:space="preserve">), suggesting that the lesion percentages and lymphocyte counts mentioned were appropriate to be compared between the groups. </w:t>
      </w:r>
    </w:p>
    <w:p w14:paraId="60657500" w14:textId="77777777" w:rsidR="008F55F9" w:rsidRPr="00B95838" w:rsidRDefault="008F55F9" w:rsidP="00EA51BC">
      <w:pPr>
        <w:spacing w:line="480" w:lineRule="auto"/>
        <w:ind w:firstLine="420"/>
        <w:rPr>
          <w:rFonts w:ascii="Times New Roman" w:hAnsi="Times New Roman" w:cs="Times New Roman"/>
          <w:sz w:val="24"/>
          <w:szCs w:val="24"/>
        </w:rPr>
      </w:pPr>
      <w:r w:rsidRPr="00B95838">
        <w:rPr>
          <w:rFonts w:ascii="Times New Roman" w:hAnsi="Times New Roman" w:cs="Times New Roman"/>
          <w:sz w:val="24"/>
          <w:szCs w:val="24"/>
        </w:rPr>
        <w:t>Furthermore, we compared the pneumonia absorption trends between the estimated trajectories (</w:t>
      </w:r>
      <w:r w:rsidRPr="00B95838">
        <w:rPr>
          <w:rFonts w:ascii="Times New Roman" w:hAnsi="Times New Roman" w:cs="Times New Roman"/>
          <w:b/>
          <w:sz w:val="24"/>
          <w:szCs w:val="24"/>
        </w:rPr>
        <w:t>Table S3</w:t>
      </w:r>
      <w:r w:rsidRPr="00B95838">
        <w:rPr>
          <w:rFonts w:ascii="Times New Roman" w:hAnsi="Times New Roman" w:cs="Times New Roman"/>
          <w:sz w:val="24"/>
          <w:szCs w:val="24"/>
        </w:rPr>
        <w:t xml:space="preserve">). Briefly, the percentage of patients who recovered from pneumonia 30 days (or 60 days) after symptom onset (or after discharge) was always the highest in Group 1, followed by Groups 2, 3, and 4, no matter whether the lesion percentage threshold of substantial pneumonia absorption was set at 5% or 1% (all </w:t>
      </w:r>
      <w:r w:rsidRPr="00B95838">
        <w:rPr>
          <w:rFonts w:ascii="Times New Roman" w:hAnsi="Times New Roman" w:cs="Times New Roman"/>
          <w:iCs/>
          <w:sz w:val="24"/>
          <w:szCs w:val="24"/>
        </w:rPr>
        <w:t>P</w:t>
      </w:r>
      <w:r w:rsidRPr="00B95838">
        <w:rPr>
          <w:rFonts w:ascii="Times New Roman" w:hAnsi="Times New Roman" w:cs="Times New Roman"/>
          <w:sz w:val="24"/>
          <w:szCs w:val="24"/>
        </w:rPr>
        <w:t xml:space="preserve"> &lt; 0.001). Based on the estimated trajectories, we noted that Group 1 had pneumonia lower than 5% all of the time (</w:t>
      </w:r>
      <w:r w:rsidRPr="00B95838">
        <w:rPr>
          <w:rFonts w:ascii="Times New Roman" w:hAnsi="Times New Roman" w:cs="Times New Roman"/>
          <w:b/>
          <w:sz w:val="24"/>
          <w:szCs w:val="24"/>
        </w:rPr>
        <w:t>Figure 2A</w:t>
      </w:r>
      <w:r w:rsidRPr="00B95838">
        <w:rPr>
          <w:rFonts w:ascii="Times New Roman" w:hAnsi="Times New Roman" w:cs="Times New Roman"/>
          <w:sz w:val="24"/>
          <w:szCs w:val="24"/>
        </w:rPr>
        <w:t>). The durations from onset to lesion percentage decreas</w:t>
      </w:r>
      <w:r>
        <w:rPr>
          <w:rFonts w:ascii="Times New Roman" w:hAnsi="Times New Roman" w:cs="Times New Roman"/>
          <w:sz w:val="24"/>
          <w:szCs w:val="24"/>
        </w:rPr>
        <w:t>ing</w:t>
      </w:r>
      <w:r w:rsidRPr="00B95838">
        <w:rPr>
          <w:rFonts w:ascii="Times New Roman" w:hAnsi="Times New Roman" w:cs="Times New Roman"/>
          <w:sz w:val="24"/>
          <w:szCs w:val="24"/>
        </w:rPr>
        <w:t xml:space="preserve"> to 5% were estimated to be 26, 45, and 93 days in Groups 2 to 4, respectively. For the four estimated trajectories, the lesion percentages at the end of follow-up approached 1%. </w:t>
      </w:r>
      <w:r>
        <w:rPr>
          <w:rFonts w:ascii="Times New Roman" w:hAnsi="Times New Roman" w:cs="Times New Roman"/>
          <w:sz w:val="24"/>
          <w:szCs w:val="24"/>
        </w:rPr>
        <w:t>Moreover</w:t>
      </w:r>
      <w:r w:rsidRPr="00B95838">
        <w:rPr>
          <w:rFonts w:ascii="Times New Roman" w:hAnsi="Times New Roman" w:cs="Times New Roman"/>
          <w:sz w:val="24"/>
          <w:szCs w:val="24"/>
        </w:rPr>
        <w:t>, the durations from onset to lymphocyte count recovering to normal were estimated to be 1 day, 2 days, 13 days, and 19 days in Groups 1 to 4, respectively.</w:t>
      </w:r>
    </w:p>
    <w:p w14:paraId="2F4662EF" w14:textId="77777777" w:rsidR="008F55F9" w:rsidRPr="00B95838" w:rsidRDefault="008F55F9" w:rsidP="00EA51BC">
      <w:pPr>
        <w:spacing w:line="480" w:lineRule="auto"/>
        <w:rPr>
          <w:rFonts w:ascii="Times New Roman" w:hAnsi="Times New Roman" w:cs="Times New Roman"/>
          <w:b/>
        </w:rPr>
        <w:sectPr w:rsidR="008F55F9" w:rsidRPr="00B95838" w:rsidSect="008239DD">
          <w:footerReference w:type="default" r:id="rId9"/>
          <w:pgSz w:w="12240" w:h="15840"/>
          <w:pgMar w:top="1440" w:right="1440" w:bottom="1440" w:left="1440" w:header="720" w:footer="720" w:gutter="0"/>
          <w:lnNumType w:countBy="1" w:restart="continuous"/>
          <w:cols w:space="720"/>
          <w:docGrid w:linePitch="360"/>
        </w:sectPr>
      </w:pPr>
    </w:p>
    <w:p w14:paraId="3A4E2DD0" w14:textId="77777777" w:rsidR="008F55F9" w:rsidRPr="00F01B6F" w:rsidRDefault="008F55F9" w:rsidP="00EA51BC">
      <w:pPr>
        <w:spacing w:line="480" w:lineRule="auto"/>
        <w:rPr>
          <w:rFonts w:ascii="Times New Roman" w:hAnsi="Times New Roman" w:cs="Times New Roman"/>
          <w:b/>
          <w:sz w:val="24"/>
          <w:szCs w:val="28"/>
        </w:rPr>
      </w:pPr>
      <w:r>
        <w:rPr>
          <w:rFonts w:ascii="Times New Roman" w:hAnsi="Times New Roman" w:cs="Times New Roman"/>
          <w:b/>
          <w:sz w:val="24"/>
          <w:szCs w:val="28"/>
        </w:rPr>
        <w:lastRenderedPageBreak/>
        <w:t xml:space="preserve">Supplemental </w:t>
      </w:r>
      <w:r w:rsidRPr="00F01B6F">
        <w:rPr>
          <w:rFonts w:ascii="Times New Roman" w:hAnsi="Times New Roman" w:cs="Times New Roman"/>
          <w:b/>
          <w:sz w:val="24"/>
          <w:szCs w:val="28"/>
        </w:rPr>
        <w:t>Tables</w:t>
      </w:r>
    </w:p>
    <w:p w14:paraId="644046DF" w14:textId="77777777" w:rsidR="008F55F9" w:rsidRPr="00B95838" w:rsidRDefault="008F55F9" w:rsidP="00EA51BC">
      <w:pPr>
        <w:spacing w:line="480" w:lineRule="auto"/>
        <w:rPr>
          <w:rFonts w:ascii="Times New Roman" w:hAnsi="Times New Roman" w:cs="Times New Roman"/>
          <w:b/>
        </w:rPr>
      </w:pPr>
    </w:p>
    <w:p w14:paraId="10EBCFB4" w14:textId="77777777" w:rsidR="008F55F9" w:rsidRPr="00B95838" w:rsidRDefault="008F55F9" w:rsidP="00EA51BC">
      <w:pPr>
        <w:spacing w:line="480" w:lineRule="auto"/>
        <w:rPr>
          <w:rFonts w:ascii="Times New Roman" w:hAnsi="Times New Roman" w:cs="Times New Roman"/>
        </w:rPr>
      </w:pPr>
      <w:r w:rsidRPr="00B95838">
        <w:rPr>
          <w:rFonts w:ascii="Times New Roman" w:hAnsi="Times New Roman" w:cs="Times New Roman"/>
        </w:rPr>
        <w:t>Table S1. Metrics of adequacy and fit of trajectory model</w:t>
      </w:r>
    </w:p>
    <w:tbl>
      <w:tblPr>
        <w:tblW w:w="12923" w:type="dxa"/>
        <w:tblLook w:val="04A0" w:firstRow="1" w:lastRow="0" w:firstColumn="1" w:lastColumn="0" w:noHBand="0" w:noVBand="1"/>
      </w:tblPr>
      <w:tblGrid>
        <w:gridCol w:w="1300"/>
        <w:gridCol w:w="1961"/>
        <w:gridCol w:w="1984"/>
        <w:gridCol w:w="3969"/>
        <w:gridCol w:w="2717"/>
        <w:gridCol w:w="992"/>
      </w:tblGrid>
      <w:tr w:rsidR="008F55F9" w:rsidRPr="00B95838" w14:paraId="330D0EA1" w14:textId="77777777" w:rsidTr="00B473C9">
        <w:trPr>
          <w:trHeight w:val="320"/>
        </w:trPr>
        <w:tc>
          <w:tcPr>
            <w:tcW w:w="1300" w:type="dxa"/>
            <w:tcBorders>
              <w:top w:val="single" w:sz="18" w:space="0" w:color="auto"/>
              <w:left w:val="nil"/>
              <w:bottom w:val="single" w:sz="18" w:space="0" w:color="auto"/>
              <w:right w:val="nil"/>
            </w:tcBorders>
            <w:shd w:val="clear" w:color="auto" w:fill="auto"/>
            <w:noWrap/>
            <w:vAlign w:val="bottom"/>
            <w:hideMark/>
          </w:tcPr>
          <w:p w14:paraId="418BD514" w14:textId="77777777" w:rsidR="008F55F9" w:rsidRPr="00B95838" w:rsidRDefault="008F55F9" w:rsidP="00EA51BC">
            <w:pPr>
              <w:widowControl/>
              <w:spacing w:line="480" w:lineRule="auto"/>
              <w:jc w:val="lef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Trajectory group</w:t>
            </w:r>
          </w:p>
        </w:tc>
        <w:tc>
          <w:tcPr>
            <w:tcW w:w="1961" w:type="dxa"/>
            <w:tcBorders>
              <w:top w:val="single" w:sz="18" w:space="0" w:color="auto"/>
              <w:left w:val="nil"/>
              <w:bottom w:val="single" w:sz="18" w:space="0" w:color="auto"/>
              <w:right w:val="nil"/>
            </w:tcBorders>
            <w:shd w:val="clear" w:color="auto" w:fill="auto"/>
            <w:noWrap/>
            <w:vAlign w:val="bottom"/>
            <w:hideMark/>
          </w:tcPr>
          <w:p w14:paraId="2C7A2BF2" w14:textId="77777777" w:rsidR="008F55F9" w:rsidRPr="00B95838" w:rsidRDefault="008F55F9" w:rsidP="00EA51BC">
            <w:pPr>
              <w:widowControl/>
              <w:spacing w:line="480" w:lineRule="auto"/>
              <w:jc w:val="lef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Group average posterior probability</w:t>
            </w:r>
          </w:p>
        </w:tc>
        <w:tc>
          <w:tcPr>
            <w:tcW w:w="1984" w:type="dxa"/>
            <w:tcBorders>
              <w:top w:val="single" w:sz="18" w:space="0" w:color="auto"/>
              <w:left w:val="nil"/>
              <w:bottom w:val="single" w:sz="18" w:space="0" w:color="auto"/>
              <w:right w:val="nil"/>
            </w:tcBorders>
            <w:shd w:val="clear" w:color="auto" w:fill="auto"/>
            <w:noWrap/>
            <w:vAlign w:val="bottom"/>
            <w:hideMark/>
          </w:tcPr>
          <w:p w14:paraId="65F4A7EC" w14:textId="77777777" w:rsidR="008F55F9" w:rsidRPr="00B95838" w:rsidRDefault="008F55F9" w:rsidP="00EA51BC">
            <w:pPr>
              <w:widowControl/>
              <w:spacing w:line="480" w:lineRule="auto"/>
              <w:jc w:val="lef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Odds ratio for correct classification</w:t>
            </w:r>
          </w:p>
        </w:tc>
        <w:tc>
          <w:tcPr>
            <w:tcW w:w="3969" w:type="dxa"/>
            <w:tcBorders>
              <w:top w:val="single" w:sz="18" w:space="0" w:color="auto"/>
              <w:left w:val="nil"/>
              <w:bottom w:val="single" w:sz="18" w:space="0" w:color="auto"/>
              <w:right w:val="nil"/>
            </w:tcBorders>
            <w:shd w:val="clear" w:color="auto" w:fill="auto"/>
            <w:noWrap/>
            <w:vAlign w:val="bottom"/>
            <w:hideMark/>
          </w:tcPr>
          <w:p w14:paraId="75DAEDBC" w14:textId="77777777" w:rsidR="008F55F9" w:rsidRPr="00B95838" w:rsidRDefault="008F55F9" w:rsidP="00EA51BC">
            <w:pPr>
              <w:widowControl/>
              <w:spacing w:line="480" w:lineRule="auto"/>
              <w:jc w:val="lef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Estimated group distribution based on using the maximum probability assignment rule</w:t>
            </w:r>
          </w:p>
        </w:tc>
        <w:tc>
          <w:tcPr>
            <w:tcW w:w="2717" w:type="dxa"/>
            <w:tcBorders>
              <w:top w:val="single" w:sz="18" w:space="0" w:color="auto"/>
              <w:left w:val="nil"/>
              <w:bottom w:val="single" w:sz="18" w:space="0" w:color="auto"/>
              <w:right w:val="nil"/>
            </w:tcBorders>
            <w:shd w:val="clear" w:color="auto" w:fill="auto"/>
            <w:noWrap/>
            <w:vAlign w:val="bottom"/>
            <w:hideMark/>
          </w:tcPr>
          <w:p w14:paraId="6ADF3FCD" w14:textId="77777777" w:rsidR="008F55F9" w:rsidRPr="00B95838" w:rsidRDefault="008F55F9" w:rsidP="00EA51BC">
            <w:pPr>
              <w:widowControl/>
              <w:spacing w:line="480" w:lineRule="auto"/>
              <w:jc w:val="lef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Estimated group distribution based on the initial model</w:t>
            </w:r>
          </w:p>
        </w:tc>
        <w:tc>
          <w:tcPr>
            <w:tcW w:w="992" w:type="dxa"/>
            <w:tcBorders>
              <w:top w:val="single" w:sz="18" w:space="0" w:color="auto"/>
              <w:left w:val="nil"/>
              <w:bottom w:val="single" w:sz="18" w:space="0" w:color="auto"/>
              <w:right w:val="nil"/>
            </w:tcBorders>
            <w:shd w:val="clear" w:color="auto" w:fill="auto"/>
            <w:noWrap/>
            <w:vAlign w:val="bottom"/>
            <w:hideMark/>
          </w:tcPr>
          <w:p w14:paraId="119F9B14" w14:textId="77777777" w:rsidR="008F55F9" w:rsidRPr="00B95838" w:rsidRDefault="008F55F9" w:rsidP="00EA51BC">
            <w:pPr>
              <w:widowControl/>
              <w:spacing w:line="480" w:lineRule="auto"/>
              <w:jc w:val="lef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Entropy</w:t>
            </w:r>
          </w:p>
        </w:tc>
      </w:tr>
      <w:tr w:rsidR="008F55F9" w:rsidRPr="00B95838" w14:paraId="491322C4" w14:textId="77777777" w:rsidTr="00B473C9">
        <w:trPr>
          <w:trHeight w:val="320"/>
        </w:trPr>
        <w:tc>
          <w:tcPr>
            <w:tcW w:w="1300" w:type="dxa"/>
            <w:tcBorders>
              <w:top w:val="single" w:sz="18" w:space="0" w:color="auto"/>
              <w:left w:val="nil"/>
              <w:bottom w:val="nil"/>
              <w:right w:val="nil"/>
            </w:tcBorders>
            <w:shd w:val="clear" w:color="auto" w:fill="auto"/>
            <w:noWrap/>
            <w:vAlign w:val="bottom"/>
            <w:hideMark/>
          </w:tcPr>
          <w:p w14:paraId="16F71174"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1</w:t>
            </w:r>
          </w:p>
        </w:tc>
        <w:tc>
          <w:tcPr>
            <w:tcW w:w="1961" w:type="dxa"/>
            <w:tcBorders>
              <w:top w:val="single" w:sz="18" w:space="0" w:color="auto"/>
              <w:left w:val="nil"/>
              <w:bottom w:val="nil"/>
              <w:right w:val="nil"/>
            </w:tcBorders>
            <w:shd w:val="clear" w:color="auto" w:fill="auto"/>
            <w:noWrap/>
            <w:vAlign w:val="bottom"/>
            <w:hideMark/>
          </w:tcPr>
          <w:p w14:paraId="1F655640"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0.900</w:t>
            </w:r>
          </w:p>
        </w:tc>
        <w:tc>
          <w:tcPr>
            <w:tcW w:w="1984" w:type="dxa"/>
            <w:tcBorders>
              <w:top w:val="single" w:sz="18" w:space="0" w:color="auto"/>
              <w:left w:val="nil"/>
              <w:bottom w:val="nil"/>
              <w:right w:val="nil"/>
            </w:tcBorders>
            <w:shd w:val="clear" w:color="auto" w:fill="auto"/>
            <w:noWrap/>
            <w:vAlign w:val="bottom"/>
            <w:hideMark/>
          </w:tcPr>
          <w:p w14:paraId="0DAA9731"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64.88</w:t>
            </w:r>
          </w:p>
        </w:tc>
        <w:tc>
          <w:tcPr>
            <w:tcW w:w="3969" w:type="dxa"/>
            <w:tcBorders>
              <w:top w:val="single" w:sz="18" w:space="0" w:color="auto"/>
              <w:left w:val="nil"/>
              <w:bottom w:val="nil"/>
              <w:right w:val="nil"/>
            </w:tcBorders>
            <w:shd w:val="clear" w:color="auto" w:fill="auto"/>
            <w:noWrap/>
            <w:vAlign w:val="bottom"/>
            <w:hideMark/>
          </w:tcPr>
          <w:p w14:paraId="6476E048"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0.140</w:t>
            </w:r>
          </w:p>
        </w:tc>
        <w:tc>
          <w:tcPr>
            <w:tcW w:w="2717" w:type="dxa"/>
            <w:tcBorders>
              <w:top w:val="single" w:sz="18" w:space="0" w:color="auto"/>
              <w:left w:val="nil"/>
              <w:bottom w:val="nil"/>
              <w:right w:val="nil"/>
            </w:tcBorders>
            <w:shd w:val="clear" w:color="auto" w:fill="auto"/>
            <w:noWrap/>
            <w:vAlign w:val="bottom"/>
            <w:hideMark/>
          </w:tcPr>
          <w:p w14:paraId="3F870DD0"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0.139</w:t>
            </w:r>
          </w:p>
        </w:tc>
        <w:tc>
          <w:tcPr>
            <w:tcW w:w="992" w:type="dxa"/>
            <w:vMerge w:val="restart"/>
            <w:tcBorders>
              <w:top w:val="single" w:sz="18" w:space="0" w:color="auto"/>
              <w:left w:val="nil"/>
              <w:right w:val="nil"/>
            </w:tcBorders>
            <w:shd w:val="clear" w:color="auto" w:fill="auto"/>
            <w:noWrap/>
            <w:hideMark/>
          </w:tcPr>
          <w:p w14:paraId="3B29AE5E" w14:textId="77777777" w:rsidR="008F55F9" w:rsidRPr="00B95838" w:rsidRDefault="008F55F9" w:rsidP="00EA51BC">
            <w:pPr>
              <w:widowControl/>
              <w:spacing w:line="480" w:lineRule="auto"/>
              <w:jc w:val="lef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0.864</w:t>
            </w:r>
          </w:p>
        </w:tc>
      </w:tr>
      <w:tr w:rsidR="008F55F9" w:rsidRPr="00B95838" w14:paraId="365B0135" w14:textId="77777777" w:rsidTr="00B473C9">
        <w:trPr>
          <w:trHeight w:val="320"/>
        </w:trPr>
        <w:tc>
          <w:tcPr>
            <w:tcW w:w="1300" w:type="dxa"/>
            <w:tcBorders>
              <w:top w:val="nil"/>
              <w:left w:val="nil"/>
              <w:bottom w:val="nil"/>
              <w:right w:val="nil"/>
            </w:tcBorders>
            <w:shd w:val="clear" w:color="auto" w:fill="auto"/>
            <w:noWrap/>
            <w:vAlign w:val="bottom"/>
            <w:hideMark/>
          </w:tcPr>
          <w:p w14:paraId="7E299224"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2</w:t>
            </w:r>
          </w:p>
        </w:tc>
        <w:tc>
          <w:tcPr>
            <w:tcW w:w="1961" w:type="dxa"/>
            <w:tcBorders>
              <w:top w:val="nil"/>
              <w:left w:val="nil"/>
              <w:bottom w:val="nil"/>
              <w:right w:val="nil"/>
            </w:tcBorders>
            <w:shd w:val="clear" w:color="auto" w:fill="auto"/>
            <w:noWrap/>
            <w:vAlign w:val="bottom"/>
            <w:hideMark/>
          </w:tcPr>
          <w:p w14:paraId="1BD86039"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0.909</w:t>
            </w:r>
          </w:p>
        </w:tc>
        <w:tc>
          <w:tcPr>
            <w:tcW w:w="1984" w:type="dxa"/>
            <w:tcBorders>
              <w:top w:val="nil"/>
              <w:left w:val="nil"/>
              <w:bottom w:val="nil"/>
              <w:right w:val="nil"/>
            </w:tcBorders>
            <w:shd w:val="clear" w:color="auto" w:fill="auto"/>
            <w:noWrap/>
            <w:vAlign w:val="bottom"/>
            <w:hideMark/>
          </w:tcPr>
          <w:p w14:paraId="56F028F9"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22.29</w:t>
            </w:r>
          </w:p>
        </w:tc>
        <w:tc>
          <w:tcPr>
            <w:tcW w:w="3969" w:type="dxa"/>
            <w:tcBorders>
              <w:top w:val="nil"/>
              <w:left w:val="nil"/>
              <w:bottom w:val="nil"/>
              <w:right w:val="nil"/>
            </w:tcBorders>
            <w:shd w:val="clear" w:color="auto" w:fill="auto"/>
            <w:noWrap/>
            <w:vAlign w:val="bottom"/>
            <w:hideMark/>
          </w:tcPr>
          <w:p w14:paraId="5660B01F"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0.455</w:t>
            </w:r>
          </w:p>
        </w:tc>
        <w:tc>
          <w:tcPr>
            <w:tcW w:w="2717" w:type="dxa"/>
            <w:tcBorders>
              <w:top w:val="nil"/>
              <w:left w:val="nil"/>
              <w:bottom w:val="nil"/>
              <w:right w:val="nil"/>
            </w:tcBorders>
            <w:shd w:val="clear" w:color="auto" w:fill="auto"/>
            <w:noWrap/>
            <w:vAlign w:val="bottom"/>
            <w:hideMark/>
          </w:tcPr>
          <w:p w14:paraId="56518308"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0.447</w:t>
            </w:r>
          </w:p>
        </w:tc>
        <w:tc>
          <w:tcPr>
            <w:tcW w:w="992" w:type="dxa"/>
            <w:vMerge/>
            <w:tcBorders>
              <w:left w:val="nil"/>
              <w:right w:val="nil"/>
            </w:tcBorders>
            <w:shd w:val="clear" w:color="auto" w:fill="auto"/>
            <w:noWrap/>
            <w:vAlign w:val="bottom"/>
            <w:hideMark/>
          </w:tcPr>
          <w:p w14:paraId="101CA7B8" w14:textId="77777777" w:rsidR="008F55F9" w:rsidRPr="00B95838" w:rsidRDefault="008F55F9" w:rsidP="00EA51BC">
            <w:pPr>
              <w:spacing w:line="480" w:lineRule="auto"/>
              <w:jc w:val="left"/>
              <w:rPr>
                <w:rFonts w:ascii="Times New Roman" w:eastAsia="Times New Roman" w:hAnsi="Times New Roman" w:cs="Times New Roman"/>
                <w:color w:val="000000"/>
                <w:kern w:val="0"/>
                <w:szCs w:val="21"/>
              </w:rPr>
            </w:pPr>
          </w:p>
        </w:tc>
      </w:tr>
      <w:tr w:rsidR="008F55F9" w:rsidRPr="00B95838" w14:paraId="421FE4B9" w14:textId="77777777" w:rsidTr="00B473C9">
        <w:trPr>
          <w:trHeight w:val="320"/>
        </w:trPr>
        <w:tc>
          <w:tcPr>
            <w:tcW w:w="1300" w:type="dxa"/>
            <w:tcBorders>
              <w:top w:val="nil"/>
              <w:left w:val="nil"/>
              <w:bottom w:val="nil"/>
              <w:right w:val="nil"/>
            </w:tcBorders>
            <w:shd w:val="clear" w:color="auto" w:fill="auto"/>
            <w:noWrap/>
            <w:vAlign w:val="bottom"/>
            <w:hideMark/>
          </w:tcPr>
          <w:p w14:paraId="5C4A0D0B"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3</w:t>
            </w:r>
          </w:p>
        </w:tc>
        <w:tc>
          <w:tcPr>
            <w:tcW w:w="1961" w:type="dxa"/>
            <w:tcBorders>
              <w:top w:val="nil"/>
              <w:left w:val="nil"/>
              <w:bottom w:val="nil"/>
              <w:right w:val="nil"/>
            </w:tcBorders>
            <w:shd w:val="clear" w:color="auto" w:fill="auto"/>
            <w:noWrap/>
            <w:vAlign w:val="bottom"/>
            <w:hideMark/>
          </w:tcPr>
          <w:p w14:paraId="1FE34114"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0.920</w:t>
            </w:r>
          </w:p>
        </w:tc>
        <w:tc>
          <w:tcPr>
            <w:tcW w:w="1984" w:type="dxa"/>
            <w:tcBorders>
              <w:top w:val="nil"/>
              <w:left w:val="nil"/>
              <w:bottom w:val="nil"/>
              <w:right w:val="nil"/>
            </w:tcBorders>
            <w:shd w:val="clear" w:color="auto" w:fill="auto"/>
            <w:noWrap/>
            <w:vAlign w:val="bottom"/>
            <w:hideMark/>
          </w:tcPr>
          <w:p w14:paraId="6C446D30"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43.97</w:t>
            </w:r>
          </w:p>
        </w:tc>
        <w:tc>
          <w:tcPr>
            <w:tcW w:w="3969" w:type="dxa"/>
            <w:tcBorders>
              <w:top w:val="nil"/>
              <w:left w:val="nil"/>
              <w:bottom w:val="nil"/>
              <w:right w:val="nil"/>
            </w:tcBorders>
            <w:shd w:val="clear" w:color="auto" w:fill="auto"/>
            <w:noWrap/>
            <w:vAlign w:val="bottom"/>
            <w:hideMark/>
          </w:tcPr>
          <w:p w14:paraId="181DAADF"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0.249</w:t>
            </w:r>
          </w:p>
        </w:tc>
        <w:tc>
          <w:tcPr>
            <w:tcW w:w="2717" w:type="dxa"/>
            <w:tcBorders>
              <w:top w:val="nil"/>
              <w:left w:val="nil"/>
              <w:bottom w:val="nil"/>
              <w:right w:val="nil"/>
            </w:tcBorders>
            <w:shd w:val="clear" w:color="auto" w:fill="auto"/>
            <w:noWrap/>
            <w:vAlign w:val="bottom"/>
            <w:hideMark/>
          </w:tcPr>
          <w:p w14:paraId="4530FE29"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0.260</w:t>
            </w:r>
          </w:p>
        </w:tc>
        <w:tc>
          <w:tcPr>
            <w:tcW w:w="992" w:type="dxa"/>
            <w:vMerge/>
            <w:tcBorders>
              <w:left w:val="nil"/>
              <w:right w:val="nil"/>
            </w:tcBorders>
            <w:shd w:val="clear" w:color="auto" w:fill="auto"/>
            <w:noWrap/>
            <w:vAlign w:val="bottom"/>
            <w:hideMark/>
          </w:tcPr>
          <w:p w14:paraId="039339DF" w14:textId="77777777" w:rsidR="008F55F9" w:rsidRPr="00B95838" w:rsidRDefault="008F55F9" w:rsidP="00EA51BC">
            <w:pPr>
              <w:spacing w:line="480" w:lineRule="auto"/>
              <w:jc w:val="left"/>
              <w:rPr>
                <w:rFonts w:ascii="Times New Roman" w:eastAsia="Times New Roman" w:hAnsi="Times New Roman" w:cs="Times New Roman"/>
                <w:color w:val="000000"/>
                <w:kern w:val="0"/>
                <w:szCs w:val="21"/>
              </w:rPr>
            </w:pPr>
          </w:p>
        </w:tc>
      </w:tr>
      <w:tr w:rsidR="008F55F9" w:rsidRPr="00B95838" w14:paraId="4C65760C" w14:textId="77777777" w:rsidTr="00B473C9">
        <w:trPr>
          <w:trHeight w:val="320"/>
        </w:trPr>
        <w:tc>
          <w:tcPr>
            <w:tcW w:w="1300" w:type="dxa"/>
            <w:tcBorders>
              <w:top w:val="nil"/>
              <w:left w:val="nil"/>
              <w:bottom w:val="single" w:sz="18" w:space="0" w:color="auto"/>
              <w:right w:val="nil"/>
            </w:tcBorders>
            <w:shd w:val="clear" w:color="auto" w:fill="auto"/>
            <w:noWrap/>
            <w:vAlign w:val="bottom"/>
            <w:hideMark/>
          </w:tcPr>
          <w:p w14:paraId="5C965656"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4</w:t>
            </w:r>
          </w:p>
        </w:tc>
        <w:tc>
          <w:tcPr>
            <w:tcW w:w="1961" w:type="dxa"/>
            <w:tcBorders>
              <w:top w:val="nil"/>
              <w:left w:val="nil"/>
              <w:bottom w:val="single" w:sz="18" w:space="0" w:color="auto"/>
              <w:right w:val="nil"/>
            </w:tcBorders>
            <w:shd w:val="clear" w:color="auto" w:fill="auto"/>
            <w:noWrap/>
            <w:vAlign w:val="bottom"/>
            <w:hideMark/>
          </w:tcPr>
          <w:p w14:paraId="0E7B05E0"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0.985</w:t>
            </w:r>
          </w:p>
        </w:tc>
        <w:tc>
          <w:tcPr>
            <w:tcW w:w="1984" w:type="dxa"/>
            <w:tcBorders>
              <w:top w:val="nil"/>
              <w:left w:val="nil"/>
              <w:bottom w:val="single" w:sz="18" w:space="0" w:color="auto"/>
              <w:right w:val="nil"/>
            </w:tcBorders>
            <w:shd w:val="clear" w:color="auto" w:fill="auto"/>
            <w:noWrap/>
            <w:vAlign w:val="bottom"/>
            <w:hideMark/>
          </w:tcPr>
          <w:p w14:paraId="209D13AE"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431.29</w:t>
            </w:r>
          </w:p>
        </w:tc>
        <w:tc>
          <w:tcPr>
            <w:tcW w:w="3969" w:type="dxa"/>
            <w:tcBorders>
              <w:top w:val="nil"/>
              <w:left w:val="nil"/>
              <w:bottom w:val="single" w:sz="18" w:space="0" w:color="auto"/>
              <w:right w:val="nil"/>
            </w:tcBorders>
            <w:shd w:val="clear" w:color="auto" w:fill="auto"/>
            <w:noWrap/>
            <w:vAlign w:val="bottom"/>
            <w:hideMark/>
          </w:tcPr>
          <w:p w14:paraId="4508C19E"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0.156</w:t>
            </w:r>
          </w:p>
        </w:tc>
        <w:tc>
          <w:tcPr>
            <w:tcW w:w="2717" w:type="dxa"/>
            <w:tcBorders>
              <w:top w:val="nil"/>
              <w:left w:val="nil"/>
              <w:bottom w:val="single" w:sz="18" w:space="0" w:color="auto"/>
              <w:right w:val="nil"/>
            </w:tcBorders>
            <w:shd w:val="clear" w:color="auto" w:fill="auto"/>
            <w:noWrap/>
            <w:vAlign w:val="bottom"/>
            <w:hideMark/>
          </w:tcPr>
          <w:p w14:paraId="7BF8A835" w14:textId="77777777" w:rsidR="008F55F9" w:rsidRPr="00B95838" w:rsidRDefault="008F55F9" w:rsidP="00EA51BC">
            <w:pPr>
              <w:widowControl/>
              <w:spacing w:line="480" w:lineRule="auto"/>
              <w:jc w:val="right"/>
              <w:rPr>
                <w:rFonts w:ascii="Times New Roman" w:eastAsia="Times New Roman" w:hAnsi="Times New Roman" w:cs="Times New Roman"/>
                <w:color w:val="000000"/>
                <w:kern w:val="0"/>
                <w:szCs w:val="21"/>
              </w:rPr>
            </w:pPr>
            <w:r w:rsidRPr="00B95838">
              <w:rPr>
                <w:rFonts w:ascii="Times New Roman" w:eastAsia="Times New Roman" w:hAnsi="Times New Roman" w:cs="Times New Roman"/>
                <w:color w:val="000000"/>
                <w:kern w:val="0"/>
                <w:szCs w:val="21"/>
              </w:rPr>
              <w:t>0.154</w:t>
            </w:r>
          </w:p>
        </w:tc>
        <w:tc>
          <w:tcPr>
            <w:tcW w:w="992" w:type="dxa"/>
            <w:vMerge/>
            <w:tcBorders>
              <w:left w:val="nil"/>
              <w:bottom w:val="single" w:sz="18" w:space="0" w:color="auto"/>
              <w:right w:val="nil"/>
            </w:tcBorders>
            <w:shd w:val="clear" w:color="auto" w:fill="auto"/>
            <w:noWrap/>
            <w:vAlign w:val="bottom"/>
            <w:hideMark/>
          </w:tcPr>
          <w:p w14:paraId="0D59E2FB" w14:textId="77777777" w:rsidR="008F55F9" w:rsidRPr="00B95838" w:rsidRDefault="008F55F9" w:rsidP="00EA51BC">
            <w:pPr>
              <w:widowControl/>
              <w:spacing w:line="480" w:lineRule="auto"/>
              <w:jc w:val="left"/>
              <w:rPr>
                <w:rFonts w:ascii="Times New Roman" w:eastAsia="Times New Roman" w:hAnsi="Times New Roman" w:cs="Times New Roman"/>
                <w:color w:val="000000"/>
                <w:kern w:val="0"/>
                <w:szCs w:val="21"/>
              </w:rPr>
            </w:pPr>
          </w:p>
        </w:tc>
      </w:tr>
    </w:tbl>
    <w:p w14:paraId="6B6E9368" w14:textId="77777777" w:rsidR="008F55F9" w:rsidRPr="00B95838" w:rsidRDefault="008F55F9" w:rsidP="00EA51BC">
      <w:pPr>
        <w:spacing w:line="480" w:lineRule="auto"/>
        <w:rPr>
          <w:rFonts w:ascii="Times New Roman" w:hAnsi="Times New Roman" w:cs="Times New Roman"/>
          <w:sz w:val="24"/>
          <w:szCs w:val="24"/>
        </w:rPr>
      </w:pPr>
      <w:r w:rsidRPr="00B95838">
        <w:rPr>
          <w:rFonts w:ascii="Times New Roman" w:hAnsi="Times New Roman" w:cs="Times New Roman"/>
          <w:sz w:val="24"/>
          <w:szCs w:val="24"/>
        </w:rPr>
        <w:t>Criteria for good model fit: (1) average posterior probability greater than 0.7 in each group; (2) odds ratio of correct classification greater than 5 in each group; (3) close correspondence between the estimated group distribution based on using posterior probabilities, the maximum probability assignment rule, and the estimated group distribution from the initial model; and (4) an entropy value greater than 0.8.</w:t>
      </w:r>
    </w:p>
    <w:p w14:paraId="0C19EFF3" w14:textId="77777777" w:rsidR="008F55F9" w:rsidRPr="00B95838" w:rsidRDefault="008F55F9" w:rsidP="00EA51BC">
      <w:pPr>
        <w:spacing w:line="480" w:lineRule="auto"/>
        <w:rPr>
          <w:rFonts w:ascii="Times New Roman" w:hAnsi="Times New Roman" w:cs="Times New Roman"/>
        </w:rPr>
      </w:pPr>
    </w:p>
    <w:p w14:paraId="5A16F7CC" w14:textId="4C868827" w:rsidR="008F55F9" w:rsidRDefault="008F55F9" w:rsidP="00EA51BC">
      <w:pPr>
        <w:spacing w:line="480" w:lineRule="auto"/>
        <w:rPr>
          <w:rFonts w:ascii="Times New Roman" w:hAnsi="Times New Roman" w:cs="Times New Roman"/>
          <w:sz w:val="24"/>
          <w:szCs w:val="24"/>
        </w:rPr>
      </w:pPr>
    </w:p>
    <w:p w14:paraId="602211B0" w14:textId="160D7EC2" w:rsidR="00EA51BC" w:rsidRDefault="00EA51BC" w:rsidP="00EA51BC">
      <w:pPr>
        <w:spacing w:line="480" w:lineRule="auto"/>
        <w:rPr>
          <w:rFonts w:ascii="Times New Roman" w:hAnsi="Times New Roman" w:cs="Times New Roman"/>
          <w:sz w:val="24"/>
          <w:szCs w:val="24"/>
        </w:rPr>
      </w:pPr>
    </w:p>
    <w:p w14:paraId="1EC48895" w14:textId="74B88721" w:rsidR="00EA51BC" w:rsidRDefault="00EA51BC" w:rsidP="00EA51BC">
      <w:pPr>
        <w:spacing w:line="480" w:lineRule="auto"/>
        <w:rPr>
          <w:rFonts w:ascii="Times New Roman" w:hAnsi="Times New Roman" w:cs="Times New Roman"/>
          <w:sz w:val="24"/>
          <w:szCs w:val="24"/>
        </w:rPr>
      </w:pPr>
    </w:p>
    <w:p w14:paraId="6624F65F" w14:textId="77777777" w:rsidR="00EA51BC" w:rsidRPr="00B95838" w:rsidRDefault="00EA51BC" w:rsidP="00EA51BC">
      <w:pPr>
        <w:spacing w:line="480" w:lineRule="auto"/>
        <w:rPr>
          <w:rFonts w:ascii="Times New Roman" w:hAnsi="Times New Roman" w:cs="Times New Roman"/>
          <w:sz w:val="24"/>
          <w:szCs w:val="24"/>
        </w:rPr>
      </w:pPr>
    </w:p>
    <w:p w14:paraId="3E2D21A1" w14:textId="77777777" w:rsidR="008F55F9" w:rsidRPr="00B95838" w:rsidRDefault="008F55F9" w:rsidP="00EA51BC">
      <w:pPr>
        <w:spacing w:line="480" w:lineRule="auto"/>
        <w:rPr>
          <w:rFonts w:ascii="Times New Roman" w:hAnsi="Times New Roman" w:cs="Times New Roman"/>
          <w:sz w:val="24"/>
          <w:szCs w:val="24"/>
        </w:rPr>
      </w:pPr>
      <w:r w:rsidRPr="00B95838">
        <w:rPr>
          <w:rFonts w:ascii="Times New Roman" w:hAnsi="Times New Roman" w:cs="Times New Roman"/>
          <w:sz w:val="24"/>
          <w:szCs w:val="24"/>
        </w:rPr>
        <w:lastRenderedPageBreak/>
        <w:t>Table S2. Lesion percentage and lymphocyte count at discharge by trajectory group</w:t>
      </w:r>
    </w:p>
    <w:tbl>
      <w:tblPr>
        <w:tblW w:w="11676" w:type="dxa"/>
        <w:jc w:val="center"/>
        <w:tblLayout w:type="fixed"/>
        <w:tblLook w:val="0420" w:firstRow="1" w:lastRow="0" w:firstColumn="0" w:lastColumn="0" w:noHBand="0" w:noVBand="1"/>
      </w:tblPr>
      <w:tblGrid>
        <w:gridCol w:w="2977"/>
        <w:gridCol w:w="1346"/>
        <w:gridCol w:w="1658"/>
        <w:gridCol w:w="1532"/>
        <w:gridCol w:w="1559"/>
        <w:gridCol w:w="1701"/>
        <w:gridCol w:w="903"/>
      </w:tblGrid>
      <w:tr w:rsidR="008F55F9" w:rsidRPr="00B95838" w14:paraId="07AAD6EF" w14:textId="77777777" w:rsidTr="00B473C9">
        <w:trPr>
          <w:cantSplit/>
          <w:tblHeader/>
          <w:jc w:val="center"/>
        </w:trPr>
        <w:tc>
          <w:tcPr>
            <w:tcW w:w="2977"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646FF321" w14:textId="77777777" w:rsidR="008F55F9" w:rsidRPr="00B95838" w:rsidRDefault="008F55F9" w:rsidP="00EA51BC">
            <w:pPr>
              <w:spacing w:before="40" w:after="40" w:line="480" w:lineRule="auto"/>
              <w:ind w:left="100" w:right="100"/>
              <w:rPr>
                <w:rFonts w:ascii="Times New Roman" w:hAnsi="Times New Roman" w:cs="Times New Roman"/>
                <w:szCs w:val="21"/>
              </w:rPr>
            </w:pPr>
            <w:r w:rsidRPr="00B95838">
              <w:rPr>
                <w:rFonts w:ascii="Times New Roman" w:eastAsia="Arial" w:hAnsi="Times New Roman" w:cs="Times New Roman"/>
                <w:b/>
                <w:color w:val="111111"/>
                <w:szCs w:val="21"/>
              </w:rPr>
              <w:t>Variable</w:t>
            </w:r>
          </w:p>
        </w:tc>
        <w:tc>
          <w:tcPr>
            <w:tcW w:w="1346"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35CF2A6E" w14:textId="77777777" w:rsidR="008F55F9" w:rsidRPr="00B95838" w:rsidRDefault="008F55F9" w:rsidP="00EA51BC">
            <w:pPr>
              <w:spacing w:before="40" w:after="40" w:line="480" w:lineRule="auto"/>
              <w:ind w:left="100" w:right="100"/>
              <w:jc w:val="center"/>
              <w:rPr>
                <w:rFonts w:ascii="Times New Roman" w:eastAsia="Arial" w:hAnsi="Times New Roman" w:cs="Times New Roman"/>
                <w:b/>
                <w:color w:val="111111"/>
                <w:szCs w:val="21"/>
              </w:rPr>
            </w:pPr>
            <w:r w:rsidRPr="00B95838">
              <w:rPr>
                <w:rFonts w:ascii="Times New Roman" w:eastAsia="Arial" w:hAnsi="Times New Roman" w:cs="Times New Roman"/>
                <w:b/>
                <w:color w:val="111111"/>
                <w:szCs w:val="21"/>
              </w:rPr>
              <w:t>Overall</w:t>
            </w:r>
          </w:p>
          <w:p w14:paraId="679B97F3" w14:textId="4ED74C76"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b/>
                <w:color w:val="111111"/>
                <w:szCs w:val="21"/>
              </w:rPr>
              <w:t>(</w:t>
            </w:r>
            <w:r w:rsidR="00FB6DB3">
              <w:rPr>
                <w:rFonts w:ascii="Times New Roman" w:eastAsia="Arial" w:hAnsi="Times New Roman" w:cs="Times New Roman"/>
                <w:b/>
                <w:color w:val="111111"/>
                <w:szCs w:val="21"/>
              </w:rPr>
              <w:t xml:space="preserve">N = </w:t>
            </w:r>
            <w:r w:rsidRPr="00B95838">
              <w:rPr>
                <w:rFonts w:ascii="Times New Roman" w:eastAsia="Arial" w:hAnsi="Times New Roman" w:cs="Times New Roman"/>
                <w:b/>
                <w:color w:val="111111"/>
                <w:szCs w:val="21"/>
              </w:rPr>
              <w:t>257)</w:t>
            </w:r>
          </w:p>
        </w:tc>
        <w:tc>
          <w:tcPr>
            <w:tcW w:w="1658"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572124E2" w14:textId="77777777" w:rsidR="008F55F9" w:rsidRPr="00B95838" w:rsidRDefault="008F55F9" w:rsidP="00EA51BC">
            <w:pPr>
              <w:spacing w:before="40" w:after="40" w:line="480" w:lineRule="auto"/>
              <w:ind w:left="100" w:right="100"/>
              <w:jc w:val="center"/>
              <w:rPr>
                <w:rFonts w:ascii="Times New Roman" w:eastAsia="Arial" w:hAnsi="Times New Roman" w:cs="Times New Roman"/>
                <w:b/>
                <w:color w:val="111111"/>
                <w:szCs w:val="21"/>
              </w:rPr>
            </w:pPr>
            <w:r w:rsidRPr="00B95838">
              <w:rPr>
                <w:rFonts w:ascii="Times New Roman" w:eastAsia="Arial" w:hAnsi="Times New Roman" w:cs="Times New Roman"/>
                <w:b/>
                <w:color w:val="111111"/>
                <w:szCs w:val="21"/>
              </w:rPr>
              <w:t>Group 1</w:t>
            </w:r>
          </w:p>
          <w:p w14:paraId="2D90E99D" w14:textId="374B6904"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b/>
                <w:color w:val="111111"/>
                <w:szCs w:val="21"/>
              </w:rPr>
              <w:t>(</w:t>
            </w:r>
            <w:r w:rsidR="00FB6DB3">
              <w:rPr>
                <w:rFonts w:ascii="Times New Roman" w:eastAsia="Arial" w:hAnsi="Times New Roman" w:cs="Times New Roman"/>
                <w:b/>
                <w:color w:val="111111"/>
                <w:szCs w:val="21"/>
              </w:rPr>
              <w:t xml:space="preserve">N = </w:t>
            </w:r>
            <w:r w:rsidRPr="00B95838">
              <w:rPr>
                <w:rFonts w:ascii="Times New Roman" w:eastAsia="Arial" w:hAnsi="Times New Roman" w:cs="Times New Roman"/>
                <w:b/>
                <w:color w:val="111111"/>
                <w:szCs w:val="21"/>
              </w:rPr>
              <w:t>36)</w:t>
            </w:r>
          </w:p>
        </w:tc>
        <w:tc>
          <w:tcPr>
            <w:tcW w:w="1532"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2B5EFB03" w14:textId="77777777" w:rsidR="008F55F9" w:rsidRPr="00B95838" w:rsidRDefault="008F55F9" w:rsidP="00EA51BC">
            <w:pPr>
              <w:spacing w:before="40" w:after="40" w:line="480" w:lineRule="auto"/>
              <w:ind w:left="100" w:right="100"/>
              <w:jc w:val="center"/>
              <w:rPr>
                <w:rFonts w:ascii="Times New Roman" w:eastAsia="Arial" w:hAnsi="Times New Roman" w:cs="Times New Roman"/>
                <w:b/>
                <w:color w:val="111111"/>
                <w:szCs w:val="21"/>
              </w:rPr>
            </w:pPr>
            <w:r w:rsidRPr="00B95838">
              <w:rPr>
                <w:rFonts w:ascii="Times New Roman" w:eastAsia="Arial" w:hAnsi="Times New Roman" w:cs="Times New Roman"/>
                <w:b/>
                <w:color w:val="111111"/>
                <w:szCs w:val="21"/>
              </w:rPr>
              <w:t>Group 2</w:t>
            </w:r>
          </w:p>
          <w:p w14:paraId="75D066CC" w14:textId="5B8809C3"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b/>
                <w:color w:val="111111"/>
                <w:szCs w:val="21"/>
              </w:rPr>
              <w:t>(</w:t>
            </w:r>
            <w:r w:rsidR="00FB6DB3">
              <w:rPr>
                <w:rFonts w:ascii="Times New Roman" w:eastAsia="Arial" w:hAnsi="Times New Roman" w:cs="Times New Roman"/>
                <w:b/>
                <w:color w:val="111111"/>
                <w:szCs w:val="21"/>
              </w:rPr>
              <w:t xml:space="preserve">N = </w:t>
            </w:r>
            <w:r w:rsidRPr="00B95838">
              <w:rPr>
                <w:rFonts w:ascii="Times New Roman" w:eastAsia="Arial" w:hAnsi="Times New Roman" w:cs="Times New Roman"/>
                <w:b/>
                <w:color w:val="111111"/>
                <w:szCs w:val="21"/>
              </w:rPr>
              <w:t>117)</w:t>
            </w:r>
          </w:p>
        </w:tc>
        <w:tc>
          <w:tcPr>
            <w:tcW w:w="1559"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57048F9A" w14:textId="77777777" w:rsidR="008F55F9" w:rsidRPr="00B95838" w:rsidRDefault="008F55F9" w:rsidP="00EA51BC">
            <w:pPr>
              <w:spacing w:before="40" w:after="40" w:line="480" w:lineRule="auto"/>
              <w:ind w:left="100" w:right="100"/>
              <w:jc w:val="center"/>
              <w:rPr>
                <w:rFonts w:ascii="Times New Roman" w:eastAsia="Arial" w:hAnsi="Times New Roman" w:cs="Times New Roman"/>
                <w:b/>
                <w:color w:val="111111"/>
                <w:szCs w:val="21"/>
              </w:rPr>
            </w:pPr>
            <w:r w:rsidRPr="00B95838">
              <w:rPr>
                <w:rFonts w:ascii="Times New Roman" w:eastAsia="Arial" w:hAnsi="Times New Roman" w:cs="Times New Roman"/>
                <w:b/>
                <w:color w:val="111111"/>
                <w:szCs w:val="21"/>
              </w:rPr>
              <w:t>Group 3</w:t>
            </w:r>
          </w:p>
          <w:p w14:paraId="6505EB92" w14:textId="3D94E89B"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b/>
                <w:color w:val="111111"/>
                <w:szCs w:val="21"/>
              </w:rPr>
              <w:t>(</w:t>
            </w:r>
            <w:r w:rsidR="00FB6DB3">
              <w:rPr>
                <w:rFonts w:ascii="Times New Roman" w:eastAsia="Arial" w:hAnsi="Times New Roman" w:cs="Times New Roman"/>
                <w:b/>
                <w:color w:val="111111"/>
                <w:szCs w:val="21"/>
              </w:rPr>
              <w:t xml:space="preserve">N = </w:t>
            </w:r>
            <w:r w:rsidRPr="00B95838">
              <w:rPr>
                <w:rFonts w:ascii="Times New Roman" w:eastAsia="Arial" w:hAnsi="Times New Roman" w:cs="Times New Roman"/>
                <w:b/>
                <w:color w:val="111111"/>
                <w:szCs w:val="21"/>
              </w:rPr>
              <w:t>64)</w:t>
            </w:r>
          </w:p>
        </w:tc>
        <w:tc>
          <w:tcPr>
            <w:tcW w:w="1701"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2F2B3E12" w14:textId="77777777" w:rsidR="008F55F9" w:rsidRPr="00B95838" w:rsidRDefault="008F55F9" w:rsidP="00EA51BC">
            <w:pPr>
              <w:spacing w:before="40" w:after="40" w:line="480" w:lineRule="auto"/>
              <w:ind w:left="100" w:right="100"/>
              <w:jc w:val="center"/>
              <w:rPr>
                <w:rFonts w:ascii="Times New Roman" w:eastAsia="Arial" w:hAnsi="Times New Roman" w:cs="Times New Roman"/>
                <w:b/>
                <w:color w:val="111111"/>
                <w:szCs w:val="21"/>
              </w:rPr>
            </w:pPr>
            <w:r w:rsidRPr="00B95838">
              <w:rPr>
                <w:rFonts w:ascii="Times New Roman" w:eastAsia="Arial" w:hAnsi="Times New Roman" w:cs="Times New Roman"/>
                <w:b/>
                <w:color w:val="111111"/>
                <w:szCs w:val="21"/>
              </w:rPr>
              <w:t>Group 4</w:t>
            </w:r>
          </w:p>
          <w:p w14:paraId="28F8FFF3" w14:textId="3158467F"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b/>
                <w:color w:val="111111"/>
                <w:szCs w:val="21"/>
              </w:rPr>
              <w:t>(</w:t>
            </w:r>
            <w:r w:rsidR="00FB6DB3">
              <w:rPr>
                <w:rFonts w:ascii="Times New Roman" w:eastAsia="Arial" w:hAnsi="Times New Roman" w:cs="Times New Roman"/>
                <w:b/>
                <w:color w:val="111111"/>
                <w:szCs w:val="21"/>
              </w:rPr>
              <w:t xml:space="preserve">N = </w:t>
            </w:r>
            <w:r w:rsidRPr="00B95838">
              <w:rPr>
                <w:rFonts w:ascii="Times New Roman" w:eastAsia="Arial" w:hAnsi="Times New Roman" w:cs="Times New Roman"/>
                <w:b/>
                <w:color w:val="111111"/>
                <w:szCs w:val="21"/>
              </w:rPr>
              <w:t>40)</w:t>
            </w:r>
          </w:p>
        </w:tc>
        <w:tc>
          <w:tcPr>
            <w:tcW w:w="903"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737FC4B9"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b/>
                <w:iCs/>
                <w:color w:val="111111"/>
                <w:szCs w:val="21"/>
              </w:rPr>
              <w:t>P</w:t>
            </w:r>
            <w:r w:rsidRPr="00B95838">
              <w:rPr>
                <w:rFonts w:ascii="Times New Roman" w:eastAsia="Arial" w:hAnsi="Times New Roman" w:cs="Times New Roman"/>
                <w:b/>
                <w:color w:val="111111"/>
                <w:szCs w:val="21"/>
              </w:rPr>
              <w:t xml:space="preserve"> value</w:t>
            </w:r>
          </w:p>
        </w:tc>
      </w:tr>
      <w:tr w:rsidR="008F55F9" w:rsidRPr="00B95838" w14:paraId="70CA33F6" w14:textId="77777777" w:rsidTr="00B473C9">
        <w:trPr>
          <w:cantSplit/>
          <w:jc w:val="center"/>
        </w:trPr>
        <w:tc>
          <w:tcPr>
            <w:tcW w:w="2977" w:type="dxa"/>
            <w:shd w:val="clear" w:color="auto" w:fill="FFFFFF"/>
            <w:tcMar>
              <w:top w:w="0" w:type="dxa"/>
              <w:left w:w="0" w:type="dxa"/>
              <w:bottom w:w="0" w:type="dxa"/>
              <w:right w:w="0" w:type="dxa"/>
            </w:tcMar>
            <w:vAlign w:val="center"/>
          </w:tcPr>
          <w:p w14:paraId="40044DB0" w14:textId="77777777" w:rsidR="008F55F9" w:rsidRPr="00B95838" w:rsidRDefault="008F55F9" w:rsidP="00EA51BC">
            <w:pPr>
              <w:spacing w:before="40" w:after="40" w:line="480" w:lineRule="auto"/>
              <w:ind w:left="100" w:right="100"/>
              <w:rPr>
                <w:rFonts w:ascii="Times New Roman" w:eastAsia="Arial" w:hAnsi="Times New Roman" w:cs="Times New Roman"/>
                <w:b/>
                <w:color w:val="111111"/>
                <w:szCs w:val="21"/>
              </w:rPr>
            </w:pPr>
            <w:r w:rsidRPr="00B95838">
              <w:rPr>
                <w:rFonts w:ascii="Times New Roman" w:eastAsia="Arial" w:hAnsi="Times New Roman" w:cs="Times New Roman"/>
                <w:b/>
                <w:color w:val="111111"/>
                <w:szCs w:val="21"/>
              </w:rPr>
              <w:t>Days from onset to discharge</w:t>
            </w:r>
          </w:p>
        </w:tc>
        <w:tc>
          <w:tcPr>
            <w:tcW w:w="1346" w:type="dxa"/>
            <w:shd w:val="clear" w:color="auto" w:fill="FFFFFF"/>
            <w:tcMar>
              <w:top w:w="0" w:type="dxa"/>
              <w:left w:w="0" w:type="dxa"/>
              <w:bottom w:w="0" w:type="dxa"/>
              <w:right w:w="0" w:type="dxa"/>
            </w:tcMar>
            <w:vAlign w:val="center"/>
          </w:tcPr>
          <w:p w14:paraId="002541FE"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21 (17, 28)</w:t>
            </w:r>
          </w:p>
        </w:tc>
        <w:tc>
          <w:tcPr>
            <w:tcW w:w="1658" w:type="dxa"/>
            <w:shd w:val="clear" w:color="auto" w:fill="FFFFFF"/>
            <w:tcMar>
              <w:top w:w="0" w:type="dxa"/>
              <w:left w:w="0" w:type="dxa"/>
              <w:bottom w:w="0" w:type="dxa"/>
              <w:right w:w="0" w:type="dxa"/>
            </w:tcMar>
            <w:vAlign w:val="center"/>
          </w:tcPr>
          <w:p w14:paraId="306153B7"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20 (16, 26)</w:t>
            </w:r>
          </w:p>
        </w:tc>
        <w:tc>
          <w:tcPr>
            <w:tcW w:w="1532" w:type="dxa"/>
            <w:shd w:val="clear" w:color="auto" w:fill="FFFFFF"/>
            <w:tcMar>
              <w:top w:w="0" w:type="dxa"/>
              <w:left w:w="0" w:type="dxa"/>
              <w:bottom w:w="0" w:type="dxa"/>
              <w:right w:w="0" w:type="dxa"/>
            </w:tcMar>
            <w:vAlign w:val="center"/>
          </w:tcPr>
          <w:p w14:paraId="20D54DEE"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20 (17, 25)</w:t>
            </w:r>
          </w:p>
        </w:tc>
        <w:tc>
          <w:tcPr>
            <w:tcW w:w="1559" w:type="dxa"/>
            <w:shd w:val="clear" w:color="auto" w:fill="FFFFFF"/>
            <w:tcMar>
              <w:top w:w="0" w:type="dxa"/>
              <w:left w:w="0" w:type="dxa"/>
              <w:bottom w:w="0" w:type="dxa"/>
              <w:right w:w="0" w:type="dxa"/>
            </w:tcMar>
            <w:vAlign w:val="center"/>
          </w:tcPr>
          <w:p w14:paraId="321B5909"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21 (18, 26)</w:t>
            </w:r>
          </w:p>
        </w:tc>
        <w:tc>
          <w:tcPr>
            <w:tcW w:w="1701" w:type="dxa"/>
            <w:shd w:val="clear" w:color="auto" w:fill="FFFFFF"/>
            <w:tcMar>
              <w:top w:w="0" w:type="dxa"/>
              <w:left w:w="0" w:type="dxa"/>
              <w:bottom w:w="0" w:type="dxa"/>
              <w:right w:w="0" w:type="dxa"/>
            </w:tcMar>
            <w:vAlign w:val="center"/>
          </w:tcPr>
          <w:p w14:paraId="5E33833D"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29 (24, 34)</w:t>
            </w:r>
          </w:p>
        </w:tc>
        <w:tc>
          <w:tcPr>
            <w:tcW w:w="903" w:type="dxa"/>
            <w:shd w:val="clear" w:color="auto" w:fill="FFFFFF"/>
            <w:tcMar>
              <w:top w:w="0" w:type="dxa"/>
              <w:left w:w="0" w:type="dxa"/>
              <w:bottom w:w="0" w:type="dxa"/>
              <w:right w:w="0" w:type="dxa"/>
            </w:tcMar>
            <w:vAlign w:val="center"/>
          </w:tcPr>
          <w:p w14:paraId="793E943F"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&lt; 0.001</w:t>
            </w:r>
          </w:p>
        </w:tc>
      </w:tr>
      <w:tr w:rsidR="008F55F9" w:rsidRPr="00B95838" w14:paraId="45A6B8F2" w14:textId="77777777" w:rsidTr="00B473C9">
        <w:trPr>
          <w:cantSplit/>
          <w:jc w:val="center"/>
        </w:trPr>
        <w:tc>
          <w:tcPr>
            <w:tcW w:w="2977" w:type="dxa"/>
            <w:shd w:val="clear" w:color="auto" w:fill="FFFFFF"/>
            <w:tcMar>
              <w:top w:w="0" w:type="dxa"/>
              <w:left w:w="0" w:type="dxa"/>
              <w:bottom w:w="0" w:type="dxa"/>
              <w:right w:w="0" w:type="dxa"/>
            </w:tcMar>
            <w:vAlign w:val="center"/>
          </w:tcPr>
          <w:p w14:paraId="183866F8" w14:textId="77777777" w:rsidR="008F55F9" w:rsidRPr="00B95838" w:rsidRDefault="008F55F9" w:rsidP="00EA51BC">
            <w:pPr>
              <w:spacing w:before="40" w:after="40" w:line="480" w:lineRule="auto"/>
              <w:ind w:left="100" w:right="100"/>
              <w:rPr>
                <w:rFonts w:ascii="Times New Roman" w:hAnsi="Times New Roman" w:cs="Times New Roman"/>
                <w:szCs w:val="21"/>
              </w:rPr>
            </w:pPr>
            <w:r w:rsidRPr="00B95838">
              <w:rPr>
                <w:rFonts w:ascii="Times New Roman" w:eastAsia="Arial" w:hAnsi="Times New Roman" w:cs="Times New Roman"/>
                <w:b/>
                <w:color w:val="111111"/>
                <w:szCs w:val="21"/>
              </w:rPr>
              <w:t>Lesion percentage, %</w:t>
            </w:r>
          </w:p>
        </w:tc>
        <w:tc>
          <w:tcPr>
            <w:tcW w:w="1346" w:type="dxa"/>
            <w:shd w:val="clear" w:color="auto" w:fill="FFFFFF"/>
            <w:tcMar>
              <w:top w:w="0" w:type="dxa"/>
              <w:left w:w="0" w:type="dxa"/>
              <w:bottom w:w="0" w:type="dxa"/>
              <w:right w:w="0" w:type="dxa"/>
            </w:tcMar>
            <w:vAlign w:val="center"/>
          </w:tcPr>
          <w:p w14:paraId="46D302A6"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color w:val="111111"/>
                <w:szCs w:val="21"/>
              </w:rPr>
              <w:t>4.1 (1.0, 9.8)</w:t>
            </w:r>
          </w:p>
        </w:tc>
        <w:tc>
          <w:tcPr>
            <w:tcW w:w="1658" w:type="dxa"/>
            <w:shd w:val="clear" w:color="auto" w:fill="FFFFFF"/>
            <w:tcMar>
              <w:top w:w="0" w:type="dxa"/>
              <w:left w:w="0" w:type="dxa"/>
              <w:bottom w:w="0" w:type="dxa"/>
              <w:right w:w="0" w:type="dxa"/>
            </w:tcMar>
            <w:vAlign w:val="center"/>
          </w:tcPr>
          <w:p w14:paraId="281969E1"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color w:val="111111"/>
                <w:szCs w:val="21"/>
              </w:rPr>
              <w:t>0.6 (0.1, 1.5)</w:t>
            </w:r>
          </w:p>
        </w:tc>
        <w:tc>
          <w:tcPr>
            <w:tcW w:w="1532" w:type="dxa"/>
            <w:shd w:val="clear" w:color="auto" w:fill="FFFFFF"/>
            <w:tcMar>
              <w:top w:w="0" w:type="dxa"/>
              <w:left w:w="0" w:type="dxa"/>
              <w:bottom w:w="0" w:type="dxa"/>
              <w:right w:w="0" w:type="dxa"/>
            </w:tcMar>
            <w:vAlign w:val="center"/>
          </w:tcPr>
          <w:p w14:paraId="71FFB2D4"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color w:val="111111"/>
                <w:szCs w:val="21"/>
              </w:rPr>
              <w:t>2.7 (0.8, 5.7)</w:t>
            </w:r>
          </w:p>
        </w:tc>
        <w:tc>
          <w:tcPr>
            <w:tcW w:w="1559" w:type="dxa"/>
            <w:shd w:val="clear" w:color="auto" w:fill="FFFFFF"/>
            <w:tcMar>
              <w:top w:w="0" w:type="dxa"/>
              <w:left w:w="0" w:type="dxa"/>
              <w:bottom w:w="0" w:type="dxa"/>
              <w:right w:w="0" w:type="dxa"/>
            </w:tcMar>
            <w:vAlign w:val="center"/>
          </w:tcPr>
          <w:p w14:paraId="797C63E7"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color w:val="111111"/>
                <w:szCs w:val="21"/>
              </w:rPr>
              <w:t>6.0 (2.7, 10.5)</w:t>
            </w:r>
          </w:p>
        </w:tc>
        <w:tc>
          <w:tcPr>
            <w:tcW w:w="1701" w:type="dxa"/>
            <w:shd w:val="clear" w:color="auto" w:fill="FFFFFF"/>
            <w:tcMar>
              <w:top w:w="0" w:type="dxa"/>
              <w:left w:w="0" w:type="dxa"/>
              <w:bottom w:w="0" w:type="dxa"/>
              <w:right w:w="0" w:type="dxa"/>
            </w:tcMar>
            <w:vAlign w:val="center"/>
          </w:tcPr>
          <w:p w14:paraId="34117C8B"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color w:val="111111"/>
                <w:szCs w:val="21"/>
              </w:rPr>
              <w:t>24.6 (17.0, 28.8)</w:t>
            </w:r>
          </w:p>
        </w:tc>
        <w:tc>
          <w:tcPr>
            <w:tcW w:w="903" w:type="dxa"/>
            <w:shd w:val="clear" w:color="auto" w:fill="FFFFFF"/>
            <w:tcMar>
              <w:top w:w="0" w:type="dxa"/>
              <w:left w:w="0" w:type="dxa"/>
              <w:bottom w:w="0" w:type="dxa"/>
              <w:right w:w="0" w:type="dxa"/>
            </w:tcMar>
            <w:vAlign w:val="center"/>
          </w:tcPr>
          <w:p w14:paraId="1DE3C26E"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color w:val="111111"/>
                <w:szCs w:val="21"/>
              </w:rPr>
              <w:t>&lt; 0.001</w:t>
            </w:r>
          </w:p>
        </w:tc>
      </w:tr>
      <w:tr w:rsidR="008F55F9" w:rsidRPr="00B95838" w14:paraId="0C78446C" w14:textId="77777777" w:rsidTr="00B473C9">
        <w:trPr>
          <w:cantSplit/>
          <w:jc w:val="center"/>
        </w:trPr>
        <w:tc>
          <w:tcPr>
            <w:tcW w:w="2977" w:type="dxa"/>
            <w:shd w:val="clear" w:color="auto" w:fill="FFFFFF"/>
            <w:tcMar>
              <w:top w:w="0" w:type="dxa"/>
              <w:left w:w="0" w:type="dxa"/>
              <w:bottom w:w="0" w:type="dxa"/>
              <w:right w:w="0" w:type="dxa"/>
            </w:tcMar>
            <w:vAlign w:val="center"/>
          </w:tcPr>
          <w:p w14:paraId="28120497" w14:textId="77777777" w:rsidR="008F55F9" w:rsidRPr="00B95838" w:rsidRDefault="008F55F9" w:rsidP="00EA51BC">
            <w:pPr>
              <w:spacing w:before="40" w:after="40" w:line="480" w:lineRule="auto"/>
              <w:ind w:left="100" w:right="100"/>
              <w:rPr>
                <w:rFonts w:ascii="Times New Roman" w:hAnsi="Times New Roman" w:cs="Times New Roman"/>
                <w:szCs w:val="21"/>
              </w:rPr>
            </w:pPr>
            <w:r w:rsidRPr="00B95838">
              <w:rPr>
                <w:rFonts w:ascii="Times New Roman" w:eastAsia="Arial" w:hAnsi="Times New Roman" w:cs="Times New Roman"/>
                <w:b/>
                <w:color w:val="111111"/>
                <w:szCs w:val="21"/>
              </w:rPr>
              <w:t xml:space="preserve">Days from last CT scan in hospital to discharge </w:t>
            </w:r>
          </w:p>
        </w:tc>
        <w:tc>
          <w:tcPr>
            <w:tcW w:w="1346" w:type="dxa"/>
            <w:shd w:val="clear" w:color="auto" w:fill="FFFFFF"/>
            <w:tcMar>
              <w:top w:w="0" w:type="dxa"/>
              <w:left w:w="0" w:type="dxa"/>
              <w:bottom w:w="0" w:type="dxa"/>
              <w:right w:w="0" w:type="dxa"/>
            </w:tcMar>
            <w:vAlign w:val="center"/>
          </w:tcPr>
          <w:p w14:paraId="5646E52D"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color w:val="111111"/>
                <w:szCs w:val="21"/>
              </w:rPr>
              <w:t>2 (1, 3)</w:t>
            </w:r>
          </w:p>
        </w:tc>
        <w:tc>
          <w:tcPr>
            <w:tcW w:w="1658" w:type="dxa"/>
            <w:shd w:val="clear" w:color="auto" w:fill="FFFFFF"/>
            <w:tcMar>
              <w:top w:w="0" w:type="dxa"/>
              <w:left w:w="0" w:type="dxa"/>
              <w:bottom w:w="0" w:type="dxa"/>
              <w:right w:w="0" w:type="dxa"/>
            </w:tcMar>
            <w:vAlign w:val="center"/>
          </w:tcPr>
          <w:p w14:paraId="78D2E4C2"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color w:val="111111"/>
                <w:szCs w:val="21"/>
              </w:rPr>
              <w:t>3 (1, 4)</w:t>
            </w:r>
          </w:p>
        </w:tc>
        <w:tc>
          <w:tcPr>
            <w:tcW w:w="1532" w:type="dxa"/>
            <w:shd w:val="clear" w:color="auto" w:fill="FFFFFF"/>
            <w:tcMar>
              <w:top w:w="0" w:type="dxa"/>
              <w:left w:w="0" w:type="dxa"/>
              <w:bottom w:w="0" w:type="dxa"/>
              <w:right w:w="0" w:type="dxa"/>
            </w:tcMar>
            <w:vAlign w:val="center"/>
          </w:tcPr>
          <w:p w14:paraId="4D9ED884"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color w:val="111111"/>
                <w:szCs w:val="21"/>
              </w:rPr>
              <w:t>2 (1, 4)</w:t>
            </w:r>
          </w:p>
        </w:tc>
        <w:tc>
          <w:tcPr>
            <w:tcW w:w="1559" w:type="dxa"/>
            <w:shd w:val="clear" w:color="auto" w:fill="FFFFFF"/>
            <w:tcMar>
              <w:top w:w="0" w:type="dxa"/>
              <w:left w:w="0" w:type="dxa"/>
              <w:bottom w:w="0" w:type="dxa"/>
              <w:right w:w="0" w:type="dxa"/>
            </w:tcMar>
            <w:vAlign w:val="center"/>
          </w:tcPr>
          <w:p w14:paraId="61E52B79"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color w:val="111111"/>
                <w:szCs w:val="21"/>
              </w:rPr>
              <w:t>2 (1, 3)</w:t>
            </w:r>
          </w:p>
        </w:tc>
        <w:tc>
          <w:tcPr>
            <w:tcW w:w="1701" w:type="dxa"/>
            <w:shd w:val="clear" w:color="auto" w:fill="FFFFFF"/>
            <w:tcMar>
              <w:top w:w="0" w:type="dxa"/>
              <w:left w:w="0" w:type="dxa"/>
              <w:bottom w:w="0" w:type="dxa"/>
              <w:right w:w="0" w:type="dxa"/>
            </w:tcMar>
            <w:vAlign w:val="center"/>
          </w:tcPr>
          <w:p w14:paraId="2FC1B3E6"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color w:val="111111"/>
                <w:szCs w:val="21"/>
              </w:rPr>
              <w:t>3 (2, 3)</w:t>
            </w:r>
          </w:p>
        </w:tc>
        <w:tc>
          <w:tcPr>
            <w:tcW w:w="903" w:type="dxa"/>
            <w:shd w:val="clear" w:color="auto" w:fill="FFFFFF"/>
            <w:tcMar>
              <w:top w:w="0" w:type="dxa"/>
              <w:left w:w="0" w:type="dxa"/>
              <w:bottom w:w="0" w:type="dxa"/>
              <w:right w:w="0" w:type="dxa"/>
            </w:tcMar>
            <w:vAlign w:val="center"/>
          </w:tcPr>
          <w:p w14:paraId="351F4A75"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color w:val="111111"/>
                <w:szCs w:val="21"/>
              </w:rPr>
              <w:t>0.063</w:t>
            </w:r>
          </w:p>
        </w:tc>
      </w:tr>
      <w:tr w:rsidR="008F55F9" w:rsidRPr="00B95838" w14:paraId="118A67D1" w14:textId="77777777" w:rsidTr="00B473C9">
        <w:trPr>
          <w:cantSplit/>
          <w:jc w:val="center"/>
        </w:trPr>
        <w:tc>
          <w:tcPr>
            <w:tcW w:w="2977" w:type="dxa"/>
            <w:shd w:val="clear" w:color="auto" w:fill="FFFFFF"/>
            <w:tcMar>
              <w:top w:w="0" w:type="dxa"/>
              <w:left w:w="0" w:type="dxa"/>
              <w:bottom w:w="0" w:type="dxa"/>
              <w:right w:w="0" w:type="dxa"/>
            </w:tcMar>
            <w:vAlign w:val="center"/>
          </w:tcPr>
          <w:p w14:paraId="7CE59582" w14:textId="77777777" w:rsidR="008F55F9" w:rsidRPr="00B95838" w:rsidRDefault="008F55F9" w:rsidP="00EA51BC">
            <w:pPr>
              <w:spacing w:before="40" w:after="40" w:line="480" w:lineRule="auto"/>
              <w:ind w:left="100" w:right="100"/>
              <w:rPr>
                <w:rFonts w:ascii="Times New Roman" w:eastAsia="Arial" w:hAnsi="Times New Roman" w:cs="Times New Roman"/>
                <w:b/>
                <w:color w:val="111111"/>
                <w:szCs w:val="21"/>
              </w:rPr>
            </w:pPr>
            <w:r w:rsidRPr="00B95838">
              <w:rPr>
                <w:rFonts w:ascii="Times New Roman" w:eastAsia="Arial" w:hAnsi="Times New Roman" w:cs="Times New Roman"/>
                <w:b/>
                <w:color w:val="111111"/>
                <w:szCs w:val="21"/>
              </w:rPr>
              <w:t>Lymphocyte count, 10</w:t>
            </w:r>
            <w:r w:rsidRPr="00B95838">
              <w:rPr>
                <w:rFonts w:ascii="Times New Roman" w:eastAsia="Arial" w:hAnsi="Times New Roman" w:cs="Times New Roman"/>
                <w:b/>
                <w:color w:val="111111"/>
                <w:szCs w:val="21"/>
                <w:vertAlign w:val="superscript"/>
              </w:rPr>
              <w:t>9</w:t>
            </w:r>
            <w:r w:rsidRPr="00B95838">
              <w:rPr>
                <w:rFonts w:ascii="Times New Roman" w:eastAsia="Arial" w:hAnsi="Times New Roman" w:cs="Times New Roman"/>
                <w:b/>
                <w:color w:val="111111"/>
                <w:szCs w:val="21"/>
              </w:rPr>
              <w:t>/L</w:t>
            </w:r>
          </w:p>
        </w:tc>
        <w:tc>
          <w:tcPr>
            <w:tcW w:w="1346" w:type="dxa"/>
            <w:shd w:val="clear" w:color="auto" w:fill="FFFFFF"/>
            <w:tcMar>
              <w:top w:w="0" w:type="dxa"/>
              <w:left w:w="0" w:type="dxa"/>
              <w:bottom w:w="0" w:type="dxa"/>
              <w:right w:w="0" w:type="dxa"/>
            </w:tcMar>
            <w:vAlign w:val="center"/>
          </w:tcPr>
          <w:p w14:paraId="0EA597DD"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1.7 (1.4, 2.1)</w:t>
            </w:r>
          </w:p>
        </w:tc>
        <w:tc>
          <w:tcPr>
            <w:tcW w:w="1658" w:type="dxa"/>
            <w:shd w:val="clear" w:color="auto" w:fill="FFFFFF"/>
            <w:tcMar>
              <w:top w:w="0" w:type="dxa"/>
              <w:left w:w="0" w:type="dxa"/>
              <w:bottom w:w="0" w:type="dxa"/>
              <w:right w:w="0" w:type="dxa"/>
            </w:tcMar>
            <w:vAlign w:val="center"/>
          </w:tcPr>
          <w:p w14:paraId="01BFA1AD"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2.5 (2.2, 2.9)</w:t>
            </w:r>
          </w:p>
        </w:tc>
        <w:tc>
          <w:tcPr>
            <w:tcW w:w="1532" w:type="dxa"/>
            <w:shd w:val="clear" w:color="auto" w:fill="FFFFFF"/>
            <w:tcMar>
              <w:top w:w="0" w:type="dxa"/>
              <w:left w:w="0" w:type="dxa"/>
              <w:bottom w:w="0" w:type="dxa"/>
              <w:right w:w="0" w:type="dxa"/>
            </w:tcMar>
            <w:vAlign w:val="center"/>
          </w:tcPr>
          <w:p w14:paraId="2FAA19A7"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1.9 (1.6, 2.1)</w:t>
            </w:r>
          </w:p>
        </w:tc>
        <w:tc>
          <w:tcPr>
            <w:tcW w:w="1559" w:type="dxa"/>
            <w:shd w:val="clear" w:color="auto" w:fill="FFFFFF"/>
            <w:tcMar>
              <w:top w:w="0" w:type="dxa"/>
              <w:left w:w="0" w:type="dxa"/>
              <w:bottom w:w="0" w:type="dxa"/>
              <w:right w:w="0" w:type="dxa"/>
            </w:tcMar>
            <w:vAlign w:val="center"/>
          </w:tcPr>
          <w:p w14:paraId="2BA6F12A"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1.2 (1.1, 1.5)</w:t>
            </w:r>
          </w:p>
        </w:tc>
        <w:tc>
          <w:tcPr>
            <w:tcW w:w="1701" w:type="dxa"/>
            <w:shd w:val="clear" w:color="auto" w:fill="FFFFFF"/>
            <w:tcMar>
              <w:top w:w="0" w:type="dxa"/>
              <w:left w:w="0" w:type="dxa"/>
              <w:bottom w:w="0" w:type="dxa"/>
              <w:right w:w="0" w:type="dxa"/>
            </w:tcMar>
            <w:vAlign w:val="center"/>
          </w:tcPr>
          <w:p w14:paraId="3E7EAC67"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1.5 (1.1, 1.7)</w:t>
            </w:r>
          </w:p>
        </w:tc>
        <w:tc>
          <w:tcPr>
            <w:tcW w:w="903" w:type="dxa"/>
            <w:shd w:val="clear" w:color="auto" w:fill="FFFFFF"/>
            <w:tcMar>
              <w:top w:w="0" w:type="dxa"/>
              <w:left w:w="0" w:type="dxa"/>
              <w:bottom w:w="0" w:type="dxa"/>
              <w:right w:w="0" w:type="dxa"/>
            </w:tcMar>
            <w:vAlign w:val="center"/>
          </w:tcPr>
          <w:p w14:paraId="1CA8C496"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&lt; 0.001</w:t>
            </w:r>
          </w:p>
        </w:tc>
      </w:tr>
      <w:tr w:rsidR="008F55F9" w:rsidRPr="00B95838" w14:paraId="3C41A5A0" w14:textId="77777777" w:rsidTr="00B473C9">
        <w:trPr>
          <w:cantSplit/>
          <w:jc w:val="center"/>
        </w:trPr>
        <w:tc>
          <w:tcPr>
            <w:tcW w:w="2977" w:type="dxa"/>
            <w:tcBorders>
              <w:bottom w:val="single" w:sz="16" w:space="0" w:color="000000"/>
            </w:tcBorders>
            <w:shd w:val="clear" w:color="auto" w:fill="FFFFFF"/>
            <w:tcMar>
              <w:top w:w="0" w:type="dxa"/>
              <w:left w:w="0" w:type="dxa"/>
              <w:bottom w:w="0" w:type="dxa"/>
              <w:right w:w="0" w:type="dxa"/>
            </w:tcMar>
            <w:vAlign w:val="center"/>
          </w:tcPr>
          <w:p w14:paraId="05BD6EAF" w14:textId="77777777" w:rsidR="008F55F9" w:rsidRPr="00B95838" w:rsidRDefault="008F55F9" w:rsidP="00EA51BC">
            <w:pPr>
              <w:spacing w:before="40" w:after="40" w:line="480" w:lineRule="auto"/>
              <w:ind w:left="100" w:right="100"/>
              <w:rPr>
                <w:rFonts w:ascii="Times New Roman" w:eastAsia="Arial" w:hAnsi="Times New Roman" w:cs="Times New Roman"/>
                <w:b/>
                <w:color w:val="111111"/>
                <w:szCs w:val="21"/>
              </w:rPr>
            </w:pPr>
            <w:r w:rsidRPr="00B95838">
              <w:rPr>
                <w:rFonts w:ascii="Times New Roman" w:eastAsia="Arial" w:hAnsi="Times New Roman" w:cs="Times New Roman"/>
                <w:b/>
                <w:color w:val="111111"/>
                <w:szCs w:val="21"/>
              </w:rPr>
              <w:t>Days from last biochemical test in hospital to discharge</w:t>
            </w:r>
          </w:p>
        </w:tc>
        <w:tc>
          <w:tcPr>
            <w:tcW w:w="1346" w:type="dxa"/>
            <w:tcBorders>
              <w:bottom w:val="single" w:sz="16" w:space="0" w:color="000000"/>
            </w:tcBorders>
            <w:shd w:val="clear" w:color="auto" w:fill="FFFFFF"/>
            <w:tcMar>
              <w:top w:w="0" w:type="dxa"/>
              <w:left w:w="0" w:type="dxa"/>
              <w:bottom w:w="0" w:type="dxa"/>
              <w:right w:w="0" w:type="dxa"/>
            </w:tcMar>
            <w:vAlign w:val="center"/>
          </w:tcPr>
          <w:p w14:paraId="4F4BD410"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3 (2, 4)</w:t>
            </w:r>
          </w:p>
        </w:tc>
        <w:tc>
          <w:tcPr>
            <w:tcW w:w="1658" w:type="dxa"/>
            <w:tcBorders>
              <w:bottom w:val="single" w:sz="16" w:space="0" w:color="000000"/>
            </w:tcBorders>
            <w:shd w:val="clear" w:color="auto" w:fill="FFFFFF"/>
            <w:tcMar>
              <w:top w:w="0" w:type="dxa"/>
              <w:left w:w="0" w:type="dxa"/>
              <w:bottom w:w="0" w:type="dxa"/>
              <w:right w:w="0" w:type="dxa"/>
            </w:tcMar>
            <w:vAlign w:val="center"/>
          </w:tcPr>
          <w:p w14:paraId="2B135543"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3 (2, 4)</w:t>
            </w:r>
          </w:p>
        </w:tc>
        <w:tc>
          <w:tcPr>
            <w:tcW w:w="1532" w:type="dxa"/>
            <w:tcBorders>
              <w:bottom w:val="single" w:sz="16" w:space="0" w:color="000000"/>
            </w:tcBorders>
            <w:shd w:val="clear" w:color="auto" w:fill="FFFFFF"/>
            <w:tcMar>
              <w:top w:w="0" w:type="dxa"/>
              <w:left w:w="0" w:type="dxa"/>
              <w:bottom w:w="0" w:type="dxa"/>
              <w:right w:w="0" w:type="dxa"/>
            </w:tcMar>
            <w:vAlign w:val="center"/>
          </w:tcPr>
          <w:p w14:paraId="1FBAB0F3"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3 (2, 4)</w:t>
            </w:r>
          </w:p>
        </w:tc>
        <w:tc>
          <w:tcPr>
            <w:tcW w:w="1559" w:type="dxa"/>
            <w:tcBorders>
              <w:bottom w:val="single" w:sz="16" w:space="0" w:color="000000"/>
            </w:tcBorders>
            <w:shd w:val="clear" w:color="auto" w:fill="FFFFFF"/>
            <w:tcMar>
              <w:top w:w="0" w:type="dxa"/>
              <w:left w:w="0" w:type="dxa"/>
              <w:bottom w:w="0" w:type="dxa"/>
              <w:right w:w="0" w:type="dxa"/>
            </w:tcMar>
            <w:vAlign w:val="center"/>
          </w:tcPr>
          <w:p w14:paraId="58232A4D"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3 (2, 4)</w:t>
            </w:r>
          </w:p>
        </w:tc>
        <w:tc>
          <w:tcPr>
            <w:tcW w:w="1701" w:type="dxa"/>
            <w:tcBorders>
              <w:bottom w:val="single" w:sz="16" w:space="0" w:color="000000"/>
            </w:tcBorders>
            <w:shd w:val="clear" w:color="auto" w:fill="FFFFFF"/>
            <w:tcMar>
              <w:top w:w="0" w:type="dxa"/>
              <w:left w:w="0" w:type="dxa"/>
              <w:bottom w:w="0" w:type="dxa"/>
              <w:right w:w="0" w:type="dxa"/>
            </w:tcMar>
            <w:vAlign w:val="center"/>
          </w:tcPr>
          <w:p w14:paraId="581AA583"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3 (2, 4)</w:t>
            </w:r>
          </w:p>
        </w:tc>
        <w:tc>
          <w:tcPr>
            <w:tcW w:w="903" w:type="dxa"/>
            <w:tcBorders>
              <w:bottom w:val="single" w:sz="16" w:space="0" w:color="000000"/>
            </w:tcBorders>
            <w:shd w:val="clear" w:color="auto" w:fill="FFFFFF"/>
            <w:tcMar>
              <w:top w:w="0" w:type="dxa"/>
              <w:left w:w="0" w:type="dxa"/>
              <w:bottom w:w="0" w:type="dxa"/>
              <w:right w:w="0" w:type="dxa"/>
            </w:tcMar>
            <w:vAlign w:val="center"/>
          </w:tcPr>
          <w:p w14:paraId="114C6EC1"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0.157</w:t>
            </w:r>
          </w:p>
        </w:tc>
      </w:tr>
    </w:tbl>
    <w:p w14:paraId="3D7BB7DA" w14:textId="77777777" w:rsidR="008F55F9" w:rsidRPr="00B95838" w:rsidRDefault="008F55F9" w:rsidP="00EA51BC">
      <w:pPr>
        <w:spacing w:line="480" w:lineRule="auto"/>
        <w:rPr>
          <w:rFonts w:ascii="Times New Roman" w:hAnsi="Times New Roman" w:cs="Times New Roman"/>
        </w:rPr>
      </w:pPr>
      <w:r w:rsidRPr="00B95838">
        <w:rPr>
          <w:rFonts w:ascii="Times New Roman" w:eastAsia="Arial" w:hAnsi="Times New Roman" w:cs="Times New Roman"/>
          <w:color w:val="000000"/>
          <w:szCs w:val="21"/>
        </w:rPr>
        <w:t>Note: Statistics presented: median (IQR). Statistical test performed: Kruskal-Wallis test.</w:t>
      </w:r>
    </w:p>
    <w:p w14:paraId="4E490009" w14:textId="77777777" w:rsidR="008F55F9" w:rsidRPr="00B95838" w:rsidRDefault="008F55F9" w:rsidP="00EA51BC">
      <w:pPr>
        <w:widowControl/>
        <w:spacing w:line="480" w:lineRule="auto"/>
        <w:jc w:val="left"/>
        <w:rPr>
          <w:rFonts w:ascii="Times New Roman" w:hAnsi="Times New Roman" w:cs="Times New Roman"/>
        </w:rPr>
      </w:pPr>
      <w:r w:rsidRPr="00B95838">
        <w:rPr>
          <w:rFonts w:ascii="Times New Roman" w:hAnsi="Times New Roman" w:cs="Times New Roman"/>
        </w:rPr>
        <w:br w:type="page"/>
      </w:r>
    </w:p>
    <w:p w14:paraId="61932AF1" w14:textId="77777777" w:rsidR="008F55F9" w:rsidRPr="00B95838" w:rsidRDefault="008F55F9" w:rsidP="00EA51BC">
      <w:pPr>
        <w:spacing w:line="480" w:lineRule="auto"/>
        <w:rPr>
          <w:rFonts w:ascii="Times New Roman" w:hAnsi="Times New Roman" w:cs="Times New Roman"/>
        </w:rPr>
      </w:pPr>
      <w:r w:rsidRPr="00B95838">
        <w:rPr>
          <w:rFonts w:ascii="Times New Roman" w:hAnsi="Times New Roman" w:cs="Times New Roman"/>
        </w:rPr>
        <w:lastRenderedPageBreak/>
        <w:t>Table S3. Number of patients with most pneumonia lesions absorbed after symptom onset and after discharge</w:t>
      </w:r>
    </w:p>
    <w:tbl>
      <w:tblPr>
        <w:tblW w:w="11482" w:type="dxa"/>
        <w:jc w:val="center"/>
        <w:tblLayout w:type="fixed"/>
        <w:tblLook w:val="0420" w:firstRow="1" w:lastRow="0" w:firstColumn="0" w:lastColumn="0" w:noHBand="0" w:noVBand="1"/>
      </w:tblPr>
      <w:tblGrid>
        <w:gridCol w:w="3828"/>
        <w:gridCol w:w="1275"/>
        <w:gridCol w:w="1276"/>
        <w:gridCol w:w="1276"/>
        <w:gridCol w:w="1276"/>
        <w:gridCol w:w="1134"/>
        <w:gridCol w:w="1417"/>
      </w:tblGrid>
      <w:tr w:rsidR="008F55F9" w:rsidRPr="00B95838" w14:paraId="54917CC7" w14:textId="77777777" w:rsidTr="00B473C9">
        <w:trPr>
          <w:cantSplit/>
          <w:tblHeader/>
          <w:jc w:val="center"/>
        </w:trPr>
        <w:tc>
          <w:tcPr>
            <w:tcW w:w="3828"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65E338F0" w14:textId="77777777" w:rsidR="008F55F9" w:rsidRPr="00B95838" w:rsidRDefault="008F55F9" w:rsidP="00EA51BC">
            <w:pPr>
              <w:spacing w:before="40" w:after="40" w:line="480" w:lineRule="auto"/>
              <w:ind w:left="100" w:right="100"/>
              <w:rPr>
                <w:rFonts w:ascii="Times New Roman" w:hAnsi="Times New Roman" w:cs="Times New Roman"/>
                <w:b/>
                <w:szCs w:val="21"/>
              </w:rPr>
            </w:pPr>
            <w:r w:rsidRPr="00B95838">
              <w:rPr>
                <w:rFonts w:ascii="Times New Roman" w:eastAsia="Arial" w:hAnsi="Times New Roman" w:cs="Times New Roman"/>
                <w:b/>
                <w:color w:val="111111"/>
                <w:szCs w:val="21"/>
              </w:rPr>
              <w:t>Variable</w:t>
            </w:r>
          </w:p>
        </w:tc>
        <w:tc>
          <w:tcPr>
            <w:tcW w:w="1275"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590C43C6" w14:textId="77777777" w:rsidR="008F55F9" w:rsidRPr="00B95838" w:rsidRDefault="008F55F9" w:rsidP="00EA51BC">
            <w:pPr>
              <w:spacing w:before="40" w:after="40" w:line="480" w:lineRule="auto"/>
              <w:ind w:left="100" w:right="100"/>
              <w:jc w:val="center"/>
              <w:rPr>
                <w:rFonts w:ascii="Times New Roman" w:eastAsia="Arial" w:hAnsi="Times New Roman" w:cs="Times New Roman"/>
                <w:b/>
                <w:color w:val="111111"/>
                <w:szCs w:val="21"/>
              </w:rPr>
            </w:pPr>
            <w:r w:rsidRPr="00B95838">
              <w:rPr>
                <w:rFonts w:ascii="Times New Roman" w:eastAsia="Arial" w:hAnsi="Times New Roman" w:cs="Times New Roman"/>
                <w:b/>
                <w:color w:val="111111"/>
                <w:szCs w:val="21"/>
              </w:rPr>
              <w:t>Overall</w:t>
            </w:r>
          </w:p>
          <w:p w14:paraId="4690F50C" w14:textId="598BEFFE" w:rsidR="008F55F9" w:rsidRPr="00B95838" w:rsidRDefault="008F55F9" w:rsidP="00EA51BC">
            <w:pPr>
              <w:spacing w:before="40" w:after="40" w:line="480" w:lineRule="auto"/>
              <w:ind w:left="100" w:right="100"/>
              <w:jc w:val="center"/>
              <w:rPr>
                <w:rFonts w:ascii="Times New Roman" w:hAnsi="Times New Roman" w:cs="Times New Roman"/>
                <w:b/>
                <w:szCs w:val="21"/>
              </w:rPr>
            </w:pPr>
            <w:r w:rsidRPr="00B95838">
              <w:rPr>
                <w:rFonts w:ascii="Times New Roman" w:eastAsia="Arial" w:hAnsi="Times New Roman" w:cs="Times New Roman"/>
                <w:b/>
                <w:color w:val="111111"/>
                <w:szCs w:val="21"/>
              </w:rPr>
              <w:t>(</w:t>
            </w:r>
            <w:r w:rsidR="004B11A9">
              <w:rPr>
                <w:rFonts w:ascii="Times New Roman" w:eastAsia="Arial" w:hAnsi="Times New Roman" w:cs="Times New Roman"/>
                <w:b/>
                <w:color w:val="111111"/>
                <w:szCs w:val="21"/>
              </w:rPr>
              <w:t xml:space="preserve">N = </w:t>
            </w:r>
            <w:r w:rsidRPr="00B95838">
              <w:rPr>
                <w:rFonts w:ascii="Times New Roman" w:eastAsia="Arial" w:hAnsi="Times New Roman" w:cs="Times New Roman"/>
                <w:b/>
                <w:color w:val="111111"/>
                <w:szCs w:val="21"/>
              </w:rPr>
              <w:t>257)</w:t>
            </w:r>
          </w:p>
        </w:tc>
        <w:tc>
          <w:tcPr>
            <w:tcW w:w="1276"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42159956" w14:textId="77777777" w:rsidR="008F55F9" w:rsidRPr="00B95838" w:rsidRDefault="008F55F9" w:rsidP="00EA51BC">
            <w:pPr>
              <w:spacing w:before="40" w:after="40" w:line="480" w:lineRule="auto"/>
              <w:ind w:left="100" w:right="100"/>
              <w:jc w:val="center"/>
              <w:rPr>
                <w:rFonts w:ascii="Times New Roman" w:eastAsia="Arial" w:hAnsi="Times New Roman" w:cs="Times New Roman"/>
                <w:b/>
                <w:color w:val="111111"/>
                <w:szCs w:val="21"/>
              </w:rPr>
            </w:pPr>
            <w:r w:rsidRPr="00B95838">
              <w:rPr>
                <w:rFonts w:ascii="Times New Roman" w:eastAsia="Arial" w:hAnsi="Times New Roman" w:cs="Times New Roman"/>
                <w:b/>
                <w:color w:val="111111"/>
                <w:szCs w:val="21"/>
              </w:rPr>
              <w:t>Group 1</w:t>
            </w:r>
          </w:p>
          <w:p w14:paraId="51A85920" w14:textId="0C76DEB9" w:rsidR="008F55F9" w:rsidRPr="00B95838" w:rsidRDefault="008F55F9" w:rsidP="00EA51BC">
            <w:pPr>
              <w:spacing w:before="40" w:after="40" w:line="480" w:lineRule="auto"/>
              <w:ind w:left="100" w:right="100"/>
              <w:jc w:val="center"/>
              <w:rPr>
                <w:rFonts w:ascii="Times New Roman" w:hAnsi="Times New Roman" w:cs="Times New Roman"/>
                <w:b/>
                <w:szCs w:val="21"/>
              </w:rPr>
            </w:pPr>
            <w:r w:rsidRPr="00B95838">
              <w:rPr>
                <w:rFonts w:ascii="Times New Roman" w:eastAsia="Arial" w:hAnsi="Times New Roman" w:cs="Times New Roman"/>
                <w:b/>
                <w:color w:val="111111"/>
                <w:szCs w:val="21"/>
              </w:rPr>
              <w:t>(</w:t>
            </w:r>
            <w:r w:rsidR="004B11A9">
              <w:rPr>
                <w:rFonts w:ascii="Times New Roman" w:eastAsia="Arial" w:hAnsi="Times New Roman" w:cs="Times New Roman"/>
                <w:b/>
                <w:color w:val="111111"/>
                <w:szCs w:val="21"/>
              </w:rPr>
              <w:t xml:space="preserve">N = </w:t>
            </w:r>
            <w:r w:rsidRPr="00B95838">
              <w:rPr>
                <w:rFonts w:ascii="Times New Roman" w:eastAsia="Arial" w:hAnsi="Times New Roman" w:cs="Times New Roman"/>
                <w:b/>
                <w:color w:val="111111"/>
                <w:szCs w:val="21"/>
              </w:rPr>
              <w:t>36)</w:t>
            </w:r>
          </w:p>
        </w:tc>
        <w:tc>
          <w:tcPr>
            <w:tcW w:w="1276"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426FF525" w14:textId="77777777" w:rsidR="008F55F9" w:rsidRPr="00B95838" w:rsidRDefault="008F55F9" w:rsidP="00EA51BC">
            <w:pPr>
              <w:spacing w:before="40" w:after="40" w:line="480" w:lineRule="auto"/>
              <w:ind w:left="100" w:right="100"/>
              <w:jc w:val="center"/>
              <w:rPr>
                <w:rFonts w:ascii="Times New Roman" w:eastAsia="Arial" w:hAnsi="Times New Roman" w:cs="Times New Roman"/>
                <w:b/>
                <w:color w:val="111111"/>
                <w:szCs w:val="21"/>
              </w:rPr>
            </w:pPr>
            <w:r w:rsidRPr="00B95838">
              <w:rPr>
                <w:rFonts w:ascii="Times New Roman" w:eastAsia="Arial" w:hAnsi="Times New Roman" w:cs="Times New Roman"/>
                <w:b/>
                <w:color w:val="111111"/>
                <w:szCs w:val="21"/>
              </w:rPr>
              <w:t>Group 2</w:t>
            </w:r>
          </w:p>
          <w:p w14:paraId="5C1C6215" w14:textId="273AE830" w:rsidR="008F55F9" w:rsidRPr="00B95838" w:rsidRDefault="008F55F9" w:rsidP="00EA51BC">
            <w:pPr>
              <w:spacing w:before="40" w:after="40" w:line="480" w:lineRule="auto"/>
              <w:ind w:left="100" w:right="100"/>
              <w:jc w:val="center"/>
              <w:rPr>
                <w:rFonts w:ascii="Times New Roman" w:hAnsi="Times New Roman" w:cs="Times New Roman"/>
                <w:b/>
                <w:szCs w:val="21"/>
              </w:rPr>
            </w:pPr>
            <w:r w:rsidRPr="00B95838">
              <w:rPr>
                <w:rFonts w:ascii="Times New Roman" w:eastAsia="Arial" w:hAnsi="Times New Roman" w:cs="Times New Roman"/>
                <w:b/>
                <w:color w:val="111111"/>
                <w:szCs w:val="21"/>
              </w:rPr>
              <w:t>(</w:t>
            </w:r>
            <w:r w:rsidR="004B11A9">
              <w:rPr>
                <w:rFonts w:ascii="Times New Roman" w:eastAsia="Arial" w:hAnsi="Times New Roman" w:cs="Times New Roman"/>
                <w:b/>
                <w:color w:val="111111"/>
                <w:szCs w:val="21"/>
              </w:rPr>
              <w:t xml:space="preserve">N = </w:t>
            </w:r>
            <w:r w:rsidRPr="00B95838">
              <w:rPr>
                <w:rFonts w:ascii="Times New Roman" w:eastAsia="Arial" w:hAnsi="Times New Roman" w:cs="Times New Roman"/>
                <w:b/>
                <w:color w:val="111111"/>
                <w:szCs w:val="21"/>
              </w:rPr>
              <w:t>117)</w:t>
            </w:r>
          </w:p>
        </w:tc>
        <w:tc>
          <w:tcPr>
            <w:tcW w:w="1276"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47EBB112" w14:textId="77777777" w:rsidR="008F55F9" w:rsidRPr="00B95838" w:rsidRDefault="008F55F9" w:rsidP="00EA51BC">
            <w:pPr>
              <w:spacing w:before="40" w:after="40" w:line="480" w:lineRule="auto"/>
              <w:ind w:left="100" w:right="100"/>
              <w:jc w:val="center"/>
              <w:rPr>
                <w:rFonts w:ascii="Times New Roman" w:eastAsia="Arial" w:hAnsi="Times New Roman" w:cs="Times New Roman"/>
                <w:b/>
                <w:color w:val="111111"/>
                <w:szCs w:val="21"/>
              </w:rPr>
            </w:pPr>
            <w:r w:rsidRPr="00B95838">
              <w:rPr>
                <w:rFonts w:ascii="Times New Roman" w:eastAsia="Arial" w:hAnsi="Times New Roman" w:cs="Times New Roman"/>
                <w:b/>
                <w:color w:val="111111"/>
                <w:szCs w:val="21"/>
              </w:rPr>
              <w:t>Group 3</w:t>
            </w:r>
          </w:p>
          <w:p w14:paraId="37F4D987" w14:textId="4895F57F" w:rsidR="008F55F9" w:rsidRPr="00B95838" w:rsidRDefault="008F55F9" w:rsidP="00EA51BC">
            <w:pPr>
              <w:spacing w:before="40" w:after="40" w:line="480" w:lineRule="auto"/>
              <w:ind w:left="100" w:right="100"/>
              <w:jc w:val="center"/>
              <w:rPr>
                <w:rFonts w:ascii="Times New Roman" w:hAnsi="Times New Roman" w:cs="Times New Roman"/>
                <w:b/>
                <w:szCs w:val="21"/>
              </w:rPr>
            </w:pPr>
            <w:r w:rsidRPr="00B95838">
              <w:rPr>
                <w:rFonts w:ascii="Times New Roman" w:eastAsia="Arial" w:hAnsi="Times New Roman" w:cs="Times New Roman"/>
                <w:b/>
                <w:color w:val="111111"/>
                <w:szCs w:val="21"/>
              </w:rPr>
              <w:t>(</w:t>
            </w:r>
            <w:r w:rsidR="004B11A9">
              <w:rPr>
                <w:rFonts w:ascii="Times New Roman" w:eastAsia="Arial" w:hAnsi="Times New Roman" w:cs="Times New Roman"/>
                <w:b/>
                <w:color w:val="111111"/>
                <w:szCs w:val="21"/>
              </w:rPr>
              <w:t xml:space="preserve">N = </w:t>
            </w:r>
            <w:r w:rsidRPr="00B95838">
              <w:rPr>
                <w:rFonts w:ascii="Times New Roman" w:eastAsia="Arial" w:hAnsi="Times New Roman" w:cs="Times New Roman"/>
                <w:b/>
                <w:color w:val="111111"/>
                <w:szCs w:val="21"/>
              </w:rPr>
              <w:t>64)</w:t>
            </w:r>
          </w:p>
        </w:tc>
        <w:tc>
          <w:tcPr>
            <w:tcW w:w="1134"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4749EFA7" w14:textId="77777777" w:rsidR="008F55F9" w:rsidRPr="00B95838" w:rsidRDefault="008F55F9" w:rsidP="00EA51BC">
            <w:pPr>
              <w:spacing w:before="40" w:after="40" w:line="480" w:lineRule="auto"/>
              <w:ind w:left="100" w:right="100"/>
              <w:jc w:val="center"/>
              <w:rPr>
                <w:rFonts w:ascii="Times New Roman" w:eastAsia="Arial" w:hAnsi="Times New Roman" w:cs="Times New Roman"/>
                <w:b/>
                <w:color w:val="111111"/>
                <w:szCs w:val="21"/>
              </w:rPr>
            </w:pPr>
            <w:r w:rsidRPr="00B95838">
              <w:rPr>
                <w:rFonts w:ascii="Times New Roman" w:eastAsia="Arial" w:hAnsi="Times New Roman" w:cs="Times New Roman"/>
                <w:b/>
                <w:color w:val="111111"/>
                <w:szCs w:val="21"/>
              </w:rPr>
              <w:t>Group 4</w:t>
            </w:r>
          </w:p>
          <w:p w14:paraId="7A7BAAD0" w14:textId="31DF2A91" w:rsidR="008F55F9" w:rsidRPr="00B95838" w:rsidRDefault="008F55F9" w:rsidP="00EA51BC">
            <w:pPr>
              <w:spacing w:before="40" w:after="40" w:line="480" w:lineRule="auto"/>
              <w:ind w:left="100" w:right="100"/>
              <w:jc w:val="center"/>
              <w:rPr>
                <w:rFonts w:ascii="Times New Roman" w:hAnsi="Times New Roman" w:cs="Times New Roman"/>
                <w:b/>
                <w:szCs w:val="21"/>
              </w:rPr>
            </w:pPr>
            <w:r w:rsidRPr="00B95838">
              <w:rPr>
                <w:rFonts w:ascii="Times New Roman" w:eastAsia="Arial" w:hAnsi="Times New Roman" w:cs="Times New Roman"/>
                <w:b/>
                <w:color w:val="111111"/>
                <w:szCs w:val="21"/>
              </w:rPr>
              <w:t>(</w:t>
            </w:r>
            <w:r w:rsidR="004B11A9">
              <w:rPr>
                <w:rFonts w:ascii="Times New Roman" w:eastAsia="Arial" w:hAnsi="Times New Roman" w:cs="Times New Roman"/>
                <w:b/>
                <w:color w:val="111111"/>
                <w:szCs w:val="21"/>
              </w:rPr>
              <w:t xml:space="preserve">N = </w:t>
            </w:r>
            <w:r w:rsidRPr="00B95838">
              <w:rPr>
                <w:rFonts w:ascii="Times New Roman" w:eastAsia="Arial" w:hAnsi="Times New Roman" w:cs="Times New Roman"/>
                <w:b/>
                <w:color w:val="111111"/>
                <w:szCs w:val="21"/>
              </w:rPr>
              <w:t>40)</w:t>
            </w:r>
          </w:p>
        </w:tc>
        <w:tc>
          <w:tcPr>
            <w:tcW w:w="1417" w:type="dxa"/>
            <w:tcBorders>
              <w:top w:val="single" w:sz="16" w:space="0" w:color="000000"/>
              <w:bottom w:val="single" w:sz="16" w:space="0" w:color="000000"/>
            </w:tcBorders>
            <w:shd w:val="clear" w:color="auto" w:fill="FFFFFF"/>
            <w:tcMar>
              <w:top w:w="0" w:type="dxa"/>
              <w:left w:w="0" w:type="dxa"/>
              <w:bottom w:w="0" w:type="dxa"/>
              <w:right w:w="0" w:type="dxa"/>
            </w:tcMar>
            <w:vAlign w:val="center"/>
          </w:tcPr>
          <w:p w14:paraId="7554E2E6" w14:textId="77777777" w:rsidR="008F55F9" w:rsidRPr="00B95838" w:rsidRDefault="008F55F9" w:rsidP="00EA51BC">
            <w:pPr>
              <w:spacing w:before="40" w:after="40" w:line="480" w:lineRule="auto"/>
              <w:ind w:left="100" w:right="100"/>
              <w:jc w:val="center"/>
              <w:rPr>
                <w:rFonts w:ascii="Times New Roman" w:hAnsi="Times New Roman" w:cs="Times New Roman"/>
                <w:b/>
                <w:szCs w:val="21"/>
              </w:rPr>
            </w:pPr>
            <w:r w:rsidRPr="00B95838">
              <w:rPr>
                <w:rFonts w:ascii="Times New Roman" w:eastAsia="Arial" w:hAnsi="Times New Roman" w:cs="Times New Roman"/>
                <w:b/>
                <w:iCs/>
                <w:color w:val="111111"/>
                <w:szCs w:val="21"/>
              </w:rPr>
              <w:t xml:space="preserve">P </w:t>
            </w:r>
            <w:r w:rsidRPr="00B95838">
              <w:rPr>
                <w:rFonts w:ascii="Times New Roman" w:eastAsia="Arial" w:hAnsi="Times New Roman" w:cs="Times New Roman"/>
                <w:b/>
                <w:color w:val="111111"/>
                <w:szCs w:val="21"/>
              </w:rPr>
              <w:t>value</w:t>
            </w:r>
          </w:p>
        </w:tc>
      </w:tr>
      <w:tr w:rsidR="008F55F9" w:rsidRPr="00B95838" w14:paraId="5145FAC6" w14:textId="77777777" w:rsidTr="00B473C9">
        <w:trPr>
          <w:cantSplit/>
          <w:jc w:val="center"/>
        </w:trPr>
        <w:tc>
          <w:tcPr>
            <w:tcW w:w="3828" w:type="dxa"/>
            <w:shd w:val="clear" w:color="auto" w:fill="FFFFFF"/>
            <w:tcMar>
              <w:top w:w="0" w:type="dxa"/>
              <w:left w:w="0" w:type="dxa"/>
              <w:bottom w:w="0" w:type="dxa"/>
              <w:right w:w="0" w:type="dxa"/>
            </w:tcMar>
            <w:vAlign w:val="center"/>
          </w:tcPr>
          <w:p w14:paraId="6C6CB56F" w14:textId="77777777" w:rsidR="008F55F9" w:rsidRPr="00B95838" w:rsidRDefault="008F55F9" w:rsidP="00EA51BC">
            <w:pPr>
              <w:spacing w:before="40" w:after="40" w:line="480" w:lineRule="auto"/>
              <w:ind w:right="100"/>
              <w:rPr>
                <w:rFonts w:ascii="Times New Roman" w:eastAsia="Arial" w:hAnsi="Times New Roman" w:cs="Times New Roman"/>
                <w:b/>
                <w:color w:val="111111"/>
                <w:szCs w:val="21"/>
              </w:rPr>
            </w:pPr>
            <w:r w:rsidRPr="00B95838">
              <w:rPr>
                <w:rFonts w:ascii="Times New Roman" w:eastAsia="Arial" w:hAnsi="Times New Roman" w:cs="Times New Roman"/>
                <w:b/>
                <w:color w:val="111111"/>
                <w:szCs w:val="21"/>
              </w:rPr>
              <w:t>Days post-symptom onset</w:t>
            </w:r>
          </w:p>
        </w:tc>
        <w:tc>
          <w:tcPr>
            <w:tcW w:w="1275" w:type="dxa"/>
            <w:shd w:val="clear" w:color="auto" w:fill="FFFFFF"/>
            <w:tcMar>
              <w:top w:w="0" w:type="dxa"/>
              <w:left w:w="0" w:type="dxa"/>
              <w:bottom w:w="0" w:type="dxa"/>
              <w:right w:w="0" w:type="dxa"/>
            </w:tcMar>
            <w:vAlign w:val="center"/>
          </w:tcPr>
          <w:p w14:paraId="217946AE"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p>
        </w:tc>
        <w:tc>
          <w:tcPr>
            <w:tcW w:w="1276" w:type="dxa"/>
            <w:shd w:val="clear" w:color="auto" w:fill="FFFFFF"/>
            <w:tcMar>
              <w:top w:w="0" w:type="dxa"/>
              <w:left w:w="0" w:type="dxa"/>
              <w:bottom w:w="0" w:type="dxa"/>
              <w:right w:w="0" w:type="dxa"/>
            </w:tcMar>
            <w:vAlign w:val="center"/>
          </w:tcPr>
          <w:p w14:paraId="449955A8"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p>
        </w:tc>
        <w:tc>
          <w:tcPr>
            <w:tcW w:w="1276" w:type="dxa"/>
            <w:shd w:val="clear" w:color="auto" w:fill="FFFFFF"/>
            <w:tcMar>
              <w:top w:w="0" w:type="dxa"/>
              <w:left w:w="0" w:type="dxa"/>
              <w:bottom w:w="0" w:type="dxa"/>
              <w:right w:w="0" w:type="dxa"/>
            </w:tcMar>
            <w:vAlign w:val="center"/>
          </w:tcPr>
          <w:p w14:paraId="4977DCB5"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p>
        </w:tc>
        <w:tc>
          <w:tcPr>
            <w:tcW w:w="1276" w:type="dxa"/>
            <w:shd w:val="clear" w:color="auto" w:fill="FFFFFF"/>
            <w:tcMar>
              <w:top w:w="0" w:type="dxa"/>
              <w:left w:w="0" w:type="dxa"/>
              <w:bottom w:w="0" w:type="dxa"/>
              <w:right w:w="0" w:type="dxa"/>
            </w:tcMar>
            <w:vAlign w:val="center"/>
          </w:tcPr>
          <w:p w14:paraId="165ADAF5"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p>
        </w:tc>
        <w:tc>
          <w:tcPr>
            <w:tcW w:w="1134" w:type="dxa"/>
            <w:shd w:val="clear" w:color="auto" w:fill="FFFFFF"/>
            <w:tcMar>
              <w:top w:w="0" w:type="dxa"/>
              <w:left w:w="0" w:type="dxa"/>
              <w:bottom w:w="0" w:type="dxa"/>
              <w:right w:w="0" w:type="dxa"/>
            </w:tcMar>
            <w:vAlign w:val="center"/>
          </w:tcPr>
          <w:p w14:paraId="368E9C41"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p>
        </w:tc>
        <w:tc>
          <w:tcPr>
            <w:tcW w:w="1417" w:type="dxa"/>
            <w:shd w:val="clear" w:color="auto" w:fill="FFFFFF"/>
            <w:tcMar>
              <w:top w:w="0" w:type="dxa"/>
              <w:left w:w="0" w:type="dxa"/>
              <w:bottom w:w="0" w:type="dxa"/>
              <w:right w:w="0" w:type="dxa"/>
            </w:tcMar>
            <w:vAlign w:val="center"/>
          </w:tcPr>
          <w:p w14:paraId="180D4CBF"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p>
        </w:tc>
      </w:tr>
      <w:tr w:rsidR="008F55F9" w:rsidRPr="00B95838" w14:paraId="7C182F44" w14:textId="77777777" w:rsidTr="00B473C9">
        <w:trPr>
          <w:cantSplit/>
          <w:jc w:val="center"/>
        </w:trPr>
        <w:tc>
          <w:tcPr>
            <w:tcW w:w="3828" w:type="dxa"/>
            <w:shd w:val="clear" w:color="auto" w:fill="FFFFFF"/>
            <w:tcMar>
              <w:top w:w="0" w:type="dxa"/>
              <w:left w:w="0" w:type="dxa"/>
              <w:bottom w:w="0" w:type="dxa"/>
              <w:right w:w="0" w:type="dxa"/>
            </w:tcMar>
            <w:vAlign w:val="center"/>
          </w:tcPr>
          <w:p w14:paraId="04B27166" w14:textId="77777777" w:rsidR="008F55F9" w:rsidRPr="00B95838" w:rsidRDefault="008F55F9" w:rsidP="00EA51BC">
            <w:pPr>
              <w:spacing w:before="40" w:after="40" w:line="480" w:lineRule="auto"/>
              <w:ind w:right="100" w:firstLine="220"/>
              <w:rPr>
                <w:rFonts w:ascii="Times New Roman" w:hAnsi="Times New Roman" w:cs="Times New Roman"/>
                <w:szCs w:val="21"/>
              </w:rPr>
            </w:pPr>
            <w:r w:rsidRPr="00B95838">
              <w:rPr>
                <w:rFonts w:ascii="Times New Roman" w:eastAsia="Arial" w:hAnsi="Times New Roman" w:cs="Times New Roman"/>
                <w:color w:val="111111"/>
                <w:szCs w:val="21"/>
              </w:rPr>
              <w:t>Lesion percentage &lt;= 5% at 30 days</w:t>
            </w:r>
          </w:p>
        </w:tc>
        <w:tc>
          <w:tcPr>
            <w:tcW w:w="1275" w:type="dxa"/>
            <w:shd w:val="clear" w:color="auto" w:fill="FFFFFF"/>
            <w:tcMar>
              <w:top w:w="0" w:type="dxa"/>
              <w:left w:w="0" w:type="dxa"/>
              <w:bottom w:w="0" w:type="dxa"/>
              <w:right w:w="0" w:type="dxa"/>
            </w:tcMar>
            <w:vAlign w:val="center"/>
          </w:tcPr>
          <w:p w14:paraId="4CB50602"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158 (61.5%)</w:t>
            </w:r>
          </w:p>
        </w:tc>
        <w:tc>
          <w:tcPr>
            <w:tcW w:w="1276" w:type="dxa"/>
            <w:shd w:val="clear" w:color="auto" w:fill="FFFFFF"/>
            <w:tcMar>
              <w:top w:w="0" w:type="dxa"/>
              <w:left w:w="0" w:type="dxa"/>
              <w:bottom w:w="0" w:type="dxa"/>
              <w:right w:w="0" w:type="dxa"/>
            </w:tcMar>
            <w:vAlign w:val="center"/>
          </w:tcPr>
          <w:p w14:paraId="57B45E28"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36 (100%)</w:t>
            </w:r>
          </w:p>
        </w:tc>
        <w:tc>
          <w:tcPr>
            <w:tcW w:w="1276" w:type="dxa"/>
            <w:shd w:val="clear" w:color="auto" w:fill="FFFFFF"/>
            <w:tcMar>
              <w:top w:w="0" w:type="dxa"/>
              <w:left w:w="0" w:type="dxa"/>
              <w:bottom w:w="0" w:type="dxa"/>
              <w:right w:w="0" w:type="dxa"/>
            </w:tcMar>
            <w:vAlign w:val="center"/>
          </w:tcPr>
          <w:p w14:paraId="3D8CFFCB"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89 (76.1%)</w:t>
            </w:r>
          </w:p>
        </w:tc>
        <w:tc>
          <w:tcPr>
            <w:tcW w:w="1276" w:type="dxa"/>
            <w:shd w:val="clear" w:color="auto" w:fill="FFFFFF"/>
            <w:tcMar>
              <w:top w:w="0" w:type="dxa"/>
              <w:left w:w="0" w:type="dxa"/>
              <w:bottom w:w="0" w:type="dxa"/>
              <w:right w:w="0" w:type="dxa"/>
            </w:tcMar>
            <w:vAlign w:val="center"/>
          </w:tcPr>
          <w:p w14:paraId="653DF1B9"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33 (51.6%)</w:t>
            </w:r>
          </w:p>
        </w:tc>
        <w:tc>
          <w:tcPr>
            <w:tcW w:w="1134" w:type="dxa"/>
            <w:shd w:val="clear" w:color="auto" w:fill="FFFFFF"/>
            <w:tcMar>
              <w:top w:w="0" w:type="dxa"/>
              <w:left w:w="0" w:type="dxa"/>
              <w:bottom w:w="0" w:type="dxa"/>
              <w:right w:w="0" w:type="dxa"/>
            </w:tcMar>
            <w:vAlign w:val="center"/>
          </w:tcPr>
          <w:p w14:paraId="146F4464"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0 (0%)</w:t>
            </w:r>
          </w:p>
        </w:tc>
        <w:tc>
          <w:tcPr>
            <w:tcW w:w="1417" w:type="dxa"/>
            <w:shd w:val="clear" w:color="auto" w:fill="FFFFFF"/>
            <w:tcMar>
              <w:top w:w="0" w:type="dxa"/>
              <w:left w:w="0" w:type="dxa"/>
              <w:bottom w:w="0" w:type="dxa"/>
              <w:right w:w="0" w:type="dxa"/>
            </w:tcMar>
            <w:vAlign w:val="center"/>
          </w:tcPr>
          <w:p w14:paraId="0B9F5F50"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color w:val="111111"/>
                <w:szCs w:val="21"/>
              </w:rPr>
              <w:t>&lt; 0.001</w:t>
            </w:r>
          </w:p>
        </w:tc>
      </w:tr>
      <w:tr w:rsidR="008F55F9" w:rsidRPr="00B95838" w14:paraId="142213C4" w14:textId="77777777" w:rsidTr="00B473C9">
        <w:trPr>
          <w:cantSplit/>
          <w:jc w:val="center"/>
        </w:trPr>
        <w:tc>
          <w:tcPr>
            <w:tcW w:w="3828" w:type="dxa"/>
            <w:shd w:val="clear" w:color="auto" w:fill="FFFFFF"/>
            <w:tcMar>
              <w:top w:w="0" w:type="dxa"/>
              <w:left w:w="0" w:type="dxa"/>
              <w:bottom w:w="0" w:type="dxa"/>
              <w:right w:w="0" w:type="dxa"/>
            </w:tcMar>
            <w:vAlign w:val="center"/>
          </w:tcPr>
          <w:p w14:paraId="46DA2E2D" w14:textId="77777777" w:rsidR="008F55F9" w:rsidRPr="00B95838" w:rsidRDefault="008F55F9" w:rsidP="00EA51BC">
            <w:pPr>
              <w:spacing w:before="40" w:after="40" w:line="480" w:lineRule="auto"/>
              <w:ind w:right="100" w:firstLine="220"/>
              <w:rPr>
                <w:rFonts w:ascii="Times New Roman" w:hAnsi="Times New Roman" w:cs="Times New Roman"/>
                <w:szCs w:val="21"/>
              </w:rPr>
            </w:pPr>
            <w:r w:rsidRPr="00B95838">
              <w:rPr>
                <w:rFonts w:ascii="Times New Roman" w:eastAsia="Arial" w:hAnsi="Times New Roman" w:cs="Times New Roman"/>
                <w:color w:val="111111"/>
                <w:szCs w:val="21"/>
              </w:rPr>
              <w:t>Lesion percentage &lt;= 5% at 60 days</w:t>
            </w:r>
          </w:p>
        </w:tc>
        <w:tc>
          <w:tcPr>
            <w:tcW w:w="1275" w:type="dxa"/>
            <w:shd w:val="clear" w:color="auto" w:fill="FFFFFF"/>
            <w:tcMar>
              <w:top w:w="0" w:type="dxa"/>
              <w:left w:w="0" w:type="dxa"/>
              <w:bottom w:w="0" w:type="dxa"/>
              <w:right w:w="0" w:type="dxa"/>
            </w:tcMar>
            <w:vAlign w:val="center"/>
          </w:tcPr>
          <w:p w14:paraId="3B2A5288"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213 (82.9%)</w:t>
            </w:r>
          </w:p>
        </w:tc>
        <w:tc>
          <w:tcPr>
            <w:tcW w:w="1276" w:type="dxa"/>
            <w:shd w:val="clear" w:color="auto" w:fill="FFFFFF"/>
            <w:tcMar>
              <w:top w:w="0" w:type="dxa"/>
              <w:left w:w="0" w:type="dxa"/>
              <w:bottom w:w="0" w:type="dxa"/>
              <w:right w:w="0" w:type="dxa"/>
            </w:tcMar>
            <w:vAlign w:val="center"/>
          </w:tcPr>
          <w:p w14:paraId="61AD119B"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36 (100%)</w:t>
            </w:r>
          </w:p>
        </w:tc>
        <w:tc>
          <w:tcPr>
            <w:tcW w:w="1276" w:type="dxa"/>
            <w:shd w:val="clear" w:color="auto" w:fill="FFFFFF"/>
            <w:tcMar>
              <w:top w:w="0" w:type="dxa"/>
              <w:left w:w="0" w:type="dxa"/>
              <w:bottom w:w="0" w:type="dxa"/>
              <w:right w:w="0" w:type="dxa"/>
            </w:tcMar>
            <w:vAlign w:val="center"/>
          </w:tcPr>
          <w:p w14:paraId="47895E38"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112 (95.7%)</w:t>
            </w:r>
          </w:p>
        </w:tc>
        <w:tc>
          <w:tcPr>
            <w:tcW w:w="1276" w:type="dxa"/>
            <w:shd w:val="clear" w:color="auto" w:fill="FFFFFF"/>
            <w:tcMar>
              <w:top w:w="0" w:type="dxa"/>
              <w:left w:w="0" w:type="dxa"/>
              <w:bottom w:w="0" w:type="dxa"/>
              <w:right w:w="0" w:type="dxa"/>
            </w:tcMar>
            <w:vAlign w:val="center"/>
          </w:tcPr>
          <w:p w14:paraId="7BF06E4B"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54 (84.4%)</w:t>
            </w:r>
          </w:p>
        </w:tc>
        <w:tc>
          <w:tcPr>
            <w:tcW w:w="1134" w:type="dxa"/>
            <w:shd w:val="clear" w:color="auto" w:fill="FFFFFF"/>
            <w:tcMar>
              <w:top w:w="0" w:type="dxa"/>
              <w:left w:w="0" w:type="dxa"/>
              <w:bottom w:w="0" w:type="dxa"/>
              <w:right w:w="0" w:type="dxa"/>
            </w:tcMar>
            <w:vAlign w:val="center"/>
          </w:tcPr>
          <w:p w14:paraId="51C43F49"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11 (27.5%)</w:t>
            </w:r>
          </w:p>
        </w:tc>
        <w:tc>
          <w:tcPr>
            <w:tcW w:w="1417" w:type="dxa"/>
            <w:shd w:val="clear" w:color="auto" w:fill="FFFFFF"/>
            <w:tcMar>
              <w:top w:w="0" w:type="dxa"/>
              <w:left w:w="0" w:type="dxa"/>
              <w:bottom w:w="0" w:type="dxa"/>
              <w:right w:w="0" w:type="dxa"/>
            </w:tcMar>
            <w:vAlign w:val="center"/>
          </w:tcPr>
          <w:p w14:paraId="70BCC017"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color w:val="111111"/>
                <w:szCs w:val="21"/>
              </w:rPr>
              <w:t>&lt; 0.001</w:t>
            </w:r>
          </w:p>
        </w:tc>
      </w:tr>
      <w:tr w:rsidR="008F55F9" w:rsidRPr="00B95838" w14:paraId="4A93CF43" w14:textId="77777777" w:rsidTr="00B473C9">
        <w:trPr>
          <w:cantSplit/>
          <w:jc w:val="center"/>
        </w:trPr>
        <w:tc>
          <w:tcPr>
            <w:tcW w:w="3828" w:type="dxa"/>
            <w:shd w:val="clear" w:color="auto" w:fill="FFFFFF"/>
            <w:tcMar>
              <w:top w:w="0" w:type="dxa"/>
              <w:left w:w="0" w:type="dxa"/>
              <w:bottom w:w="0" w:type="dxa"/>
              <w:right w:w="0" w:type="dxa"/>
            </w:tcMar>
            <w:vAlign w:val="center"/>
          </w:tcPr>
          <w:p w14:paraId="7A5CFEC5" w14:textId="77777777" w:rsidR="008F55F9" w:rsidRPr="00B95838" w:rsidRDefault="008F55F9" w:rsidP="00EA51BC">
            <w:pPr>
              <w:spacing w:before="40" w:after="40" w:line="480" w:lineRule="auto"/>
              <w:ind w:right="100" w:firstLine="220"/>
              <w:rPr>
                <w:rFonts w:ascii="Times New Roman" w:hAnsi="Times New Roman" w:cs="Times New Roman"/>
                <w:szCs w:val="21"/>
              </w:rPr>
            </w:pPr>
            <w:r w:rsidRPr="00B95838">
              <w:rPr>
                <w:rFonts w:ascii="Times New Roman" w:eastAsia="Arial" w:hAnsi="Times New Roman" w:cs="Times New Roman"/>
                <w:color w:val="111111"/>
                <w:szCs w:val="21"/>
              </w:rPr>
              <w:t>Lesion percentage &lt;= 1% at 30 days</w:t>
            </w:r>
          </w:p>
        </w:tc>
        <w:tc>
          <w:tcPr>
            <w:tcW w:w="1275" w:type="dxa"/>
            <w:shd w:val="clear" w:color="auto" w:fill="FFFFFF"/>
            <w:tcMar>
              <w:top w:w="0" w:type="dxa"/>
              <w:left w:w="0" w:type="dxa"/>
              <w:bottom w:w="0" w:type="dxa"/>
              <w:right w:w="0" w:type="dxa"/>
            </w:tcMar>
            <w:vAlign w:val="center"/>
          </w:tcPr>
          <w:p w14:paraId="5CA6D116"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89 (34.6%)</w:t>
            </w:r>
          </w:p>
        </w:tc>
        <w:tc>
          <w:tcPr>
            <w:tcW w:w="1276" w:type="dxa"/>
            <w:shd w:val="clear" w:color="auto" w:fill="FFFFFF"/>
            <w:tcMar>
              <w:top w:w="0" w:type="dxa"/>
              <w:left w:w="0" w:type="dxa"/>
              <w:bottom w:w="0" w:type="dxa"/>
              <w:right w:w="0" w:type="dxa"/>
            </w:tcMar>
            <w:vAlign w:val="center"/>
          </w:tcPr>
          <w:p w14:paraId="06B02D36"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26 (72.2%)</w:t>
            </w:r>
          </w:p>
        </w:tc>
        <w:tc>
          <w:tcPr>
            <w:tcW w:w="1276" w:type="dxa"/>
            <w:shd w:val="clear" w:color="auto" w:fill="FFFFFF"/>
            <w:tcMar>
              <w:top w:w="0" w:type="dxa"/>
              <w:left w:w="0" w:type="dxa"/>
              <w:bottom w:w="0" w:type="dxa"/>
              <w:right w:w="0" w:type="dxa"/>
            </w:tcMar>
            <w:vAlign w:val="center"/>
          </w:tcPr>
          <w:p w14:paraId="2FC31988"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53 (45.3%)</w:t>
            </w:r>
          </w:p>
        </w:tc>
        <w:tc>
          <w:tcPr>
            <w:tcW w:w="1276" w:type="dxa"/>
            <w:shd w:val="clear" w:color="auto" w:fill="FFFFFF"/>
            <w:tcMar>
              <w:top w:w="0" w:type="dxa"/>
              <w:left w:w="0" w:type="dxa"/>
              <w:bottom w:w="0" w:type="dxa"/>
              <w:right w:w="0" w:type="dxa"/>
            </w:tcMar>
            <w:vAlign w:val="center"/>
          </w:tcPr>
          <w:p w14:paraId="6AB730A0"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10 (15.6%)</w:t>
            </w:r>
          </w:p>
        </w:tc>
        <w:tc>
          <w:tcPr>
            <w:tcW w:w="1134" w:type="dxa"/>
            <w:shd w:val="clear" w:color="auto" w:fill="FFFFFF"/>
            <w:tcMar>
              <w:top w:w="0" w:type="dxa"/>
              <w:left w:w="0" w:type="dxa"/>
              <w:bottom w:w="0" w:type="dxa"/>
              <w:right w:w="0" w:type="dxa"/>
            </w:tcMar>
            <w:vAlign w:val="center"/>
          </w:tcPr>
          <w:p w14:paraId="10D14923"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0 (0%)</w:t>
            </w:r>
          </w:p>
        </w:tc>
        <w:tc>
          <w:tcPr>
            <w:tcW w:w="1417" w:type="dxa"/>
            <w:shd w:val="clear" w:color="auto" w:fill="FFFFFF"/>
            <w:tcMar>
              <w:top w:w="0" w:type="dxa"/>
              <w:left w:w="0" w:type="dxa"/>
              <w:bottom w:w="0" w:type="dxa"/>
              <w:right w:w="0" w:type="dxa"/>
            </w:tcMar>
            <w:vAlign w:val="center"/>
          </w:tcPr>
          <w:p w14:paraId="47EF837B"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color w:val="111111"/>
                <w:szCs w:val="21"/>
              </w:rPr>
              <w:t>&lt; 0.001</w:t>
            </w:r>
          </w:p>
        </w:tc>
      </w:tr>
      <w:tr w:rsidR="008F55F9" w:rsidRPr="00B95838" w14:paraId="691B74F0" w14:textId="77777777" w:rsidTr="00B473C9">
        <w:trPr>
          <w:cantSplit/>
          <w:jc w:val="center"/>
        </w:trPr>
        <w:tc>
          <w:tcPr>
            <w:tcW w:w="3828" w:type="dxa"/>
            <w:shd w:val="clear" w:color="auto" w:fill="FFFFFF"/>
            <w:tcMar>
              <w:top w:w="0" w:type="dxa"/>
              <w:left w:w="0" w:type="dxa"/>
              <w:bottom w:w="0" w:type="dxa"/>
              <w:right w:w="0" w:type="dxa"/>
            </w:tcMar>
            <w:vAlign w:val="center"/>
          </w:tcPr>
          <w:p w14:paraId="2383256B" w14:textId="77777777" w:rsidR="008F55F9" w:rsidRPr="00B95838" w:rsidRDefault="008F55F9" w:rsidP="00EA51BC">
            <w:pPr>
              <w:spacing w:before="40" w:after="40" w:line="480" w:lineRule="auto"/>
              <w:ind w:right="100" w:firstLine="220"/>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Lesion percentage &lt;= 1% at 60 days</w:t>
            </w:r>
          </w:p>
        </w:tc>
        <w:tc>
          <w:tcPr>
            <w:tcW w:w="1275" w:type="dxa"/>
            <w:shd w:val="clear" w:color="auto" w:fill="FFFFFF"/>
            <w:tcMar>
              <w:top w:w="0" w:type="dxa"/>
              <w:left w:w="0" w:type="dxa"/>
              <w:bottom w:w="0" w:type="dxa"/>
              <w:right w:w="0" w:type="dxa"/>
            </w:tcMar>
            <w:vAlign w:val="center"/>
          </w:tcPr>
          <w:p w14:paraId="793F38CF"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160 (62.3%)</w:t>
            </w:r>
          </w:p>
        </w:tc>
        <w:tc>
          <w:tcPr>
            <w:tcW w:w="1276" w:type="dxa"/>
            <w:shd w:val="clear" w:color="auto" w:fill="FFFFFF"/>
            <w:tcMar>
              <w:top w:w="0" w:type="dxa"/>
              <w:left w:w="0" w:type="dxa"/>
              <w:bottom w:w="0" w:type="dxa"/>
              <w:right w:w="0" w:type="dxa"/>
            </w:tcMar>
            <w:vAlign w:val="center"/>
          </w:tcPr>
          <w:p w14:paraId="09734D38"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34 (94.4%)</w:t>
            </w:r>
          </w:p>
        </w:tc>
        <w:tc>
          <w:tcPr>
            <w:tcW w:w="1276" w:type="dxa"/>
            <w:shd w:val="clear" w:color="auto" w:fill="FFFFFF"/>
            <w:tcMar>
              <w:top w:w="0" w:type="dxa"/>
              <w:left w:w="0" w:type="dxa"/>
              <w:bottom w:w="0" w:type="dxa"/>
              <w:right w:w="0" w:type="dxa"/>
            </w:tcMar>
            <w:vAlign w:val="center"/>
          </w:tcPr>
          <w:p w14:paraId="2766261A"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90 (76.9%)</w:t>
            </w:r>
          </w:p>
        </w:tc>
        <w:tc>
          <w:tcPr>
            <w:tcW w:w="1276" w:type="dxa"/>
            <w:shd w:val="clear" w:color="auto" w:fill="FFFFFF"/>
            <w:tcMar>
              <w:top w:w="0" w:type="dxa"/>
              <w:left w:w="0" w:type="dxa"/>
              <w:bottom w:w="0" w:type="dxa"/>
              <w:right w:w="0" w:type="dxa"/>
            </w:tcMar>
            <w:vAlign w:val="center"/>
          </w:tcPr>
          <w:p w14:paraId="14D0753C"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33 (51.6%)</w:t>
            </w:r>
          </w:p>
        </w:tc>
        <w:tc>
          <w:tcPr>
            <w:tcW w:w="1134" w:type="dxa"/>
            <w:shd w:val="clear" w:color="auto" w:fill="FFFFFF"/>
            <w:tcMar>
              <w:top w:w="0" w:type="dxa"/>
              <w:left w:w="0" w:type="dxa"/>
              <w:bottom w:w="0" w:type="dxa"/>
              <w:right w:w="0" w:type="dxa"/>
            </w:tcMar>
            <w:vAlign w:val="center"/>
          </w:tcPr>
          <w:p w14:paraId="1C2E44B5"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3 (7.5%)</w:t>
            </w:r>
          </w:p>
        </w:tc>
        <w:tc>
          <w:tcPr>
            <w:tcW w:w="1417" w:type="dxa"/>
            <w:shd w:val="clear" w:color="auto" w:fill="FFFFFF"/>
            <w:tcMar>
              <w:top w:w="0" w:type="dxa"/>
              <w:left w:w="0" w:type="dxa"/>
              <w:bottom w:w="0" w:type="dxa"/>
              <w:right w:w="0" w:type="dxa"/>
            </w:tcMar>
            <w:vAlign w:val="center"/>
          </w:tcPr>
          <w:p w14:paraId="360E994A"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&lt; 0.001</w:t>
            </w:r>
          </w:p>
        </w:tc>
      </w:tr>
      <w:tr w:rsidR="008F55F9" w:rsidRPr="00B95838" w14:paraId="5435E30F" w14:textId="77777777" w:rsidTr="00B473C9">
        <w:trPr>
          <w:cantSplit/>
          <w:jc w:val="center"/>
        </w:trPr>
        <w:tc>
          <w:tcPr>
            <w:tcW w:w="3828" w:type="dxa"/>
            <w:shd w:val="clear" w:color="auto" w:fill="FFFFFF"/>
            <w:tcMar>
              <w:top w:w="0" w:type="dxa"/>
              <w:left w:w="0" w:type="dxa"/>
              <w:bottom w:w="0" w:type="dxa"/>
              <w:right w:w="0" w:type="dxa"/>
            </w:tcMar>
            <w:vAlign w:val="center"/>
          </w:tcPr>
          <w:p w14:paraId="5D61F8D9" w14:textId="77777777" w:rsidR="008F55F9" w:rsidRPr="00B95838" w:rsidRDefault="008F55F9" w:rsidP="00EA51BC">
            <w:pPr>
              <w:spacing w:before="40" w:after="40" w:line="480" w:lineRule="auto"/>
              <w:ind w:right="100"/>
              <w:rPr>
                <w:rFonts w:ascii="Times New Roman" w:eastAsia="Arial" w:hAnsi="Times New Roman" w:cs="Times New Roman"/>
                <w:b/>
                <w:color w:val="111111"/>
                <w:szCs w:val="21"/>
              </w:rPr>
            </w:pPr>
            <w:r w:rsidRPr="00B95838">
              <w:rPr>
                <w:rFonts w:ascii="Times New Roman" w:eastAsia="Arial" w:hAnsi="Times New Roman" w:cs="Times New Roman"/>
                <w:b/>
                <w:color w:val="111111"/>
                <w:szCs w:val="21"/>
              </w:rPr>
              <w:t>Days post-discharge</w:t>
            </w:r>
          </w:p>
        </w:tc>
        <w:tc>
          <w:tcPr>
            <w:tcW w:w="1275" w:type="dxa"/>
            <w:shd w:val="clear" w:color="auto" w:fill="FFFFFF"/>
            <w:tcMar>
              <w:top w:w="0" w:type="dxa"/>
              <w:left w:w="0" w:type="dxa"/>
              <w:bottom w:w="0" w:type="dxa"/>
              <w:right w:w="0" w:type="dxa"/>
            </w:tcMar>
            <w:vAlign w:val="center"/>
          </w:tcPr>
          <w:p w14:paraId="1294789F"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p>
        </w:tc>
        <w:tc>
          <w:tcPr>
            <w:tcW w:w="1276" w:type="dxa"/>
            <w:shd w:val="clear" w:color="auto" w:fill="FFFFFF"/>
            <w:tcMar>
              <w:top w:w="0" w:type="dxa"/>
              <w:left w:w="0" w:type="dxa"/>
              <w:bottom w:w="0" w:type="dxa"/>
              <w:right w:w="0" w:type="dxa"/>
            </w:tcMar>
            <w:vAlign w:val="center"/>
          </w:tcPr>
          <w:p w14:paraId="64E432CB"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p>
        </w:tc>
        <w:tc>
          <w:tcPr>
            <w:tcW w:w="1276" w:type="dxa"/>
            <w:shd w:val="clear" w:color="auto" w:fill="FFFFFF"/>
            <w:tcMar>
              <w:top w:w="0" w:type="dxa"/>
              <w:left w:w="0" w:type="dxa"/>
              <w:bottom w:w="0" w:type="dxa"/>
              <w:right w:w="0" w:type="dxa"/>
            </w:tcMar>
            <w:vAlign w:val="center"/>
          </w:tcPr>
          <w:p w14:paraId="217D7715"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p>
        </w:tc>
        <w:tc>
          <w:tcPr>
            <w:tcW w:w="1276" w:type="dxa"/>
            <w:shd w:val="clear" w:color="auto" w:fill="FFFFFF"/>
            <w:tcMar>
              <w:top w:w="0" w:type="dxa"/>
              <w:left w:w="0" w:type="dxa"/>
              <w:bottom w:w="0" w:type="dxa"/>
              <w:right w:w="0" w:type="dxa"/>
            </w:tcMar>
            <w:vAlign w:val="center"/>
          </w:tcPr>
          <w:p w14:paraId="654E123B"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p>
        </w:tc>
        <w:tc>
          <w:tcPr>
            <w:tcW w:w="1134" w:type="dxa"/>
            <w:shd w:val="clear" w:color="auto" w:fill="FFFFFF"/>
            <w:tcMar>
              <w:top w:w="0" w:type="dxa"/>
              <w:left w:w="0" w:type="dxa"/>
              <w:bottom w:w="0" w:type="dxa"/>
              <w:right w:w="0" w:type="dxa"/>
            </w:tcMar>
            <w:vAlign w:val="center"/>
          </w:tcPr>
          <w:p w14:paraId="7F1E44B6"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p>
        </w:tc>
        <w:tc>
          <w:tcPr>
            <w:tcW w:w="1417" w:type="dxa"/>
            <w:shd w:val="clear" w:color="auto" w:fill="FFFFFF"/>
            <w:tcMar>
              <w:top w:w="0" w:type="dxa"/>
              <w:left w:w="0" w:type="dxa"/>
              <w:bottom w:w="0" w:type="dxa"/>
              <w:right w:w="0" w:type="dxa"/>
            </w:tcMar>
            <w:vAlign w:val="center"/>
          </w:tcPr>
          <w:p w14:paraId="473EEDCE"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p>
        </w:tc>
      </w:tr>
      <w:tr w:rsidR="008F55F9" w:rsidRPr="00B95838" w14:paraId="3C6F2B99" w14:textId="77777777" w:rsidTr="00B473C9">
        <w:trPr>
          <w:cantSplit/>
          <w:jc w:val="center"/>
        </w:trPr>
        <w:tc>
          <w:tcPr>
            <w:tcW w:w="3828" w:type="dxa"/>
            <w:shd w:val="clear" w:color="auto" w:fill="FFFFFF"/>
            <w:tcMar>
              <w:top w:w="0" w:type="dxa"/>
              <w:left w:w="0" w:type="dxa"/>
              <w:bottom w:w="0" w:type="dxa"/>
              <w:right w:w="0" w:type="dxa"/>
            </w:tcMar>
            <w:vAlign w:val="center"/>
          </w:tcPr>
          <w:p w14:paraId="32548D84" w14:textId="77777777" w:rsidR="008F55F9" w:rsidRPr="00B95838" w:rsidRDefault="008F55F9" w:rsidP="00EA51BC">
            <w:pPr>
              <w:spacing w:before="40" w:after="40" w:line="480" w:lineRule="auto"/>
              <w:ind w:left="100" w:right="100"/>
              <w:rPr>
                <w:rFonts w:ascii="Times New Roman" w:eastAsia="Arial" w:hAnsi="Times New Roman" w:cs="Times New Roman"/>
                <w:b/>
                <w:color w:val="111111"/>
                <w:szCs w:val="21"/>
              </w:rPr>
            </w:pPr>
            <w:r w:rsidRPr="00B95838">
              <w:rPr>
                <w:rFonts w:ascii="Times New Roman" w:eastAsia="Arial" w:hAnsi="Times New Roman" w:cs="Times New Roman"/>
                <w:color w:val="111111"/>
                <w:szCs w:val="21"/>
              </w:rPr>
              <w:t>Lesion percentage &lt;= 5% at 30 days</w:t>
            </w:r>
          </w:p>
        </w:tc>
        <w:tc>
          <w:tcPr>
            <w:tcW w:w="1275" w:type="dxa"/>
            <w:shd w:val="clear" w:color="auto" w:fill="FFFFFF"/>
            <w:tcMar>
              <w:top w:w="0" w:type="dxa"/>
              <w:left w:w="0" w:type="dxa"/>
              <w:bottom w:w="0" w:type="dxa"/>
              <w:right w:w="0" w:type="dxa"/>
            </w:tcMar>
            <w:vAlign w:val="center"/>
          </w:tcPr>
          <w:p w14:paraId="70C5DD56"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208 (80.9%)</w:t>
            </w:r>
          </w:p>
        </w:tc>
        <w:tc>
          <w:tcPr>
            <w:tcW w:w="1276" w:type="dxa"/>
            <w:shd w:val="clear" w:color="auto" w:fill="FFFFFF"/>
            <w:tcMar>
              <w:top w:w="0" w:type="dxa"/>
              <w:left w:w="0" w:type="dxa"/>
              <w:bottom w:w="0" w:type="dxa"/>
              <w:right w:w="0" w:type="dxa"/>
            </w:tcMar>
            <w:vAlign w:val="center"/>
          </w:tcPr>
          <w:p w14:paraId="71C92B05"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36 (100.0%)</w:t>
            </w:r>
          </w:p>
        </w:tc>
        <w:tc>
          <w:tcPr>
            <w:tcW w:w="1276" w:type="dxa"/>
            <w:shd w:val="clear" w:color="auto" w:fill="FFFFFF"/>
            <w:tcMar>
              <w:top w:w="0" w:type="dxa"/>
              <w:left w:w="0" w:type="dxa"/>
              <w:bottom w:w="0" w:type="dxa"/>
              <w:right w:w="0" w:type="dxa"/>
            </w:tcMar>
            <w:vAlign w:val="center"/>
          </w:tcPr>
          <w:p w14:paraId="4D84458B"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109 (93.2%)</w:t>
            </w:r>
          </w:p>
        </w:tc>
        <w:tc>
          <w:tcPr>
            <w:tcW w:w="1276" w:type="dxa"/>
            <w:shd w:val="clear" w:color="auto" w:fill="FFFFFF"/>
            <w:tcMar>
              <w:top w:w="0" w:type="dxa"/>
              <w:left w:w="0" w:type="dxa"/>
              <w:bottom w:w="0" w:type="dxa"/>
              <w:right w:w="0" w:type="dxa"/>
            </w:tcMar>
            <w:vAlign w:val="center"/>
          </w:tcPr>
          <w:p w14:paraId="666CC088"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49 (76.6%)</w:t>
            </w:r>
          </w:p>
        </w:tc>
        <w:tc>
          <w:tcPr>
            <w:tcW w:w="1134" w:type="dxa"/>
            <w:shd w:val="clear" w:color="auto" w:fill="FFFFFF"/>
            <w:tcMar>
              <w:top w:w="0" w:type="dxa"/>
              <w:left w:w="0" w:type="dxa"/>
              <w:bottom w:w="0" w:type="dxa"/>
              <w:right w:w="0" w:type="dxa"/>
            </w:tcMar>
            <w:vAlign w:val="center"/>
          </w:tcPr>
          <w:p w14:paraId="752315D8"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14 (35.0%)</w:t>
            </w:r>
          </w:p>
        </w:tc>
        <w:tc>
          <w:tcPr>
            <w:tcW w:w="1417" w:type="dxa"/>
            <w:shd w:val="clear" w:color="auto" w:fill="FFFFFF"/>
            <w:tcMar>
              <w:top w:w="0" w:type="dxa"/>
              <w:left w:w="0" w:type="dxa"/>
              <w:bottom w:w="0" w:type="dxa"/>
              <w:right w:w="0" w:type="dxa"/>
            </w:tcMar>
            <w:vAlign w:val="center"/>
          </w:tcPr>
          <w:p w14:paraId="5E09E3A5"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&lt; 0.001</w:t>
            </w:r>
          </w:p>
        </w:tc>
      </w:tr>
      <w:tr w:rsidR="008F55F9" w:rsidRPr="00B95838" w14:paraId="477277A8" w14:textId="77777777" w:rsidTr="00B473C9">
        <w:trPr>
          <w:cantSplit/>
          <w:jc w:val="center"/>
        </w:trPr>
        <w:tc>
          <w:tcPr>
            <w:tcW w:w="3828" w:type="dxa"/>
            <w:shd w:val="clear" w:color="auto" w:fill="FFFFFF"/>
            <w:tcMar>
              <w:top w:w="0" w:type="dxa"/>
              <w:left w:w="0" w:type="dxa"/>
              <w:bottom w:w="0" w:type="dxa"/>
              <w:right w:w="0" w:type="dxa"/>
            </w:tcMar>
            <w:vAlign w:val="center"/>
          </w:tcPr>
          <w:p w14:paraId="0FE873B0" w14:textId="77777777" w:rsidR="008F55F9" w:rsidRPr="00B95838" w:rsidRDefault="008F55F9" w:rsidP="00EA51BC">
            <w:pPr>
              <w:spacing w:before="40" w:after="40" w:line="480" w:lineRule="auto"/>
              <w:ind w:left="100" w:right="100"/>
              <w:rPr>
                <w:rFonts w:ascii="Times New Roman" w:eastAsia="Arial" w:hAnsi="Times New Roman" w:cs="Times New Roman"/>
                <w:b/>
                <w:color w:val="111111"/>
                <w:szCs w:val="21"/>
              </w:rPr>
            </w:pPr>
            <w:r w:rsidRPr="00B95838">
              <w:rPr>
                <w:rFonts w:ascii="Times New Roman" w:eastAsia="Arial" w:hAnsi="Times New Roman" w:cs="Times New Roman"/>
                <w:color w:val="111111"/>
                <w:szCs w:val="21"/>
              </w:rPr>
              <w:t>Lesion percentage &lt;= 5% at 60 days</w:t>
            </w:r>
          </w:p>
        </w:tc>
        <w:tc>
          <w:tcPr>
            <w:tcW w:w="1275" w:type="dxa"/>
            <w:shd w:val="clear" w:color="auto" w:fill="FFFFFF"/>
            <w:tcMar>
              <w:top w:w="0" w:type="dxa"/>
              <w:left w:w="0" w:type="dxa"/>
              <w:bottom w:w="0" w:type="dxa"/>
              <w:right w:w="0" w:type="dxa"/>
            </w:tcMar>
            <w:vAlign w:val="center"/>
          </w:tcPr>
          <w:p w14:paraId="63AAD804"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219 (85.2%)</w:t>
            </w:r>
          </w:p>
        </w:tc>
        <w:tc>
          <w:tcPr>
            <w:tcW w:w="1276" w:type="dxa"/>
            <w:shd w:val="clear" w:color="auto" w:fill="FFFFFF"/>
            <w:tcMar>
              <w:top w:w="0" w:type="dxa"/>
              <w:left w:w="0" w:type="dxa"/>
              <w:bottom w:w="0" w:type="dxa"/>
              <w:right w:w="0" w:type="dxa"/>
            </w:tcMar>
            <w:vAlign w:val="center"/>
          </w:tcPr>
          <w:p w14:paraId="2C2DEA52"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36 (100.0%)</w:t>
            </w:r>
          </w:p>
        </w:tc>
        <w:tc>
          <w:tcPr>
            <w:tcW w:w="1276" w:type="dxa"/>
            <w:shd w:val="clear" w:color="auto" w:fill="FFFFFF"/>
            <w:tcMar>
              <w:top w:w="0" w:type="dxa"/>
              <w:left w:w="0" w:type="dxa"/>
              <w:bottom w:w="0" w:type="dxa"/>
              <w:right w:w="0" w:type="dxa"/>
            </w:tcMar>
            <w:vAlign w:val="center"/>
          </w:tcPr>
          <w:p w14:paraId="78830F99"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111 (94.9%)</w:t>
            </w:r>
          </w:p>
        </w:tc>
        <w:tc>
          <w:tcPr>
            <w:tcW w:w="1276" w:type="dxa"/>
            <w:shd w:val="clear" w:color="auto" w:fill="FFFFFF"/>
            <w:tcMar>
              <w:top w:w="0" w:type="dxa"/>
              <w:left w:w="0" w:type="dxa"/>
              <w:bottom w:w="0" w:type="dxa"/>
              <w:right w:w="0" w:type="dxa"/>
            </w:tcMar>
            <w:vAlign w:val="center"/>
          </w:tcPr>
          <w:p w14:paraId="56FA492E"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55 (85.9%)</w:t>
            </w:r>
          </w:p>
        </w:tc>
        <w:tc>
          <w:tcPr>
            <w:tcW w:w="1134" w:type="dxa"/>
            <w:shd w:val="clear" w:color="auto" w:fill="FFFFFF"/>
            <w:tcMar>
              <w:top w:w="0" w:type="dxa"/>
              <w:left w:w="0" w:type="dxa"/>
              <w:bottom w:w="0" w:type="dxa"/>
              <w:right w:w="0" w:type="dxa"/>
            </w:tcMar>
            <w:vAlign w:val="center"/>
          </w:tcPr>
          <w:p w14:paraId="5AD6596D"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17 (42.5%)</w:t>
            </w:r>
          </w:p>
        </w:tc>
        <w:tc>
          <w:tcPr>
            <w:tcW w:w="1417" w:type="dxa"/>
            <w:shd w:val="clear" w:color="auto" w:fill="FFFFFF"/>
            <w:tcMar>
              <w:top w:w="0" w:type="dxa"/>
              <w:left w:w="0" w:type="dxa"/>
              <w:bottom w:w="0" w:type="dxa"/>
              <w:right w:w="0" w:type="dxa"/>
            </w:tcMar>
            <w:vAlign w:val="center"/>
          </w:tcPr>
          <w:p w14:paraId="6C31A421"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&lt; 0.001</w:t>
            </w:r>
          </w:p>
        </w:tc>
      </w:tr>
      <w:tr w:rsidR="008F55F9" w:rsidRPr="00B95838" w14:paraId="4C2D9468" w14:textId="77777777" w:rsidTr="00B473C9">
        <w:trPr>
          <w:cantSplit/>
          <w:jc w:val="center"/>
        </w:trPr>
        <w:tc>
          <w:tcPr>
            <w:tcW w:w="3828" w:type="dxa"/>
            <w:shd w:val="clear" w:color="auto" w:fill="FFFFFF"/>
            <w:tcMar>
              <w:top w:w="0" w:type="dxa"/>
              <w:left w:w="0" w:type="dxa"/>
              <w:bottom w:w="0" w:type="dxa"/>
              <w:right w:w="0" w:type="dxa"/>
            </w:tcMar>
            <w:vAlign w:val="center"/>
          </w:tcPr>
          <w:p w14:paraId="0D6530A4" w14:textId="77777777" w:rsidR="008F55F9" w:rsidRPr="00B95838" w:rsidRDefault="008F55F9" w:rsidP="00EA51BC">
            <w:pPr>
              <w:spacing w:before="40" w:after="40" w:line="480" w:lineRule="auto"/>
              <w:ind w:left="100" w:right="100"/>
              <w:rPr>
                <w:rFonts w:ascii="Times New Roman" w:eastAsia="Arial" w:hAnsi="Times New Roman" w:cs="Times New Roman"/>
                <w:b/>
                <w:color w:val="111111"/>
                <w:szCs w:val="21"/>
              </w:rPr>
            </w:pPr>
            <w:r w:rsidRPr="00B95838">
              <w:rPr>
                <w:rFonts w:ascii="Times New Roman" w:eastAsia="Arial" w:hAnsi="Times New Roman" w:cs="Times New Roman"/>
                <w:color w:val="111111"/>
                <w:szCs w:val="21"/>
              </w:rPr>
              <w:t>Lesion percentage &lt;= 1% at 30 days</w:t>
            </w:r>
          </w:p>
        </w:tc>
        <w:tc>
          <w:tcPr>
            <w:tcW w:w="1275" w:type="dxa"/>
            <w:shd w:val="clear" w:color="auto" w:fill="FFFFFF"/>
            <w:tcMar>
              <w:top w:w="0" w:type="dxa"/>
              <w:left w:w="0" w:type="dxa"/>
              <w:bottom w:w="0" w:type="dxa"/>
              <w:right w:w="0" w:type="dxa"/>
            </w:tcMar>
            <w:vAlign w:val="center"/>
          </w:tcPr>
          <w:p w14:paraId="7E07B76D"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146 (56.8%)</w:t>
            </w:r>
          </w:p>
        </w:tc>
        <w:tc>
          <w:tcPr>
            <w:tcW w:w="1276" w:type="dxa"/>
            <w:shd w:val="clear" w:color="auto" w:fill="FFFFFF"/>
            <w:tcMar>
              <w:top w:w="0" w:type="dxa"/>
              <w:left w:w="0" w:type="dxa"/>
              <w:bottom w:w="0" w:type="dxa"/>
              <w:right w:w="0" w:type="dxa"/>
            </w:tcMar>
            <w:vAlign w:val="center"/>
          </w:tcPr>
          <w:p w14:paraId="0914C51D"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34 (94.4%)</w:t>
            </w:r>
          </w:p>
        </w:tc>
        <w:tc>
          <w:tcPr>
            <w:tcW w:w="1276" w:type="dxa"/>
            <w:shd w:val="clear" w:color="auto" w:fill="FFFFFF"/>
            <w:tcMar>
              <w:top w:w="0" w:type="dxa"/>
              <w:left w:w="0" w:type="dxa"/>
              <w:bottom w:w="0" w:type="dxa"/>
              <w:right w:w="0" w:type="dxa"/>
            </w:tcMar>
            <w:vAlign w:val="center"/>
          </w:tcPr>
          <w:p w14:paraId="7CDAAE64"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84 (71.8%)</w:t>
            </w:r>
          </w:p>
        </w:tc>
        <w:tc>
          <w:tcPr>
            <w:tcW w:w="1276" w:type="dxa"/>
            <w:shd w:val="clear" w:color="auto" w:fill="FFFFFF"/>
            <w:tcMar>
              <w:top w:w="0" w:type="dxa"/>
              <w:left w:w="0" w:type="dxa"/>
              <w:bottom w:w="0" w:type="dxa"/>
              <w:right w:w="0" w:type="dxa"/>
            </w:tcMar>
            <w:vAlign w:val="center"/>
          </w:tcPr>
          <w:p w14:paraId="6C612FC1"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26 (40.6%)</w:t>
            </w:r>
          </w:p>
        </w:tc>
        <w:tc>
          <w:tcPr>
            <w:tcW w:w="1134" w:type="dxa"/>
            <w:shd w:val="clear" w:color="auto" w:fill="FFFFFF"/>
            <w:tcMar>
              <w:top w:w="0" w:type="dxa"/>
              <w:left w:w="0" w:type="dxa"/>
              <w:bottom w:w="0" w:type="dxa"/>
              <w:right w:w="0" w:type="dxa"/>
            </w:tcMar>
            <w:vAlign w:val="center"/>
          </w:tcPr>
          <w:p w14:paraId="67720203"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2 (5.0%)</w:t>
            </w:r>
          </w:p>
        </w:tc>
        <w:tc>
          <w:tcPr>
            <w:tcW w:w="1417" w:type="dxa"/>
            <w:shd w:val="clear" w:color="auto" w:fill="FFFFFF"/>
            <w:tcMar>
              <w:top w:w="0" w:type="dxa"/>
              <w:left w:w="0" w:type="dxa"/>
              <w:bottom w:w="0" w:type="dxa"/>
              <w:right w:w="0" w:type="dxa"/>
            </w:tcMar>
            <w:vAlign w:val="center"/>
          </w:tcPr>
          <w:p w14:paraId="1BC41385"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&lt; 0.001</w:t>
            </w:r>
          </w:p>
        </w:tc>
      </w:tr>
      <w:tr w:rsidR="008F55F9" w:rsidRPr="00B95838" w14:paraId="25EB36D5" w14:textId="77777777" w:rsidTr="00B473C9">
        <w:trPr>
          <w:cantSplit/>
          <w:jc w:val="center"/>
        </w:trPr>
        <w:tc>
          <w:tcPr>
            <w:tcW w:w="3828" w:type="dxa"/>
            <w:tcBorders>
              <w:bottom w:val="single" w:sz="16" w:space="0" w:color="000000"/>
            </w:tcBorders>
            <w:shd w:val="clear" w:color="auto" w:fill="FFFFFF"/>
            <w:tcMar>
              <w:top w:w="0" w:type="dxa"/>
              <w:left w:w="0" w:type="dxa"/>
              <w:bottom w:w="0" w:type="dxa"/>
              <w:right w:w="0" w:type="dxa"/>
            </w:tcMar>
            <w:vAlign w:val="center"/>
          </w:tcPr>
          <w:p w14:paraId="0BA33160" w14:textId="77777777" w:rsidR="008F55F9" w:rsidRPr="00B95838" w:rsidRDefault="008F55F9" w:rsidP="00EA51BC">
            <w:pPr>
              <w:spacing w:before="40" w:after="40" w:line="480" w:lineRule="auto"/>
              <w:ind w:left="100" w:right="100"/>
              <w:rPr>
                <w:rFonts w:ascii="Times New Roman" w:hAnsi="Times New Roman" w:cs="Times New Roman"/>
                <w:szCs w:val="21"/>
              </w:rPr>
            </w:pPr>
            <w:r w:rsidRPr="00B95838">
              <w:rPr>
                <w:rFonts w:ascii="Times New Roman" w:eastAsia="Arial" w:hAnsi="Times New Roman" w:cs="Times New Roman"/>
                <w:color w:val="111111"/>
                <w:szCs w:val="21"/>
              </w:rPr>
              <w:t>Lesion percentage &lt;= 1% at 60 days</w:t>
            </w:r>
          </w:p>
        </w:tc>
        <w:tc>
          <w:tcPr>
            <w:tcW w:w="1275" w:type="dxa"/>
            <w:tcBorders>
              <w:bottom w:val="single" w:sz="16" w:space="0" w:color="000000"/>
            </w:tcBorders>
            <w:shd w:val="clear" w:color="auto" w:fill="FFFFFF"/>
            <w:tcMar>
              <w:top w:w="0" w:type="dxa"/>
              <w:left w:w="0" w:type="dxa"/>
              <w:bottom w:w="0" w:type="dxa"/>
              <w:right w:w="0" w:type="dxa"/>
            </w:tcMar>
            <w:vAlign w:val="center"/>
          </w:tcPr>
          <w:p w14:paraId="0EA9F051"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172 (66.9%)</w:t>
            </w:r>
          </w:p>
        </w:tc>
        <w:tc>
          <w:tcPr>
            <w:tcW w:w="1276" w:type="dxa"/>
            <w:tcBorders>
              <w:bottom w:val="single" w:sz="16" w:space="0" w:color="000000"/>
            </w:tcBorders>
            <w:shd w:val="clear" w:color="auto" w:fill="FFFFFF"/>
            <w:tcMar>
              <w:top w:w="0" w:type="dxa"/>
              <w:left w:w="0" w:type="dxa"/>
              <w:bottom w:w="0" w:type="dxa"/>
              <w:right w:w="0" w:type="dxa"/>
            </w:tcMar>
            <w:vAlign w:val="center"/>
          </w:tcPr>
          <w:p w14:paraId="28750EFF"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34 (94.4%)</w:t>
            </w:r>
          </w:p>
        </w:tc>
        <w:tc>
          <w:tcPr>
            <w:tcW w:w="1276" w:type="dxa"/>
            <w:tcBorders>
              <w:bottom w:val="single" w:sz="16" w:space="0" w:color="000000"/>
            </w:tcBorders>
            <w:shd w:val="clear" w:color="auto" w:fill="FFFFFF"/>
            <w:tcMar>
              <w:top w:w="0" w:type="dxa"/>
              <w:left w:w="0" w:type="dxa"/>
              <w:bottom w:w="0" w:type="dxa"/>
              <w:right w:w="0" w:type="dxa"/>
            </w:tcMar>
            <w:vAlign w:val="center"/>
          </w:tcPr>
          <w:p w14:paraId="2DCD0FA0"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94 (80.3%)</w:t>
            </w:r>
          </w:p>
        </w:tc>
        <w:tc>
          <w:tcPr>
            <w:tcW w:w="1276" w:type="dxa"/>
            <w:tcBorders>
              <w:bottom w:val="single" w:sz="16" w:space="0" w:color="000000"/>
            </w:tcBorders>
            <w:shd w:val="clear" w:color="auto" w:fill="FFFFFF"/>
            <w:tcMar>
              <w:top w:w="0" w:type="dxa"/>
              <w:left w:w="0" w:type="dxa"/>
              <w:bottom w:w="0" w:type="dxa"/>
              <w:right w:w="0" w:type="dxa"/>
            </w:tcMar>
            <w:vAlign w:val="center"/>
          </w:tcPr>
          <w:p w14:paraId="2EDD2F70"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38 (59.4%)</w:t>
            </w:r>
          </w:p>
        </w:tc>
        <w:tc>
          <w:tcPr>
            <w:tcW w:w="1134" w:type="dxa"/>
            <w:tcBorders>
              <w:bottom w:val="single" w:sz="16" w:space="0" w:color="000000"/>
            </w:tcBorders>
            <w:shd w:val="clear" w:color="auto" w:fill="FFFFFF"/>
            <w:tcMar>
              <w:top w:w="0" w:type="dxa"/>
              <w:left w:w="0" w:type="dxa"/>
              <w:bottom w:w="0" w:type="dxa"/>
              <w:right w:w="0" w:type="dxa"/>
            </w:tcMar>
            <w:vAlign w:val="center"/>
          </w:tcPr>
          <w:p w14:paraId="7671AC02" w14:textId="77777777" w:rsidR="008F55F9" w:rsidRPr="00B95838" w:rsidRDefault="008F55F9" w:rsidP="00EA51BC">
            <w:pPr>
              <w:spacing w:before="40" w:after="40" w:line="480" w:lineRule="auto"/>
              <w:ind w:left="100" w:right="100"/>
              <w:jc w:val="center"/>
              <w:rPr>
                <w:rFonts w:ascii="Times New Roman" w:eastAsia="Arial" w:hAnsi="Times New Roman" w:cs="Times New Roman"/>
                <w:color w:val="111111"/>
                <w:szCs w:val="21"/>
              </w:rPr>
            </w:pPr>
            <w:r w:rsidRPr="00B95838">
              <w:rPr>
                <w:rFonts w:ascii="Times New Roman" w:eastAsia="Arial" w:hAnsi="Times New Roman" w:cs="Times New Roman"/>
                <w:color w:val="111111"/>
                <w:szCs w:val="21"/>
              </w:rPr>
              <w:t>6 (15.0%)</w:t>
            </w:r>
          </w:p>
        </w:tc>
        <w:tc>
          <w:tcPr>
            <w:tcW w:w="1417" w:type="dxa"/>
            <w:tcBorders>
              <w:bottom w:val="single" w:sz="16" w:space="0" w:color="000000"/>
            </w:tcBorders>
            <w:shd w:val="clear" w:color="auto" w:fill="FFFFFF"/>
            <w:tcMar>
              <w:top w:w="0" w:type="dxa"/>
              <w:left w:w="0" w:type="dxa"/>
              <w:bottom w:w="0" w:type="dxa"/>
              <w:right w:w="0" w:type="dxa"/>
            </w:tcMar>
            <w:vAlign w:val="center"/>
          </w:tcPr>
          <w:p w14:paraId="01E0BE25" w14:textId="77777777" w:rsidR="008F55F9" w:rsidRPr="00B95838" w:rsidRDefault="008F55F9" w:rsidP="00EA51BC">
            <w:pPr>
              <w:spacing w:before="40" w:after="40" w:line="480" w:lineRule="auto"/>
              <w:ind w:left="100" w:right="100"/>
              <w:jc w:val="center"/>
              <w:rPr>
                <w:rFonts w:ascii="Times New Roman" w:hAnsi="Times New Roman" w:cs="Times New Roman"/>
                <w:szCs w:val="21"/>
              </w:rPr>
            </w:pPr>
            <w:r w:rsidRPr="00B95838">
              <w:rPr>
                <w:rFonts w:ascii="Times New Roman" w:eastAsia="Arial" w:hAnsi="Times New Roman" w:cs="Times New Roman"/>
                <w:color w:val="111111"/>
                <w:szCs w:val="21"/>
              </w:rPr>
              <w:t>&lt; 0.001</w:t>
            </w:r>
          </w:p>
        </w:tc>
      </w:tr>
    </w:tbl>
    <w:p w14:paraId="4BA3555C" w14:textId="77777777" w:rsidR="008F55F9" w:rsidRPr="00B95838" w:rsidRDefault="008F55F9" w:rsidP="00EA51BC">
      <w:pPr>
        <w:spacing w:line="480" w:lineRule="auto"/>
      </w:pPr>
      <w:r w:rsidRPr="00B95838">
        <w:rPr>
          <w:rFonts w:ascii="Times New Roman" w:hAnsi="Times New Roman" w:cs="Times New Roman"/>
        </w:rPr>
        <w:t>Note: Statistics presented: n (%). Statistical test performed: chi-squared test.</w:t>
      </w:r>
    </w:p>
    <w:p w14:paraId="2987DC71" w14:textId="77777777" w:rsidR="008F55F9" w:rsidRPr="00B95838" w:rsidRDefault="008F55F9" w:rsidP="00EA51BC">
      <w:pPr>
        <w:spacing w:line="480" w:lineRule="auto"/>
        <w:rPr>
          <w:rFonts w:ascii="Times New Roman" w:hAnsi="Times New Roman" w:cs="Times New Roman"/>
        </w:rPr>
        <w:sectPr w:rsidR="008F55F9" w:rsidRPr="00B95838" w:rsidSect="00B473C9">
          <w:pgSz w:w="15840" w:h="12240" w:orient="landscape"/>
          <w:pgMar w:top="1440" w:right="1440" w:bottom="1440" w:left="1440" w:header="720" w:footer="720" w:gutter="0"/>
          <w:cols w:space="720"/>
          <w:docGrid w:linePitch="360"/>
        </w:sectPr>
      </w:pPr>
    </w:p>
    <w:p w14:paraId="5C20986A" w14:textId="77777777" w:rsidR="008F55F9" w:rsidRPr="00B95838" w:rsidRDefault="008F55F9" w:rsidP="00EA51BC">
      <w:pPr>
        <w:widowControl/>
        <w:spacing w:line="480" w:lineRule="auto"/>
        <w:jc w:val="left"/>
        <w:rPr>
          <w:rFonts w:ascii="Times New Roman" w:hAnsi="Times New Roman" w:cs="Times New Roman"/>
          <w:b/>
        </w:rPr>
      </w:pPr>
    </w:p>
    <w:p w14:paraId="698411A4" w14:textId="77777777" w:rsidR="008F55F9" w:rsidRPr="00F01B6F" w:rsidRDefault="008F55F9" w:rsidP="00EA51BC">
      <w:pPr>
        <w:spacing w:line="480" w:lineRule="auto"/>
        <w:rPr>
          <w:rFonts w:ascii="Times New Roman" w:hAnsi="Times New Roman" w:cs="Times New Roman"/>
          <w:b/>
          <w:sz w:val="24"/>
          <w:szCs w:val="28"/>
        </w:rPr>
      </w:pPr>
      <w:r>
        <w:rPr>
          <w:rFonts w:ascii="Times New Roman" w:hAnsi="Times New Roman" w:cs="Times New Roman"/>
          <w:b/>
          <w:sz w:val="24"/>
          <w:szCs w:val="28"/>
        </w:rPr>
        <w:t xml:space="preserve">Supplemental </w:t>
      </w:r>
      <w:r w:rsidRPr="00F01B6F">
        <w:rPr>
          <w:rFonts w:ascii="Times New Roman" w:hAnsi="Times New Roman" w:cs="Times New Roman"/>
          <w:b/>
          <w:sz w:val="24"/>
          <w:szCs w:val="28"/>
        </w:rPr>
        <w:t>Figures</w:t>
      </w:r>
    </w:p>
    <w:p w14:paraId="0AA5B971" w14:textId="77777777" w:rsidR="008F55F9" w:rsidRPr="00B95838" w:rsidRDefault="008F55F9" w:rsidP="00EA51BC">
      <w:pPr>
        <w:spacing w:line="480" w:lineRule="auto"/>
        <w:rPr>
          <w:rFonts w:ascii="Times New Roman" w:hAnsi="Times New Roman" w:cs="Times New Roman"/>
          <w:b/>
        </w:rPr>
      </w:pPr>
    </w:p>
    <w:p w14:paraId="12C7D701" w14:textId="77777777" w:rsidR="008F55F9" w:rsidRPr="00B95838" w:rsidRDefault="008F55F9" w:rsidP="00EA51BC">
      <w:pPr>
        <w:tabs>
          <w:tab w:val="left" w:pos="4755"/>
        </w:tabs>
        <w:spacing w:line="480" w:lineRule="auto"/>
        <w:rPr>
          <w:rFonts w:ascii="Times New Roman" w:hAnsi="Times New Roman" w:cs="Times New Roman"/>
          <w:highlight w:val="cyan"/>
        </w:rPr>
      </w:pPr>
      <w:r w:rsidRPr="00B95838">
        <w:rPr>
          <w:rFonts w:ascii="Times New Roman" w:hAnsi="Times New Roman" w:cs="Times New Roman"/>
          <w:noProof/>
        </w:rPr>
        <w:drawing>
          <wp:inline distT="0" distB="0" distL="0" distR="0" wp14:anchorId="15D4EAAB" wp14:editId="243B5DB1">
            <wp:extent cx="6264190" cy="3256534"/>
            <wp:effectExtent l="0" t="0" r="381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266033" cy="3257492"/>
                    </a:xfrm>
                    <a:prstGeom prst="rect">
                      <a:avLst/>
                    </a:prstGeom>
                  </pic:spPr>
                </pic:pic>
              </a:graphicData>
            </a:graphic>
          </wp:inline>
        </w:drawing>
      </w:r>
    </w:p>
    <w:p w14:paraId="1790089F" w14:textId="77777777" w:rsidR="008F55F9" w:rsidRPr="00B95838" w:rsidRDefault="008F55F9" w:rsidP="00EA51BC">
      <w:pPr>
        <w:tabs>
          <w:tab w:val="left" w:pos="4755"/>
        </w:tabs>
        <w:spacing w:line="480" w:lineRule="auto"/>
        <w:rPr>
          <w:rFonts w:ascii="Times New Roman" w:hAnsi="Times New Roman" w:cs="Times New Roman"/>
          <w:sz w:val="24"/>
          <w:szCs w:val="24"/>
        </w:rPr>
      </w:pPr>
      <w:r w:rsidRPr="00B95838">
        <w:rPr>
          <w:rFonts w:ascii="Times New Roman" w:hAnsi="Times New Roman" w:cs="Times New Roman"/>
          <w:sz w:val="24"/>
          <w:szCs w:val="24"/>
        </w:rPr>
        <w:t>Figure S1. The AI-based system used for automatic CT image quantisation.</w:t>
      </w:r>
    </w:p>
    <w:p w14:paraId="0BA78BA4" w14:textId="77777777" w:rsidR="008F55F9" w:rsidRPr="00B95838" w:rsidRDefault="008F55F9" w:rsidP="00EA51BC">
      <w:pPr>
        <w:tabs>
          <w:tab w:val="left" w:pos="4755"/>
        </w:tabs>
        <w:spacing w:line="480" w:lineRule="auto"/>
        <w:rPr>
          <w:rFonts w:ascii="Times New Roman" w:hAnsi="Times New Roman" w:cs="Times New Roman"/>
        </w:rPr>
      </w:pPr>
    </w:p>
    <w:p w14:paraId="35A4B7D2" w14:textId="77777777" w:rsidR="008F55F9" w:rsidRPr="00B95838" w:rsidRDefault="008F55F9" w:rsidP="00EA51BC">
      <w:pPr>
        <w:spacing w:line="480" w:lineRule="auto"/>
        <w:rPr>
          <w:rFonts w:ascii="Times New Roman" w:hAnsi="Times New Roman" w:cs="Times New Roman"/>
        </w:rPr>
      </w:pPr>
    </w:p>
    <w:p w14:paraId="2BAD777C" w14:textId="77777777" w:rsidR="00EA51BC" w:rsidRDefault="00EA51BC" w:rsidP="00EA51BC">
      <w:pPr>
        <w:widowControl/>
        <w:spacing w:line="480" w:lineRule="auto"/>
        <w:jc w:val="left"/>
        <w:rPr>
          <w:rFonts w:ascii="Times New Roman" w:hAnsi="Times New Roman" w:cs="Times New Roman"/>
          <w:b/>
          <w:bCs/>
          <w:color w:val="000000"/>
          <w:kern w:val="0"/>
          <w:sz w:val="24"/>
          <w:szCs w:val="24"/>
        </w:rPr>
      </w:pPr>
      <w:r>
        <w:rPr>
          <w:rFonts w:ascii="Times New Roman" w:hAnsi="Times New Roman" w:cs="Times New Roman"/>
          <w:b/>
          <w:bCs/>
          <w:color w:val="000000"/>
          <w:kern w:val="0"/>
          <w:sz w:val="24"/>
          <w:szCs w:val="24"/>
        </w:rPr>
        <w:br w:type="page"/>
      </w:r>
    </w:p>
    <w:p w14:paraId="209F0923" w14:textId="5EDDD729" w:rsidR="00EA51BC" w:rsidRPr="00EA51BC" w:rsidRDefault="00690873" w:rsidP="00EA51BC">
      <w:pPr>
        <w:autoSpaceDE w:val="0"/>
        <w:autoSpaceDN w:val="0"/>
        <w:adjustRightInd w:val="0"/>
        <w:spacing w:line="480" w:lineRule="auto"/>
        <w:rPr>
          <w:rFonts w:ascii="Times New Roman" w:hAnsi="Times New Roman" w:cs="Times New Roman"/>
          <w:b/>
          <w:bCs/>
          <w:color w:val="000000"/>
          <w:kern w:val="0"/>
          <w:sz w:val="24"/>
          <w:szCs w:val="24"/>
        </w:rPr>
      </w:pPr>
      <w:r w:rsidRPr="00EA51BC">
        <w:rPr>
          <w:rFonts w:ascii="Times New Roman" w:hAnsi="Times New Roman" w:cs="Times New Roman"/>
          <w:b/>
          <w:bCs/>
          <w:color w:val="000000"/>
          <w:kern w:val="0"/>
          <w:sz w:val="24"/>
          <w:szCs w:val="24"/>
        </w:rPr>
        <w:lastRenderedPageBreak/>
        <w:t>References in the supplementary materials</w:t>
      </w:r>
      <w:r w:rsidR="008F55F9" w:rsidRPr="00EA51BC">
        <w:rPr>
          <w:rFonts w:ascii="Times New Roman" w:hAnsi="Times New Roman" w:cs="Times New Roman"/>
          <w:sz w:val="24"/>
          <w:szCs w:val="24"/>
        </w:rPr>
        <w:fldChar w:fldCharType="begin"/>
      </w:r>
      <w:r w:rsidR="008F55F9" w:rsidRPr="00EA51BC">
        <w:rPr>
          <w:rFonts w:ascii="Times New Roman" w:hAnsi="Times New Roman" w:cs="Times New Roman"/>
          <w:sz w:val="24"/>
          <w:szCs w:val="24"/>
        </w:rPr>
        <w:instrText xml:space="preserve"> ADDIN NE.Bib</w:instrText>
      </w:r>
      <w:r w:rsidR="008F55F9" w:rsidRPr="00EA51BC">
        <w:rPr>
          <w:rFonts w:ascii="Times New Roman" w:hAnsi="Times New Roman" w:cs="Times New Roman"/>
          <w:sz w:val="24"/>
          <w:szCs w:val="24"/>
        </w:rPr>
        <w:fldChar w:fldCharType="separate"/>
      </w:r>
    </w:p>
    <w:p w14:paraId="5C18B5A8" w14:textId="0153E14D" w:rsidR="00EA51BC" w:rsidRPr="00EA51BC" w:rsidRDefault="00EA51BC" w:rsidP="00EA51BC">
      <w:pPr>
        <w:autoSpaceDE w:val="0"/>
        <w:autoSpaceDN w:val="0"/>
        <w:adjustRightInd w:val="0"/>
        <w:spacing w:line="480" w:lineRule="auto"/>
        <w:rPr>
          <w:rFonts w:ascii="Times New Roman" w:hAnsi="Times New Roman" w:cs="Times New Roman"/>
          <w:kern w:val="0"/>
          <w:sz w:val="20"/>
          <w:szCs w:val="20"/>
          <w:lang w:val="en-US"/>
        </w:rPr>
      </w:pPr>
      <w:r w:rsidRPr="00EA51BC">
        <w:rPr>
          <w:rFonts w:ascii="Times New Roman" w:hAnsi="Times New Roman" w:cs="Times New Roman"/>
          <w:color w:val="000000"/>
          <w:kern w:val="0"/>
          <w:sz w:val="20"/>
          <w:szCs w:val="20"/>
          <w:lang w:val="en-US"/>
        </w:rPr>
        <w:t>1. Falk T, Mai D, Bensch R, Çiçek Ö, Abdulkadir A, Marrakchi Y et al. U-Net: Deep learning for cell counting, detection, and morphometry. Nat Methods 2019;16:67-70</w:t>
      </w:r>
    </w:p>
    <w:p w14:paraId="3AFDCBC4" w14:textId="61D92C1F" w:rsidR="00EA51BC" w:rsidRPr="00EA51BC" w:rsidRDefault="00EA51BC" w:rsidP="00EA51BC">
      <w:pPr>
        <w:autoSpaceDE w:val="0"/>
        <w:autoSpaceDN w:val="0"/>
        <w:adjustRightInd w:val="0"/>
        <w:spacing w:line="480" w:lineRule="auto"/>
        <w:rPr>
          <w:rFonts w:ascii="Times New Roman" w:hAnsi="Times New Roman" w:cs="Times New Roman"/>
          <w:kern w:val="0"/>
          <w:sz w:val="20"/>
          <w:szCs w:val="20"/>
          <w:lang w:val="en-US"/>
        </w:rPr>
      </w:pPr>
      <w:r w:rsidRPr="00EA51BC">
        <w:rPr>
          <w:rFonts w:ascii="Times New Roman" w:hAnsi="Times New Roman" w:cs="Times New Roman"/>
          <w:color w:val="000000"/>
          <w:kern w:val="0"/>
          <w:sz w:val="20"/>
          <w:szCs w:val="20"/>
          <w:lang w:val="en-US"/>
        </w:rPr>
        <w:t>2. Wang S, Zhou M, Liu Z, Liu Z, Gu D, Zang Y et al. Central focused convolutional neural networks: Developing a data-driven model for lung nodule segmentation. Med Image Anal 2017;40:172-183</w:t>
      </w:r>
    </w:p>
    <w:p w14:paraId="357F00F6" w14:textId="0AF5802A" w:rsidR="00EA51BC" w:rsidRPr="00EA51BC" w:rsidRDefault="00EA51BC" w:rsidP="00EA51BC">
      <w:pPr>
        <w:autoSpaceDE w:val="0"/>
        <w:autoSpaceDN w:val="0"/>
        <w:adjustRightInd w:val="0"/>
        <w:spacing w:line="480" w:lineRule="auto"/>
        <w:rPr>
          <w:rFonts w:ascii="Times New Roman" w:hAnsi="Times New Roman" w:cs="Times New Roman"/>
          <w:kern w:val="0"/>
          <w:sz w:val="20"/>
          <w:szCs w:val="20"/>
          <w:lang w:val="en-US"/>
        </w:rPr>
      </w:pPr>
      <w:r w:rsidRPr="00EA51BC">
        <w:rPr>
          <w:rFonts w:ascii="Times New Roman" w:hAnsi="Times New Roman" w:cs="Times New Roman"/>
          <w:color w:val="000000"/>
          <w:kern w:val="0"/>
          <w:sz w:val="20"/>
          <w:szCs w:val="20"/>
          <w:lang w:val="en-US"/>
        </w:rPr>
        <w:t>3. Liu F, Zhang Q, Huang C, Shi C, Wang L, Shi N et al. CT quantification of pneumonia lesions in early days predicts progression to severe illness in a cohort of COVID-19 patients. Theranostics 2020;10:5613-5622</w:t>
      </w:r>
    </w:p>
    <w:p w14:paraId="6454A047" w14:textId="1E57F4B6" w:rsidR="00EA51BC" w:rsidRPr="00EA51BC" w:rsidRDefault="00EA51BC" w:rsidP="00EA51BC">
      <w:pPr>
        <w:autoSpaceDE w:val="0"/>
        <w:autoSpaceDN w:val="0"/>
        <w:adjustRightInd w:val="0"/>
        <w:spacing w:line="480" w:lineRule="auto"/>
        <w:rPr>
          <w:rFonts w:ascii="Times New Roman" w:hAnsi="Times New Roman" w:cs="Times New Roman"/>
          <w:kern w:val="0"/>
          <w:sz w:val="20"/>
          <w:szCs w:val="20"/>
          <w:lang w:val="en-US"/>
        </w:rPr>
      </w:pPr>
      <w:r w:rsidRPr="00EA51BC">
        <w:rPr>
          <w:rFonts w:ascii="Times New Roman" w:hAnsi="Times New Roman" w:cs="Times New Roman"/>
          <w:color w:val="000000"/>
          <w:kern w:val="0"/>
          <w:sz w:val="20"/>
          <w:szCs w:val="20"/>
          <w:lang w:val="en-US"/>
        </w:rPr>
        <w:t>4. Nagin DS, Jones BL, Passos VL, Tremblay RE. Group-based multi-trajectory modeling. Stat Methods Med Res 2018;27:2015-2023</w:t>
      </w:r>
    </w:p>
    <w:p w14:paraId="1D95A580" w14:textId="379D8D33" w:rsidR="00EA51BC" w:rsidRPr="00EA51BC" w:rsidRDefault="00EA51BC" w:rsidP="00EA51BC">
      <w:pPr>
        <w:autoSpaceDE w:val="0"/>
        <w:autoSpaceDN w:val="0"/>
        <w:adjustRightInd w:val="0"/>
        <w:spacing w:line="480" w:lineRule="auto"/>
        <w:rPr>
          <w:rFonts w:ascii="Times New Roman" w:hAnsi="Times New Roman" w:cs="Times New Roman"/>
          <w:color w:val="000000"/>
          <w:kern w:val="0"/>
          <w:sz w:val="20"/>
          <w:szCs w:val="20"/>
          <w:lang w:val="en-US"/>
        </w:rPr>
      </w:pPr>
      <w:r w:rsidRPr="00EA51BC">
        <w:rPr>
          <w:rFonts w:ascii="Times New Roman" w:hAnsi="Times New Roman" w:cs="Times New Roman"/>
          <w:color w:val="000000"/>
          <w:kern w:val="0"/>
          <w:sz w:val="20"/>
          <w:szCs w:val="20"/>
          <w:lang w:val="en-US"/>
        </w:rPr>
        <w:t>5. Nagin D. Group-based modeling of development. Cambridge: Harvard University Press; 2005.</w:t>
      </w:r>
    </w:p>
    <w:p w14:paraId="10FAF3F3" w14:textId="29E83003" w:rsidR="00EA51BC" w:rsidRPr="00EA51BC" w:rsidRDefault="00EA51BC" w:rsidP="00EA51BC">
      <w:pPr>
        <w:autoSpaceDE w:val="0"/>
        <w:autoSpaceDN w:val="0"/>
        <w:adjustRightInd w:val="0"/>
        <w:spacing w:line="480" w:lineRule="auto"/>
        <w:rPr>
          <w:rFonts w:ascii="Times New Roman" w:hAnsi="Times New Roman" w:cs="Times New Roman"/>
          <w:kern w:val="0"/>
          <w:sz w:val="20"/>
          <w:szCs w:val="20"/>
          <w:lang w:val="en-US"/>
        </w:rPr>
      </w:pPr>
      <w:r w:rsidRPr="00EA51BC">
        <w:rPr>
          <w:rFonts w:ascii="Times New Roman" w:hAnsi="Times New Roman" w:cs="Times New Roman"/>
          <w:color w:val="000000"/>
          <w:kern w:val="0"/>
          <w:sz w:val="20"/>
          <w:szCs w:val="20"/>
          <w:lang w:val="en-US"/>
        </w:rPr>
        <w:t>6.</w:t>
      </w:r>
      <w:bookmarkStart w:id="3" w:name="_nebA0A3FD7A_4B2E_4A2E_AA8C_263C0EFA5AB2"/>
      <w:r w:rsidRPr="00EA51BC">
        <w:rPr>
          <w:rFonts w:ascii="Times New Roman" w:hAnsi="Times New Roman" w:cs="Times New Roman"/>
          <w:color w:val="000000"/>
          <w:kern w:val="0"/>
          <w:sz w:val="20"/>
          <w:szCs w:val="20"/>
          <w:lang w:val="en-US"/>
        </w:rPr>
        <w:t xml:space="preserve"> Wang C, Huang P, Wang L, Zhujing S, Lin B, Wang Q et al. Temporal changes of COVID-19 pneumonia by mass evaluation using CT: A retrospective multi-center study. Annals of Translational Medicine 2020;8</w:t>
      </w:r>
      <w:bookmarkEnd w:id="3"/>
    </w:p>
    <w:p w14:paraId="066D5998" w14:textId="0ABA4BC2" w:rsidR="00EA51BC" w:rsidRPr="00EA51BC" w:rsidRDefault="00EA51BC" w:rsidP="00EA51BC">
      <w:pPr>
        <w:autoSpaceDE w:val="0"/>
        <w:autoSpaceDN w:val="0"/>
        <w:adjustRightInd w:val="0"/>
        <w:spacing w:line="480" w:lineRule="auto"/>
        <w:rPr>
          <w:rFonts w:ascii="Times New Roman" w:hAnsi="Times New Roman" w:cs="Times New Roman"/>
          <w:kern w:val="0"/>
          <w:sz w:val="20"/>
          <w:szCs w:val="20"/>
          <w:lang w:val="en-US"/>
        </w:rPr>
      </w:pPr>
      <w:r w:rsidRPr="00EA51BC">
        <w:rPr>
          <w:rFonts w:ascii="Times New Roman" w:hAnsi="Times New Roman" w:cs="Times New Roman"/>
          <w:color w:val="000000"/>
          <w:kern w:val="0"/>
          <w:sz w:val="20"/>
          <w:szCs w:val="20"/>
          <w:lang w:val="en-US"/>
        </w:rPr>
        <w:t>7. Mody A, Eshun-Wilson I, Sikombe K, Schwartz SR, Beres LK, Simbeza S et al. Longitudinal engagement trajectories and risk of death among new ART starters in  Zambia: A group-based multi-trajectory analysis. Plos Med 2019;16:e1002959</w:t>
      </w:r>
    </w:p>
    <w:p w14:paraId="2C12C50E" w14:textId="173A1693" w:rsidR="00EA51BC" w:rsidRPr="00EA51BC" w:rsidRDefault="00EA51BC" w:rsidP="00EA51BC">
      <w:pPr>
        <w:autoSpaceDE w:val="0"/>
        <w:autoSpaceDN w:val="0"/>
        <w:adjustRightInd w:val="0"/>
        <w:spacing w:line="480" w:lineRule="auto"/>
        <w:rPr>
          <w:rFonts w:ascii="Times New Roman" w:hAnsi="Times New Roman" w:cs="Times New Roman"/>
          <w:kern w:val="0"/>
          <w:sz w:val="20"/>
          <w:szCs w:val="20"/>
          <w:lang w:val="en-US"/>
        </w:rPr>
      </w:pPr>
      <w:r w:rsidRPr="00EA51BC">
        <w:rPr>
          <w:rFonts w:ascii="Times New Roman" w:hAnsi="Times New Roman" w:cs="Times New Roman"/>
          <w:color w:val="000000"/>
          <w:kern w:val="0"/>
          <w:sz w:val="20"/>
          <w:szCs w:val="20"/>
          <w:lang w:val="en-US"/>
        </w:rPr>
        <w:t>8. Nagin DS, Odgers CL. Group-based trajectory modeling in clinical research. Annu Rev Clin Psychol 2010;6:109-138</w:t>
      </w:r>
    </w:p>
    <w:p w14:paraId="671E83B3" w14:textId="286C53F6" w:rsidR="00EA51BC" w:rsidRPr="00EA51BC" w:rsidRDefault="00EA51BC" w:rsidP="00EA51BC">
      <w:pPr>
        <w:autoSpaceDE w:val="0"/>
        <w:autoSpaceDN w:val="0"/>
        <w:adjustRightInd w:val="0"/>
        <w:spacing w:line="480" w:lineRule="auto"/>
        <w:rPr>
          <w:rFonts w:ascii="Times New Roman" w:hAnsi="Times New Roman" w:cs="Times New Roman"/>
          <w:kern w:val="0"/>
          <w:sz w:val="20"/>
          <w:szCs w:val="20"/>
          <w:lang w:val="en-US"/>
        </w:rPr>
      </w:pPr>
      <w:r w:rsidRPr="00EA51BC">
        <w:rPr>
          <w:rFonts w:ascii="Times New Roman" w:hAnsi="Times New Roman" w:cs="Times New Roman"/>
          <w:color w:val="000000"/>
          <w:kern w:val="0"/>
          <w:sz w:val="20"/>
          <w:szCs w:val="20"/>
          <w:lang w:val="en-US"/>
        </w:rPr>
        <w:t>9. Klijn SL, Weijenberg MP, Lemmens P, van den Brandt PA, Lima PV. Introducing the fit-criteria assessment plot - a visualisation tool to assist class enumeration in group-based trajectory modelling. Stat Methods Med Res 2017;26:2424-2436</w:t>
      </w:r>
    </w:p>
    <w:p w14:paraId="5F78221F" w14:textId="74C20603" w:rsidR="00E944A2" w:rsidRPr="00EA51BC" w:rsidRDefault="008F55F9" w:rsidP="00EA51BC">
      <w:pPr>
        <w:autoSpaceDE w:val="0"/>
        <w:autoSpaceDN w:val="0"/>
        <w:adjustRightInd w:val="0"/>
        <w:spacing w:line="480" w:lineRule="auto"/>
        <w:jc w:val="left"/>
        <w:rPr>
          <w:rFonts w:ascii="Times New Roman" w:hAnsi="Times New Roman" w:cs="Times New Roman"/>
          <w:sz w:val="24"/>
          <w:szCs w:val="24"/>
        </w:rPr>
      </w:pPr>
      <w:r w:rsidRPr="00EA51BC">
        <w:rPr>
          <w:rFonts w:ascii="Times New Roman" w:hAnsi="Times New Roman" w:cs="Times New Roman"/>
          <w:sz w:val="24"/>
          <w:szCs w:val="24"/>
        </w:rPr>
        <w:fldChar w:fldCharType="end"/>
      </w:r>
      <w:r w:rsidR="00E944A2" w:rsidRPr="00EA51BC">
        <w:rPr>
          <w:rFonts w:ascii="Times New Roman" w:hAnsi="Times New Roman" w:cs="Times New Roman"/>
          <w:sz w:val="24"/>
          <w:szCs w:val="24"/>
        </w:rPr>
        <w:t xml:space="preserve"> </w:t>
      </w:r>
    </w:p>
    <w:p w14:paraId="656FB0A6" w14:textId="10CC0EF1" w:rsidR="00295402" w:rsidRPr="00EA51BC" w:rsidRDefault="00295402" w:rsidP="00EA51BC">
      <w:pPr>
        <w:autoSpaceDE w:val="0"/>
        <w:autoSpaceDN w:val="0"/>
        <w:adjustRightInd w:val="0"/>
        <w:spacing w:line="480" w:lineRule="auto"/>
        <w:ind w:left="221" w:hanging="221"/>
        <w:rPr>
          <w:sz w:val="24"/>
          <w:szCs w:val="24"/>
        </w:rPr>
      </w:pPr>
    </w:p>
    <w:sectPr w:rsidR="00295402" w:rsidRPr="00EA51BC" w:rsidSect="00F2428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A38C83" w14:textId="77777777" w:rsidR="00B258CE" w:rsidRDefault="00B258CE" w:rsidP="004136FF">
      <w:r>
        <w:separator/>
      </w:r>
    </w:p>
  </w:endnote>
  <w:endnote w:type="continuationSeparator" w:id="0">
    <w:p w14:paraId="29A9E56B" w14:textId="77777777" w:rsidR="00B258CE" w:rsidRDefault="00B258CE" w:rsidP="004136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FangSong">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Microsoft YaHei Light">
    <w:charset w:val="86"/>
    <w:family w:val="swiss"/>
    <w:pitch w:val="variable"/>
    <w:sig w:usb0="80000287" w:usb1="2ACF0010" w:usb2="00000016" w:usb3="00000000" w:csb0="0004001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dvOTf3919c9c . B">
    <w:altName w:val="Segoe Print"/>
    <w:charset w:val="00"/>
    <w:family w:val="auto"/>
    <w:pitch w:val="default"/>
    <w:sig w:usb0="00000000" w:usb1="00000000" w:usb2="00000000"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58319157"/>
      <w:docPartObj>
        <w:docPartGallery w:val="Page Numbers (Bottom of Page)"/>
        <w:docPartUnique/>
      </w:docPartObj>
    </w:sdtPr>
    <w:sdtEndPr/>
    <w:sdtContent>
      <w:p w14:paraId="17256500" w14:textId="7654F5CE" w:rsidR="008239DD" w:rsidRDefault="008239DD">
        <w:pPr>
          <w:pStyle w:val="a6"/>
          <w:jc w:val="right"/>
        </w:pPr>
        <w:r>
          <w:fldChar w:fldCharType="begin"/>
        </w:r>
        <w:r>
          <w:instrText>PAGE   \* MERGEFORMAT</w:instrText>
        </w:r>
        <w:r>
          <w:fldChar w:fldCharType="separate"/>
        </w:r>
        <w:r>
          <w:rPr>
            <w:lang w:val="zh-CN"/>
          </w:rPr>
          <w:t>2</w:t>
        </w:r>
        <w:r>
          <w:fldChar w:fldCharType="end"/>
        </w:r>
      </w:p>
    </w:sdtContent>
  </w:sdt>
  <w:p w14:paraId="22B89EE0" w14:textId="77777777" w:rsidR="008239DD" w:rsidRDefault="008239DD">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4194C1F" w14:textId="77777777" w:rsidR="00B258CE" w:rsidRDefault="00B258CE" w:rsidP="004136FF">
      <w:r>
        <w:separator/>
      </w:r>
    </w:p>
  </w:footnote>
  <w:footnote w:type="continuationSeparator" w:id="0">
    <w:p w14:paraId="2C90078F" w14:textId="77777777" w:rsidR="00B258CE" w:rsidRDefault="00B258CE" w:rsidP="004136F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AF598A"/>
    <w:multiLevelType w:val="multilevel"/>
    <w:tmpl w:val="2E003828"/>
    <w:lvl w:ilvl="0">
      <w:start w:val="1"/>
      <w:numFmt w:val="decimal"/>
      <w:pStyle w:val="1"/>
      <w:isLgl/>
      <w:suff w:val="nothing"/>
      <w:lvlText w:val="第%1章 "/>
      <w:lvlJc w:val="left"/>
      <w:pPr>
        <w:ind w:left="432" w:hanging="432"/>
      </w:pPr>
      <w:rPr>
        <w:rFonts w:ascii="Times New Roman" w:eastAsia="FangSong" w:hint="eastAsia"/>
      </w:rPr>
    </w:lvl>
    <w:lvl w:ilvl="1">
      <w:start w:val="1"/>
      <w:numFmt w:val="decimal"/>
      <w:isLgl/>
      <w:lvlText w:val="%1.%2"/>
      <w:lvlJc w:val="left"/>
      <w:pPr>
        <w:ind w:left="576" w:hanging="576"/>
      </w:pPr>
      <w:rPr>
        <w:rFonts w:ascii="Times New Roman" w:hAnsi="Times New Roman" w:hint="default"/>
      </w:rPr>
    </w:lvl>
    <w:lvl w:ilvl="2">
      <w:start w:val="1"/>
      <w:numFmt w:val="decimal"/>
      <w:lvlText w:val="%1.%2.%3"/>
      <w:lvlJc w:val="left"/>
      <w:pPr>
        <w:ind w:left="720" w:hanging="720"/>
      </w:pPr>
      <w:rPr>
        <w:rFonts w:ascii="Times New Roman" w:hAnsi="Times New Roman" w:hint="default"/>
      </w:rPr>
    </w:lvl>
    <w:lvl w:ilvl="3">
      <w:start w:val="1"/>
      <w:numFmt w:val="decimal"/>
      <w:lvlText w:val="%1.%2.%3.%4"/>
      <w:lvlJc w:val="left"/>
      <w:pPr>
        <w:ind w:left="864" w:hanging="864"/>
      </w:pPr>
      <w:rPr>
        <w:rFonts w:ascii="Times New Roman" w:hAnsi="Times New Roman" w:hint="default"/>
      </w:rPr>
    </w:lvl>
    <w:lvl w:ilvl="4">
      <w:start w:val="1"/>
      <w:numFmt w:val="decimal"/>
      <w:lvlText w:val="%4.%2.%3.1.%5"/>
      <w:lvlJc w:val="left"/>
      <w:pPr>
        <w:ind w:left="1008" w:hanging="1008"/>
      </w:pPr>
      <w:rPr>
        <w:rFonts w:ascii="Times New Roman" w:hAnsi="Times New Roman" w:hint="default"/>
      </w:rPr>
    </w:lvl>
    <w:lvl w:ilvl="5">
      <w:start w:val="1"/>
      <w:numFmt w:val="decimal"/>
      <w:lvlText w:val="%5.%2.%3.%4.1.%6"/>
      <w:lvlJc w:val="left"/>
      <w:pPr>
        <w:ind w:left="1152" w:hanging="1152"/>
      </w:pPr>
      <w:rPr>
        <w:rFonts w:hint="eastAsia"/>
      </w:rPr>
    </w:lvl>
    <w:lvl w:ilvl="6">
      <w:start w:val="1"/>
      <w:numFmt w:val="decimal"/>
      <w:lvlText w:val="%6.%2.%3.%4.%5.1.%7"/>
      <w:lvlJc w:val="left"/>
      <w:pPr>
        <w:ind w:left="1296" w:hanging="1296"/>
      </w:pPr>
      <w:rPr>
        <w:rFonts w:hint="eastAsia"/>
      </w:rPr>
    </w:lvl>
    <w:lvl w:ilvl="7">
      <w:start w:val="1"/>
      <w:numFmt w:val="decimal"/>
      <w:lvlText w:val="%7.%2.%3.%4.%5.%6.1.%8"/>
      <w:lvlJc w:val="left"/>
      <w:pPr>
        <w:ind w:left="1440" w:hanging="1440"/>
      </w:pPr>
      <w:rPr>
        <w:rFonts w:hint="eastAsia"/>
      </w:rPr>
    </w:lvl>
    <w:lvl w:ilvl="8">
      <w:start w:val="1"/>
      <w:numFmt w:val="decimal"/>
      <w:lvlText w:val="%8.%2.%3.%4.%5.%6.%7.1.%9"/>
      <w:lvlJc w:val="left"/>
      <w:pPr>
        <w:ind w:left="1584" w:hanging="1584"/>
      </w:pPr>
      <w:rPr>
        <w:rFonts w:hint="eastAsia"/>
      </w:rPr>
    </w:lvl>
  </w:abstractNum>
  <w:num w:numId="1">
    <w:abstractNumId w:val="0"/>
  </w:num>
  <w:num w:numId="2">
    <w:abstractNumId w:val="0"/>
  </w:num>
  <w:num w:numId="3">
    <w:abstractNumId w:val="0"/>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E.Ref{6AEF395C-0A09-4882-B129-5F972536C302}" w:val=" ADDIN NE.Ref.{6AEF395C-0A09-4882-B129-5F972536C302}&lt;Citation&gt;&lt;Group&gt;&lt;References&gt;&lt;Item&gt;&lt;ID&gt;538&lt;/ID&gt;&lt;UID&gt;{DBBF9972-C574-4EF7-BBDA-18F8C75526C0}&lt;/UID&gt;&lt;Title&gt;U-Net: deep learning for cell counting, detection, and morphometry&lt;/Title&gt;&lt;Template&gt;Journal Article&lt;/Template&gt;&lt;Star&gt;0&lt;/Star&gt;&lt;Tag&gt;0&lt;/Tag&gt;&lt;Author&gt;Falk, T; Mai, D; Bensch, R; Çiçek, Ö; Abdulkadir, A; Marrakchi, Y; Böhm, A; Deubner, J; Jäckel, Z; Seiwald, K; Dovzhenko, A; Tietz, O; Dal Bosco, C; Walsh, S; Saltukoglu, D; Tay, T L; Prinz, M; Palme, K; Simons, M; Diester, I; Brox, T; Ronneberger, O&lt;/Author&gt;&lt;Year&gt;2019&lt;/Year&gt;&lt;Details&gt;&lt;_accession_num&gt;30559429&lt;/_accession_num&gt;&lt;_author_adr&gt;Department of Computer Science, Albert-Ludwigs-University, Freiburg, Germany.; BIOSS Centre for Biological Signalling Studies, Freiburg, Germany.; CIBSS Centre for Integrative Biological Signalling Studies,  Albert-Ludwigs-University, Freiburg, Germany.; Department of Computer Science, Albert-Ludwigs-University, Freiburg, Germany.; BIOSS Centre for Biological Signalling Studies, Freiburg, Germany.; Life Imaging Center, Center for Biological Systems Analysis,  Albert-Ludwigs-University, Freiburg, Germany.; SICK AG, Waldkirch, Germany.; Department of Computer Science, Albert-Ludwigs-University, Freiburg, Germany.; BIOSS Centre for Biological Signalling Studies, Freiburg, Germany.; ANavS GmbH, München, Germany.; Department of Computer Science, Albert-Ludwigs-University, Freiburg, Germany.; Department of Computer Science, Albert-Ludwigs-University, Freiburg, Germany.; University Hospital of Old Age Psychiatry and Psychotherapy, University of Bern,  Bern, Switzerland.; Department of Computer Science, Albert-Ludwigs-University, Freiburg, Germany.; BIOSS Centre for Biological Signalling Studies, Freiburg, Germany.; CIBSS Centre for Integrative Biological Signalling Studies,  Albert-Ludwigs-University, Freiburg, Germany.; Department of Computer Science, Albert-Ludwigs-University, Freiburg, Germany.; Optophysiology Lab, Institute of Biology III, Albert-Ludwigs-University, Freiburg,  Germany.; BrainLinks-BrainTools, Albert-Ludwigs-University, Freiburg, Germany.; Optophysiology Lab, Institute of Biology III, Albert-Ludwigs-University, Freiburg,  Germany.; BrainLinks-BrainTools, Albert-Ludwigs-University, Freiburg, Germany.; Optophysiology Lab, Institute of Biology III, Albert-Ludwigs-University, Freiburg,  Germany.; Institute of Biology II, Albert-Ludwigs-University, Freiburg, Germany.; ScreenSYS GmbH, Freiburg, Germany.; Institute of Biology II, Albert-Ludwigs-University, Freiburg, Germany.; ScreenSYS GmbH, Freiburg, Germany.; Institute of Biology II, Albert-Ludwigs-University, Freiburg, Germany.; Institute of Biology II, Albert-Ludwigs-University, Freiburg, Germany.; ScreenSYS GmbH, Freiburg, Germany.; BIOSS Centre for Biological Signalling Studies, Freiburg, Germany.; Center for Biological Systems Analysis (ZBSA), Albert-Ludwigs-University, Freiburg,  Germany.; Renal Division, University Medical Centre, Freiburg, Germany.; Spemann Graduate School of Biology and Medicine (SGBM), Albert-Ludwigs-University,  Freiburg, Germany.; BrainLinks-BrainTools, Albert-Ludwigs-University, Freiburg, Germany.; Institute of Neuropathology, University Medical Centre, Freiburg, Germany.; Institute of Biology I, Albert-Ludwigs-University, Freiburg, Germany.; BIOSS Centre for Biological Signalling Studies, Freiburg, Germany.; CIBSS Centre for Integrative Biological Signalling Studies,  Albert-Ludwigs-University, Freiburg, Germany.; Institute of Neuropathology, University Medical Centre, Freiburg, Germany.; BIOSS Centre for Biological Signalling Studies, Freiburg, Germany.; Institute of Biology II, Albert-Ludwigs-University, Freiburg, Germany.; BIOSS Centre for Biological Signalling Studies, Freiburg, Germany.; Center for Biological Systems Analysis (ZBSA), Albert-Ludwigs-University, Freiburg,  Germany.; Renal Division, University Medical Centre, Freiburg, Germany.; Paris Descartes University-Sorbonne Paris Cité, Imagine Institute, Paris, France.; Optophysiology Lab, Institute of Biology III, Albert-Ludwigs-University, Freiburg,  Germany.; BrainLinks-BrainTools, Albert-Ludwigs-University, Freiburg, Germany.; Bernstein Center Freiburg, Albert-Ludwigs-University, Freiburg, Germany.; Department of Computer Science, Albert-Ludwigs-University, Freiburg, Germany.; BIOSS Centre for Biological Signalling Studies, Freiburg, Germany.; CIBSS Centre for Integrative Biological Signalling Studies,  Albert-Ludwigs-University, Freiburg, Germany.; BrainLinks-BrainTools, Albert-Ludwigs-University, Freiburg, Germany.; Department of Computer Science, Albert-Ludwigs-University, Freiburg, Germany.  ronneber@informatik.uni-freiburg.de.; BIOSS Centre for Biological Signalling Studies, Freiburg, Germany.  ronneber@informatik.uni-freiburg.de.; DeepMind, London, UK. ronneber@informatik.uni-freiburg.de.&lt;/_author_adr&gt;&lt;_collection_scope&gt;SCI;SCIE&lt;/_collection_scope&gt;&lt;_created&gt;63418762&lt;/_created&gt;&lt;_date&gt;2019-01-01&lt;/_date&gt;&lt;_date_display&gt;2019 Jan&lt;/_date_display&gt;&lt;_doi&gt;10.1038/s41592-018-0261-2&lt;/_doi&gt;&lt;_impact_factor&gt;  30.822&lt;/_impact_factor&gt;&lt;_isbn&gt;1548-7105 (Electronic); 1548-7091 (Linking)&lt;/_isbn&gt;&lt;_issue&gt;1&lt;/_issue&gt;&lt;_journal&gt;Nat Methods&lt;/_journal&gt;&lt;_keywords&gt;*Cell Count; Cloud Computing; *Deep Learning; Neural Networks, Computer; Software Design&lt;/_keywords&gt;&lt;_language&gt;eng&lt;/_language&gt;&lt;_modified&gt;63418762&lt;/_modified&gt;&lt;_pages&gt;67-70&lt;/_pages&gt;&lt;_tertiary_title&gt;Nature methods&lt;/_tertiary_title&gt;&lt;_type_work&gt;Journal Article; Research Support, Non-U.S. Gov&amp;apos;t&lt;/_type_work&gt;&lt;_url&gt;http://www.ncbi.nlm.nih.gov/entrez/query.fcgi?cmd=Retrieve&amp;amp;db=pubmed&amp;amp;dopt=Abstract&amp;amp;list_uids=30559429&amp;amp;query_hl=1&lt;/_url&gt;&lt;_volume&gt;16&lt;/_volume&gt;&lt;/Details&gt;&lt;Extra&gt;&lt;DBUID&gt;{F96A950B-833F-4880-A151-76DA2D6A2879}&lt;/DBUID&gt;&lt;/Extra&gt;&lt;/Item&gt;&lt;/References&gt;&lt;/Group&gt;&lt;Group&gt;&lt;References&gt;&lt;Item&gt;&lt;ID&gt;539&lt;/ID&gt;&lt;UID&gt;{A5DA9320-2530-45AE-8B69-871861E3C83C}&lt;/UID&gt;&lt;Title&gt;Central focused convolutional neural networks: Developing a data-driven model for lung nodule segmentation&lt;/Title&gt;&lt;Template&gt;Journal Article&lt;/Template&gt;&lt;Star&gt;0&lt;/Star&gt;&lt;Tag&gt;0&lt;/Tag&gt;&lt;Author&gt;Wang, S; Zhou, M; Liu, Z; Liu, Z; Gu, D; Zang, Y; Dong, D; Gevaert, O; Tian, J&lt;/Author&gt;&lt;Year&gt;2017&lt;/Year&gt;&lt;Details&gt;&lt;_accession_num&gt;28688283&lt;/_accession_num&gt;&lt;_author_adr&gt;CAS Key Laboratory of Molecular Imaging, Institute of Automation, Chinese Academy of Sciences, Beijing 100190, China; University of Chinese Academy of Sciences, Beijing 100049, China.; Stanford Center for Biomedical Informatics Research (BMIR), Department of Medicine, Stanford University, CA 94305, USA.; Guangdong General Hospital, Guangzhou, Guangdong 510080, China.; CAS Key Laboratory of Molecular Imaging, Institute of Automation, Chinese Academy of Sciences, Beijing 100190, China.; CAS Key Laboratory of Molecular Imaging, Institute of Automation, Chinese Academy of Sciences, Beijing 100190, China; University of Chinese Academy of Sciences, Beijing 100049, China.; CAS Key Laboratory of Molecular Imaging, Institute of Automation, Chinese Academy of Sciences, Beijing 100190, China; University of Chinese Academy of Sciences, Beijing 100049, China.; CAS Key Laboratory of Molecular Imaging, Institute of Automation, Chinese Academy of Sciences, Beijing 100190, China; University of Chinese Academy of Sciences, Beijing 100049, China. Electronic address: di.dong@ia.ac.cn.; Stanford Center for Biomedical Informatics Research (BMIR), Department of Medicine, Stanford University, CA 94305, USA. Electronic address: olivier.gevaert@stanford.edu.; CAS Key Laboratory of Molecular Imaging, Institute of Automation, Chinese Academy of Sciences, Beijing 100190, China; University of Chinese Academy of Sciences, Beijing 100049, China; Beijing Key Laboratory of Molecular Imaging, Beijing 100190, China. Electronic address: jie.tian@ia.ac.cn.&lt;/_author_adr&gt;&lt;_collection_scope&gt;SCI;SCIE;EI&lt;/_collection_scope&gt;&lt;_created&gt;63418763&lt;/_created&gt;&lt;_date&gt;2017-08-01&lt;/_date&gt;&lt;_date_display&gt;2017 Aug&lt;/_date_display&gt;&lt;_db_updated&gt;PubMed&lt;/_db_updated&gt;&lt;_doi&gt;10.1016/j.media.2017.06.014&lt;/_doi&gt;&lt;_impact_factor&gt;  11.148&lt;/_impact_factor&gt;&lt;_isbn&gt;1361-8423 (Electronic); 1361-8415 (Linking)&lt;/_isbn&gt;&lt;_journal&gt;Med Image Anal&lt;/_journal&gt;&lt;_keywords&gt;Diagnosis, Computer-Assisted/*methods; Humans; Lung Neoplasms/*diagnostic imaging; *Machine Learning; *Neural Networks, Computer; Sensitivity and Specificity; Tomography, X-Ray Computed/*methodsComputer-aided diagnosis; Convolutional neural networks; Deep learning; Lung nodule segmentation&lt;/_keywords&gt;&lt;_language&gt;eng&lt;/_language&gt;&lt;_modified&gt;63418763&lt;/_modified&gt;&lt;_ori_publication&gt;Copyright (c) 2017. Published by Elsevier B.V.&lt;/_ori_publication&gt;&lt;_pages&gt;172-183&lt;/_pages&gt;&lt;_tertiary_title&gt;Medical image analysis&lt;/_tertiary_title&gt;&lt;_type_work&gt;Journal Article&lt;/_type_work&gt;&lt;_url&gt;http://www.ncbi.nlm.nih.gov/entrez/query.fcgi?cmd=Retrieve&amp;amp;db=pubmed&amp;amp;dopt=Abstract&amp;amp;list_uids=28688283&amp;amp;query_hl=1&lt;/_url&gt;&lt;_volume&gt;40&lt;/_volume&gt;&lt;/Details&gt;&lt;Extra&gt;&lt;DBUID&gt;{F96A950B-833F-4880-A151-76DA2D6A2879}&lt;/DBUID&gt;&lt;/Extra&gt;&lt;/Item&gt;&lt;/References&gt;&lt;/Group&gt;&lt;/Citation&gt;_x000a_"/>
    <w:docVar w:name="NE.Ref{9A3173DA-F797-4621-B84C-CF141A484A97}" w:val=" ADDIN NE.Ref.{9A3173DA-F797-4621-B84C-CF141A484A97}&lt;Citation&gt;&lt;Group&gt;&lt;References&gt;&lt;Item&gt;&lt;ID&gt;526&lt;/ID&gt;&lt;UID&gt;{8E903D0D-EA59-4714-91BB-D9F53093A6CC}&lt;/UID&gt;&lt;Title&gt;CT quantification of pneumonia lesions in early days predicts progression to severe illness in a cohort of COVID-19 patients&lt;/Title&gt;&lt;Template&gt;Journal Article&lt;/Template&gt;&lt;Star&gt;0&lt;/Star&gt;&lt;Tag&gt;0&lt;/Tag&gt;&lt;Author&gt;Liu, F; Zhang, Q; Huang, C; Shi, C; Wang, L; Shi, N; Fang, C; Shan, F; Mei, X; Shi, J; Song, F; Yang, Z; Ding, Z; Su, X; Lu, H; Zhu, T; Zhang, Z; Shi, L; Shi, Y&lt;/Author&gt;&lt;Year&gt;2020&lt;/Year&gt;&lt;Details&gt;&lt;_accession_num&gt;32373235&lt;/_accession_num&gt;&lt;_author_adr&gt;Department of Radiology, Shanghai Public Health Clinical Center, Fudan University, Shanghai, China.; Shanghai Key Laboratory of Artificial Intelligence for Medical Image and Knowledge Graph, Shanghai, China.; The SMART (Smart Medicine and AI-based Radiology Technology) Lab, Shanghai Institute for Advanced Communication and Data Science, Shanghai University, Shanghai, China.; School of Communication and Information Engineering, Shanghai University, Shanghai, China.; Institute of Healthcare Research, Yizhi, Shanghai, China.; Shanghai Key Laboratory of Artificial Intelligence for Medical Image and Knowledge Graph, Shanghai, China.; Institute of Healthcare Research, Yizhi, Shanghai, China.; Shanghai Public Health Clinical Center, Fudan University, Shanghai, China.; Department of Radiology, Shanghai Public Health Clinical Center, Fudan University, Shanghai, China.; Department of Radiology, Shanghai Public Health Clinical Center, Fudan University, Shanghai, China.; Shanghai Key Laboratory of Artificial Intelligence for Medical Image and Knowledge Graph, Shanghai, China.; Institute of Healthcare Research, Yizhi, Shanghai, China.; Department of Radiology, Shanghai Public Health Clinical Center, Fudan University, Shanghai, China.; Department of Severe Hepatology, Shanghai Public Health Clinical Center, Fudan University, Shanghai, China.; Shanghai Key Laboratory of Artificial Intelligence for Medical Image and Knowledge Graph, Shanghai, China.; Department of Radiology, Shanghai Public Health Clinical Center, Fudan University, Shanghai, China.; Shanghai Key Laboratory of Artificial Intelligence for Medical Image and Knowledge Graph, Shanghai, China.; Shanghai Key Laboratory of Artificial Intelligence for Medical Image and Knowledge Graph, Shanghai, China.; Institute of Healthcare Research, Yizhi, Shanghai, China.; Department of Infectious Disease, Shanghai Public Health Clinical Center, Fudan University, Shanghai, China.; Department of Urology, Shanghai Public Health Clinical Center, Fudan University,  Shanghai, China.; Shanghai Public Health Clinical Center, Fudan University, Shanghai, China.; Shanghai Key Laboratory of Artificial Intelligence for Medical Image and Knowledge Graph, Shanghai, China.; Institute of Healthcare Research, Yizhi, Shanghai, China.; Department of Radiology, Shanghai Public Health Clinical Center, Fudan University, Shanghai, China.&lt;/_author_adr&gt;&lt;_collection_scope&gt;SCIE&lt;/_collection_scope&gt;&lt;_created&gt;63418738&lt;/_created&gt;&lt;_date&gt;2020-01-20&lt;/_date&gt;&lt;_date_display&gt;2020&lt;/_date_display&gt;&lt;_db_updated&gt;PubMed&lt;/_db_updated&gt;&lt;_doi&gt;10.7150/thno.45985&lt;/_doi&gt;&lt;_impact_factor&gt;   8.579&lt;/_impact_factor&gt;&lt;_isbn&gt;1838-7640 (Electronic); 1838-7640 (Linking)&lt;/_isbn&gt;&lt;_issue&gt;12&lt;/_issue&gt;&lt;_journal&gt;Theranostics&lt;/_journal&gt;&lt;_keywords&gt;Adult; Aged; Algorithms; Artificial Intelligence; Betacoronavirus; China; Coronavirus Infections/*diagnostic imaging/*pathology; Disease Progression; Female; Humans; Image Processing, Computer-Assisted; Lung/diagnostic imaging/*pathology; Male; Middle Aged; Pandemics; Pneumonia, Viral/*diagnostic imaging/*pathology; Prognosis; Retrospective Studies; Tomography, X-Ray Computed*Artificial intelligence; *COVID-19; *Chest CT; *Retrospective cohort; *Severe illness&lt;/_keywords&gt;&lt;_language&gt;eng&lt;/_language&gt;&lt;_modified&gt;63418738&lt;/_modified&gt;&lt;_ori_publication&gt;(c) The author(s).&lt;/_ori_publication&gt;&lt;_pages&gt;5613-5622&lt;/_pages&gt;&lt;_tertiary_title&gt;Theranostics&lt;/_tertiary_title&gt;&lt;_type_work&gt;Journal Article&lt;/_type_work&gt;&lt;_url&gt;http://www.ncbi.nlm.nih.gov/entrez/query.fcgi?cmd=Retrieve&amp;amp;db=pubmed&amp;amp;dopt=Abstract&amp;amp;list_uids=32373235&amp;amp;query_hl=1&lt;/_url&gt;&lt;_volume&gt;10&lt;/_volume&gt;&lt;/Details&gt;&lt;Extra&gt;&lt;DBUID&gt;{F96A950B-833F-4880-A151-76DA2D6A2879}&lt;/DBUID&gt;&lt;/Extra&gt;&lt;/Item&gt;&lt;/References&gt;&lt;/Group&gt;&lt;/Citation&gt;_x000a_"/>
    <w:docVar w:name="NE.Ref{A8AA1474-3A13-4594-8EC0-6868E0B79EF8}" w:val=" ADDIN NE.Ref.{A8AA1474-3A13-4594-8EC0-6868E0B79EF8}&lt;Citation&gt;&lt;Group&gt;&lt;References&gt;&lt;Item&gt;&lt;ID&gt;543&lt;/ID&gt;&lt;UID&gt;{FB3096D7-95F0-4C3B-A8EA-B28E11712D30}&lt;/UID&gt;&lt;Title&gt;Longitudinal engagement trajectories and risk of death among new ART starters in  Zambia: A group-based multi-trajectory analysis&lt;/Title&gt;&lt;Template&gt;Journal Article&lt;/Template&gt;&lt;Star&gt;0&lt;/Star&gt;&lt;Tag&gt;0&lt;/Tag&gt;&lt;Author&gt;Mody, A; Eshun-Wilson, I; Sikombe, K; Schwartz, S R; Beres, L K; Simbeza, S; Mukamba, N; Somwe, P; Bolton-Moore, C; Padian, N; Holmes, C B; Sikazwe, I; Geng, E H&lt;/Author&gt;&lt;Year&gt;2019&lt;/Year&gt;&lt;Details&gt;&lt;_accession_num&gt;31661487&lt;/_accession_num&gt;&lt;_author_adr&gt;Division of HIV, ID and Global Medicine, University of California, San Francisco, Zuckerberg San Francisco General Hospital, San Francisco, California, United States of America.; Division of HIV, ID and Global Medicine, University of California, San Francisco, Zuckerberg San Francisco General Hospital, San Francisco, California, United States of America.; Centre for Infectious Diseases Research in Zambia, Lusaka, Zambia.; Department of International Health, Bloomberg School of Public Health, Johns Hopkins University, Baltimore, Maryland, United States of America.; Department of International Health, Bloomberg School of Public Health, Johns Hopkins University, Baltimore, Maryland, United States of America.; Centre for Infectious Diseases Research in Zambia, Lusaka, Zambia.; Centre for Infectious Diseases Research in Zambia, Lusaka, Zambia.; Centre for Infectious Diseases Research in Zambia, Lusaka, Zambia.; Centre for Infectious Diseases Research in Zambia, Lusaka, Zambia.; Division of Infectious Diseases, University of Alabama at Birmingham, Alabama, United States of America.; Division of Epidemiology, University of California, Berkeley, California, United  States of America.; Department of Medicine, Georgetown University, Washington, District of Columbia,  United States of America.; Centre for Infectious Diseases Research in Zambia, Lusaka, Zambia.; Division of HIV, ID and Global Medicine, University of California, San Francisco, Zuckerberg San Francisco General Hospital, San Francisco, California, United States of America.&lt;/_author_adr&gt;&lt;_collection_scope&gt;SCIE&lt;/_collection_scope&gt;&lt;_created&gt;63418779&lt;/_created&gt;&lt;_date&gt;2019-10-01&lt;/_date&gt;&lt;_date_display&gt;2019 Oct&lt;/_date_display&gt;&lt;_db_updated&gt;PubMed&lt;/_db_updated&gt;&lt;_doi&gt;10.1371/journal.pmed.1002959&lt;/_doi&gt;&lt;_impact_factor&gt;  10.500&lt;/_impact_factor&gt;&lt;_isbn&gt;1549-1676 (Electronic); 1549-1277 (Linking)&lt;/_isbn&gt;&lt;_issue&gt;10&lt;/_issue&gt;&lt;_journal&gt;PLoS Med&lt;/_journal&gt;&lt;_keywords&gt;Adolescent; Adult; Aged; Anti-Retroviral Agents/*therapeutic use; CD4 Lymphocyte Count; Delivery of Health Care; Electronic Health Records; Female; HIV Infections/*drug therapy/*mortality; Humans; Incidence; Kaplan-Meier Estimate; Latent Class Analysis; Longitudinal Studies; Male; *Medication Adherence; Middle Aged; Probability; Regression Analysis; Risk; Young Adult; Zambia/epidemiology&lt;/_keywords&gt;&lt;_language&gt;eng&lt;/_language&gt;&lt;_modified&gt;63418779&lt;/_modified&gt;&lt;_pages&gt;e1002959&lt;/_pages&gt;&lt;_tertiary_title&gt;PLoS medicine&lt;/_tertiary_title&gt;&lt;_type_work&gt;Journal Article; Multicenter Study; Research Support, N.I.H., Extramural; Research Support, Non-U.S. Gov&amp;apos;t&lt;/_type_work&gt;&lt;_url&gt;http://www.ncbi.nlm.nih.gov/entrez/query.fcgi?cmd=Retrieve&amp;amp;db=pubmed&amp;amp;dopt=Abstract&amp;amp;list_uids=31661487&amp;amp;query_hl=1&lt;/_url&gt;&lt;_volume&gt;16&lt;/_volume&gt;&lt;/Details&gt;&lt;Extra&gt;&lt;DBUID&gt;{F96A950B-833F-4880-A151-76DA2D6A2879}&lt;/DBUID&gt;&lt;/Extra&gt;&lt;/Item&gt;&lt;/References&gt;&lt;/Group&gt;&lt;Group&gt;&lt;References&gt;&lt;Item&gt;&lt;ID&gt;527&lt;/ID&gt;&lt;UID&gt;{01FFC3CF-1077-431D-A90C-390441C1A393}&lt;/UID&gt;&lt;Title&gt;Group-based multi-trajectory modeling&lt;/Title&gt;&lt;Template&gt;Journal Article&lt;/Template&gt;&lt;Star&gt;0&lt;/Star&gt;&lt;Tag&gt;0&lt;/Tag&gt;&lt;Author&gt;Nagin, D S; Jones, B L; Passos, V L; Tremblay, R E&lt;/Author&gt;&lt;Year&gt;2018&lt;/Year&gt;&lt;Details&gt;&lt;_accession_num&gt;29846144&lt;/_accession_num&gt;&lt;_author_adr&gt;1 The School of Public Policy &amp;amp; Management, Heinz College, Carnegie Mellon University, Pittsburgh, PA, USA.; 2 Western Psychiatric Institute and Clinic, University of Pittsburgh Medical Center, Pittsburgh, PA, USA.; 3 Department of Methodology and Statistics, Maastricht University, Maastricht, the Netherlands.; 4 School of Public Health, Physiotherapy and Sports Science, University College Dublin, Dublin, Ireland.&lt;/_author_adr&gt;&lt;_collection_scope&gt;SCI;SCIE&lt;/_collection_scope&gt;&lt;_created&gt;63418739&lt;/_created&gt;&lt;_date&gt;2018-07-01&lt;/_date&gt;&lt;_date_display&gt;2018 Jul&lt;/_date_display&gt;&lt;_db_updated&gt;PubMed&lt;/_db_updated&gt;&lt;_doi&gt;10.1177/0962280216673085&lt;/_doi&gt;&lt;_impact_factor&gt;   2.291&lt;/_impact_factor&gt;&lt;_isbn&gt;1477-0334 (Electronic); 0962-2802 (Linking)&lt;/_isbn&gt;&lt;_issue&gt;7&lt;/_issue&gt;&lt;_journal&gt;Stat Methods Med Res&lt;/_journal&gt;&lt;_keywords&gt;Adolescent; Adult; Algorithms; Biomarkers; Child; Child, Preschool; Humans; Latent Class Analysis; *Longitudinal Studies; Male; *Models, Statistical; *Population Surveillance; Young Adult*Longitudinal analysis of multiple outcomes; *group-based trajectory modeling; *latent class analysis; *trajectories of multiple disease biomarkers&lt;/_keywords&gt;&lt;_language&gt;eng&lt;/_language&gt;&lt;_modified&gt;63418739&lt;/_modified&gt;&lt;_pages&gt;2015-2023&lt;/_pages&gt;&lt;_tertiary_title&gt;Statistical methods in medical research&lt;/_tertiary_title&gt;&lt;_type_work&gt;Journal Article&lt;/_type_work&gt;&lt;_url&gt;http://www.ncbi.nlm.nih.gov/entrez/query.fcgi?cmd=Retrieve&amp;amp;db=pubmed&amp;amp;dopt=Abstract&amp;amp;list_uids=29846144&amp;amp;query_hl=1&lt;/_url&gt;&lt;_volume&gt;27&lt;/_volume&gt;&lt;/Details&gt;&lt;Extra&gt;&lt;DBUID&gt;{F96A950B-833F-4880-A151-76DA2D6A2879}&lt;/DBUID&gt;&lt;/Extra&gt;&lt;/Item&gt;&lt;/References&gt;&lt;/Group&gt;&lt;Group&gt;&lt;References&gt;&lt;Item&gt;&lt;ID&gt;542&lt;/ID&gt;&lt;UID&gt;{DDC8C3FF-34E7-4C2E-977E-095A212AB48B}&lt;/UID&gt;&lt;Title&gt;Group-based trajectory modeling in clinical research&lt;/Title&gt;&lt;Template&gt;Journal Article&lt;/Template&gt;&lt;Star&gt;0&lt;/Star&gt;&lt;Tag&gt;0&lt;/Tag&gt;&lt;Author&gt;Nagin, D S; Odgers, C L&lt;/Author&gt;&lt;Year&gt;2010&lt;/Year&gt;&lt;Details&gt;&lt;_accession_num&gt;20192788&lt;/_accession_num&gt;&lt;_author_adr&gt;Heinz School of Public Policy, Carnegie Mellon University, Pittsburgh, Pennsylvania 15213-3890, USA. dn03@andrew.cmu.edu&lt;/_author_adr&gt;&lt;_created&gt;63418775&lt;/_created&gt;&lt;_date&gt;2010-01-20&lt;/_date&gt;&lt;_date_display&gt;2010&lt;/_date_display&gt;&lt;_db_updated&gt;PubMed&lt;/_db_updated&gt;&lt;_doi&gt;10.1146/annurev.clinpsy.121208.131413&lt;/_doi&gt;&lt;_impact_factor&gt;  13.692&lt;/_impact_factor&gt;&lt;_isbn&gt;1548-5951 (Electronic); 1548-5943 (Linking)&lt;/_isbn&gt;&lt;_journal&gt;Annu Rev Clin Psychol&lt;/_journal&gt;&lt;_keywords&gt;Biomedical Research/*methods/*statistics &amp;amp; numerical data; Humans; *Models, Psychological; Psychology, Clinical/*methods/*statistics &amp;amp; numerical data&lt;/_keywords&gt;&lt;_language&gt;eng&lt;/_language&gt;&lt;_modified&gt;63418775&lt;/_modified&gt;&lt;_pages&gt;109-38&lt;/_pages&gt;&lt;_tertiary_title&gt;Annual review of clinical psychology&lt;/_tertiary_title&gt;&lt;_type_work&gt;Journal Article; Research Support, N.I.H., Extramural; Research Support, U.S. Gov&amp;apos;t, Non-P.H.S.&lt;/_type_work&gt;&lt;_url&gt;http://www.ncbi.nlm.nih.gov/entrez/query.fcgi?cmd=Retrieve&amp;amp;db=pubmed&amp;amp;dopt=Abstract&amp;amp;list_uids=20192788&amp;amp;query_hl=1&lt;/_url&gt;&lt;_volume&gt;6&lt;/_volume&gt;&lt;/Details&gt;&lt;Extra&gt;&lt;DBUID&gt;{F96A950B-833F-4880-A151-76DA2D6A2879}&lt;/DBUID&gt;&lt;/Extra&gt;&lt;/Item&gt;&lt;/References&gt;&lt;/Group&gt;&lt;Group&gt;&lt;References&gt;&lt;Item&gt;&lt;ID&gt;544&lt;/ID&gt;&lt;UID&gt;{26E9B6CC-33E7-4856-B420-262F8CD33C2F}&lt;/UID&gt;&lt;Title&gt;Introducing the fit-criteria assessment plot - A visualisation tool to assist class enumeration in group-based trajectory modelling&lt;/Title&gt;&lt;Template&gt;Journal Article&lt;/Template&gt;&lt;Star&gt;0&lt;/Star&gt;&lt;Tag&gt;0&lt;/Tag&gt;&lt;Author&gt;Klijn, S L; Weijenberg, M P; Lemmens, P; van den Brandt, P A; Lima, Passos V&lt;/Author&gt;&lt;Year&gt;2017&lt;/Year&gt;&lt;Details&gt;&lt;_accession_num&gt;26265768&lt;/_accession_num&gt;&lt;_author_adr&gt;1 Department of Methodology and Statistics, Maastricht University, Maastricht, the Netherlands.; 2 Department of Epidemiology, GROW School for Oncology and Developmental Biology, Maastricht, the Netherlands.; 3 Department of Health Promotion, Maastricht, the Netherlands.; 4 Department of Epidemiology, GROW School for Oncology and Developmental Biology, CAPHRI School for Public Health and Primary Care, Maastricht University, Maastricht, the Netherlands.; 1 Department of Methodology and Statistics, Maastricht University, Maastricht, the Netherlands.&lt;/_author_adr&gt;&lt;_collection_scope&gt;SCI;SCIE&lt;/_collection_scope&gt;&lt;_created&gt;63418779&lt;/_created&gt;&lt;_date&gt;2017-10-01&lt;/_date&gt;&lt;_date_display&gt;2017 Oct&lt;/_date_display&gt;&lt;_db_updated&gt;PubMed&lt;/_db_updated&gt;&lt;_doi&gt;10.1177/0962280215598665&lt;/_doi&gt;&lt;_impact_factor&gt;   2.291&lt;/_impact_factor&gt;&lt;_isbn&gt;1477-0334 (Electronic); 0962-2802 (Linking)&lt;/_isbn&gt;&lt;_issue&gt;5&lt;/_issue&gt;&lt;_journal&gt;Stat Methods Med Res&lt;/_journal&gt;&lt;_keywords&gt;Alcohol Drinking/adverse effects; Cardiovascular Diseases/etiology; *Data Interpretation, Statistical; Humans; Longitudinal Studies; *Models, Statistical; Statistics as TopicGroup-based trajectory model; class-enumeration; finite mixture model; model dimensionality; model selection; proc traj&lt;/_keywords&gt;&lt;_language&gt;eng&lt;/_language&gt;&lt;_modified&gt;63418779&lt;/_modified&gt;&lt;_pages&gt;2424-2436&lt;/_pages&gt;&lt;_tertiary_title&gt;Statistical methods in medical research&lt;/_tertiary_title&gt;&lt;_type_work&gt;Journal Article&lt;/_type_work&gt;&lt;_url&gt;http://www.ncbi.nlm.nih.gov/entrez/query.fcgi?cmd=Retrieve&amp;amp;db=pubmed&amp;amp;dopt=Abstract&amp;amp;list_uids=26265768&amp;amp;query_hl=1&lt;/_url&gt;&lt;_volume&gt;26&lt;/_volume&gt;&lt;/Details&gt;&lt;Extra&gt;&lt;DBUID&gt;{F96A950B-833F-4880-A151-76DA2D6A2879}&lt;/DBUID&gt;&lt;/Extra&gt;&lt;/Item&gt;&lt;/References&gt;&lt;/Group&gt;&lt;/Citation&gt;_x000a_"/>
    <w:docVar w:name="NE.Ref{B92275B8-4546-47AF-90DE-3B4B2222D85A}" w:val=" ADDIN NE.Ref.{B92275B8-4546-47AF-90DE-3B4B2222D85A}&lt;Citation&gt;&lt;Group&gt;&lt;References&gt;&lt;Item&gt;&lt;ID&gt;527&lt;/ID&gt;&lt;UID&gt;{01FFC3CF-1077-431D-A90C-390441C1A393}&lt;/UID&gt;&lt;Title&gt;Group-based multi-trajectory modeling&lt;/Title&gt;&lt;Template&gt;Journal Article&lt;/Template&gt;&lt;Star&gt;0&lt;/Star&gt;&lt;Tag&gt;0&lt;/Tag&gt;&lt;Author&gt;Nagin, D S; Jones, B L; Passos, V L; Tremblay, R E&lt;/Author&gt;&lt;Year&gt;2018&lt;/Year&gt;&lt;Details&gt;&lt;_accession_num&gt;29846144&lt;/_accession_num&gt;&lt;_author_adr&gt;1 The School of Public Policy &amp;amp; Management, Heinz College, Carnegie Mellon University, Pittsburgh, PA, USA.; 2 Western Psychiatric Institute and Clinic, University of Pittsburgh Medical Center, Pittsburgh, PA, USA.; 3 Department of Methodology and Statistics, Maastricht University, Maastricht, the Netherlands.; 4 School of Public Health, Physiotherapy and Sports Science, University College Dublin, Dublin, Ireland.&lt;/_author_adr&gt;&lt;_collection_scope&gt;SCI;SCIE&lt;/_collection_scope&gt;&lt;_created&gt;63418739&lt;/_created&gt;&lt;_date&gt;2018-07-01&lt;/_date&gt;&lt;_date_display&gt;2018 Jul&lt;/_date_display&gt;&lt;_db_updated&gt;PubMed&lt;/_db_updated&gt;&lt;_doi&gt;10.1177/0962280216673085&lt;/_doi&gt;&lt;_impact_factor&gt;   2.291&lt;/_impact_factor&gt;&lt;_isbn&gt;1477-0334 (Electronic); 0962-2802 (Linking)&lt;/_isbn&gt;&lt;_issue&gt;7&lt;/_issue&gt;&lt;_journal&gt;Stat Methods Med Res&lt;/_journal&gt;&lt;_keywords&gt;Adolescent; Adult; Algorithms; Biomarkers; Child; Child, Preschool; Humans; Latent Class Analysis; *Longitudinal Studies; Male; *Models, Statistical; *Population Surveillance; Young Adult*Longitudinal analysis of multiple outcomes; *group-based trajectory modeling; *latent class analysis; *trajectories of multiple disease biomarkers&lt;/_keywords&gt;&lt;_language&gt;eng&lt;/_language&gt;&lt;_modified&gt;63418739&lt;/_modified&gt;&lt;_pages&gt;2015-2023&lt;/_pages&gt;&lt;_tertiary_title&gt;Statistical methods in medical research&lt;/_tertiary_title&gt;&lt;_type_work&gt;Journal Article&lt;/_type_work&gt;&lt;_url&gt;http://www.ncbi.nlm.nih.gov/entrez/query.fcgi?cmd=Retrieve&amp;amp;db=pubmed&amp;amp;dopt=Abstract&amp;amp;list_uids=29846144&amp;amp;query_hl=1&lt;/_url&gt;&lt;_volume&gt;27&lt;/_volume&gt;&lt;/Details&gt;&lt;Extra&gt;&lt;DBUID&gt;{F96A950B-833F-4880-A151-76DA2D6A2879}&lt;/DBUID&gt;&lt;/Extra&gt;&lt;/Item&gt;&lt;/References&gt;&lt;/Group&gt;&lt;/Citation&gt;_x000a_"/>
    <w:docVar w:name="NE.Ref{BAF7DCF6-04B8-4BB3-87CD-32BC8AB230B4}" w:val=" ADDIN NE.Ref.{BAF7DCF6-04B8-4BB3-87CD-32BC8AB230B4}&lt;Citation&gt;&lt;Group&gt;&lt;References&gt;&lt;Item&gt;&lt;ID&gt;527&lt;/ID&gt;&lt;UID&gt;{01FFC3CF-1077-431D-A90C-390441C1A393}&lt;/UID&gt;&lt;Title&gt;Group-based multi-trajectory modeling&lt;/Title&gt;&lt;Template&gt;Journal Article&lt;/Template&gt;&lt;Star&gt;0&lt;/Star&gt;&lt;Tag&gt;0&lt;/Tag&gt;&lt;Author&gt;Nagin, D S; Jones, B L; Passos, V L; Tremblay, R E&lt;/Author&gt;&lt;Year&gt;2018&lt;/Year&gt;&lt;Details&gt;&lt;_accession_num&gt;29846144&lt;/_accession_num&gt;&lt;_author_adr&gt;1 The School of Public Policy &amp;amp; Management, Heinz College, Carnegie Mellon University, Pittsburgh, PA, USA.; 2 Western Psychiatric Institute and Clinic, University of Pittsburgh Medical Center, Pittsburgh, PA, USA.; 3 Department of Methodology and Statistics, Maastricht University, Maastricht, the Netherlands.; 4 School of Public Health, Physiotherapy and Sports Science, University College Dublin, Dublin, Ireland.&lt;/_author_adr&gt;&lt;_collection_scope&gt;SCI;SCIE&lt;/_collection_scope&gt;&lt;_created&gt;63418739&lt;/_created&gt;&lt;_date&gt;2018-07-01&lt;/_date&gt;&lt;_date_display&gt;2018 Jul&lt;/_date_display&gt;&lt;_db_updated&gt;PubMed&lt;/_db_updated&gt;&lt;_doi&gt;10.1177/0962280216673085&lt;/_doi&gt;&lt;_impact_factor&gt;   2.291&lt;/_impact_factor&gt;&lt;_isbn&gt;1477-0334 (Electronic); 0962-2802 (Linking)&lt;/_isbn&gt;&lt;_issue&gt;7&lt;/_issue&gt;&lt;_journal&gt;Stat Methods Med Res&lt;/_journal&gt;&lt;_keywords&gt;Adolescent; Adult; Algorithms; Biomarkers; Child; Child, Preschool; Humans; Latent Class Analysis; *Longitudinal Studies; Male; *Models, Statistical; *Population Surveillance; Young Adult*Longitudinal analysis of multiple outcomes; *group-based trajectory modeling; *latent class analysis; *trajectories of multiple disease biomarkers&lt;/_keywords&gt;&lt;_language&gt;eng&lt;/_language&gt;&lt;_modified&gt;63418739&lt;/_modified&gt;&lt;_pages&gt;2015-2023&lt;/_pages&gt;&lt;_tertiary_title&gt;Statistical methods in medical research&lt;/_tertiary_title&gt;&lt;_type_work&gt;Journal Article&lt;/_type_work&gt;&lt;_url&gt;http://www.ncbi.nlm.nih.gov/entrez/query.fcgi?cmd=Retrieve&amp;amp;db=pubmed&amp;amp;dopt=Abstract&amp;amp;list_uids=29846144&amp;amp;query_hl=1&lt;/_url&gt;&lt;_volume&gt;27&lt;/_volume&gt;&lt;/Details&gt;&lt;Extra&gt;&lt;DBUID&gt;{F96A950B-833F-4880-A151-76DA2D6A2879}&lt;/DBUID&gt;&lt;/Extra&gt;&lt;/Item&gt;&lt;/References&gt;&lt;/Group&gt;&lt;Group&gt;&lt;References&gt;&lt;Item&gt;&lt;ID&gt;476&lt;/ID&gt;&lt;UID&gt;{08E0DFD2-2194-4D40-9A3A-80A8A85597C8}&lt;/UID&gt;&lt;Title&gt;医学影像在新型冠状病毒肺炎诊治中的作用及思考&lt;/Title&gt;&lt;Template&gt;Journal Article&lt;/Template&gt;&lt;Star&gt;0&lt;/Star&gt;&lt;Tag&gt;0&lt;/Tag&gt;&lt;Author&gt;萧毅; 郭佑民; 刘士远&lt;/Author&gt;&lt;Year&gt;2020&lt;/Year&gt;&lt;Details&gt;&lt;_author_adr&gt;第二军医大学长征医院影像科，上海　200003&lt;/_author_adr&gt;&lt;_collection_scope&gt;CSCD;PKU&lt;/_collection_scope&gt;&lt;_created&gt;63254754&lt;/_created&gt;&lt;_db_provider&gt;《中华医学杂志》社有限责任公司_x000d__x000a_{Language}:chi&lt;/_db_provider&gt;&lt;_isbn&gt;1005-1201&lt;/_isbn&gt;&lt;_issue&gt;00&lt;/_issue&gt;&lt;_journal&gt;中华放射学杂志&lt;/_journal&gt;&lt;_keywords&gt;2019-nCoV新型冠状病毒；感染；肺炎；体层摄影术，X线计算机&lt;/_keywords&gt;&lt;_modified&gt;63254754&lt;/_modified&gt;&lt;_pages&gt;E005-E005&lt;/_pages&gt;&lt;_translated_author&gt;Yi, Xiao; Youmin, Guo; Shiyuan, Liu&lt;/_translated_author&gt;&lt;_translated_title&gt;le of medical imaging in the diagnosis and treatment of new coronavirus pn&lt;/_translated_title&gt;&lt;_url&gt;http://rs.yiigle.com/yufabiao/1180540.htm&lt;/_url&gt;&lt;/Details&gt;&lt;Extra&gt;&lt;DBUID&gt;{F96A950B-833F-4880-A151-76DA2D6A2879}&lt;/DBUID&gt;&lt;/Extra&gt;&lt;/Item&gt;&lt;/References&gt;&lt;/Group&gt;&lt;Group&gt;&lt;References&gt;&lt;Item&gt;&lt;ID&gt;568&lt;/ID&gt;&lt;UID&gt;{A0A3FD7A-4B2E-4A2E-AA8C-263C0EFA5AB2}&lt;/UID&gt;&lt;Title&gt;Temporal changes of COVID-19 pneumonia by mass evaluation using CT: a retrospective multi-center study&lt;/Title&gt;&lt;Template&gt;Journal Article&lt;/Template&gt;&lt;Star&gt;0&lt;/Star&gt;&lt;Tag&gt;0&lt;/Tag&gt;&lt;Author&gt;Wang, Chao; Huang, Peiyu; Wang, Lihua; Zhujing, Shen; Lin, Bin; Wang, Qiyuan; Zhao, Tongtong; Zheng, Hanpeng; Ji, Wenbin; Gao, Yuantong; Xia, Junli; Cheng, Jianmin; Ma, Jianbing; Liu, Jun; Liu, Yongqiang; Su, Miaoguang; Ruan, Guixiang; Shu, Jiner; Ren, Dawei; Zhang, Minming&lt;/Author&gt;&lt;Year&gt;2020&lt;/Year&gt;&lt;Details&gt;&lt;_accessed&gt;63525403&lt;/_accessed&gt;&lt;_alternate_title&gt;Annals of Translational Medicine&lt;/_alternate_title&gt;&lt;_created&gt;63458576&lt;/_created&gt;&lt;_date&gt;2020-08-14&lt;/_date&gt;&lt;_date_display&gt;2020/08/14&lt;/_date_display&gt;&lt;_doi&gt;10.21037/atm-20-4004&lt;/_doi&gt;&lt;_impact_factor&gt;   3.297&lt;/_impact_factor&gt;&lt;_journal&gt;Annals of Translational Medicine&lt;/_journal&gt;&lt;_modified&gt;63525403&lt;/_modified&gt;&lt;_volume&gt;8&lt;/_volume&gt;&lt;/Details&gt;&lt;Extra&gt;&lt;DBUID&gt;{F96A950B-833F-4880-A151-76DA2D6A2879}&lt;/DBUID&gt;&lt;/Extra&gt;&lt;/Item&gt;&lt;/References&gt;&lt;/Group&gt;&lt;/Citation&gt;_x000a_"/>
    <w:docVar w:name="ne_docsoft" w:val="MSWord"/>
    <w:docVar w:name="ne_docversion" w:val="NoteExpress 2.0"/>
    <w:docVar w:name="ne_stylename" w:val="Korean J Radiology New"/>
  </w:docVars>
  <w:rsids>
    <w:rsidRoot w:val="0093304E"/>
    <w:rsid w:val="00011E69"/>
    <w:rsid w:val="00021A55"/>
    <w:rsid w:val="00055683"/>
    <w:rsid w:val="000655A5"/>
    <w:rsid w:val="00076B02"/>
    <w:rsid w:val="00093A91"/>
    <w:rsid w:val="000B46F8"/>
    <w:rsid w:val="000B6F3C"/>
    <w:rsid w:val="000C04BF"/>
    <w:rsid w:val="000C6124"/>
    <w:rsid w:val="000D0651"/>
    <w:rsid w:val="000E12CA"/>
    <w:rsid w:val="00122D2F"/>
    <w:rsid w:val="001442AC"/>
    <w:rsid w:val="00170B90"/>
    <w:rsid w:val="00171540"/>
    <w:rsid w:val="001809AF"/>
    <w:rsid w:val="00184673"/>
    <w:rsid w:val="001B4155"/>
    <w:rsid w:val="001B6573"/>
    <w:rsid w:val="001D1789"/>
    <w:rsid w:val="001D47BA"/>
    <w:rsid w:val="001F201F"/>
    <w:rsid w:val="00230835"/>
    <w:rsid w:val="002354B3"/>
    <w:rsid w:val="00243F78"/>
    <w:rsid w:val="00252BF3"/>
    <w:rsid w:val="002704D1"/>
    <w:rsid w:val="00270DE8"/>
    <w:rsid w:val="0027730B"/>
    <w:rsid w:val="00287217"/>
    <w:rsid w:val="00295402"/>
    <w:rsid w:val="00296B50"/>
    <w:rsid w:val="002B297B"/>
    <w:rsid w:val="002C2476"/>
    <w:rsid w:val="002D2B4D"/>
    <w:rsid w:val="002F133C"/>
    <w:rsid w:val="002F4039"/>
    <w:rsid w:val="0030536B"/>
    <w:rsid w:val="00345D8A"/>
    <w:rsid w:val="00356CA8"/>
    <w:rsid w:val="0036111C"/>
    <w:rsid w:val="003C0692"/>
    <w:rsid w:val="003C6B65"/>
    <w:rsid w:val="003C7EED"/>
    <w:rsid w:val="003F6AB0"/>
    <w:rsid w:val="004136FF"/>
    <w:rsid w:val="004527A6"/>
    <w:rsid w:val="00456642"/>
    <w:rsid w:val="00483A6A"/>
    <w:rsid w:val="004964DA"/>
    <w:rsid w:val="004B0B21"/>
    <w:rsid w:val="004B11A9"/>
    <w:rsid w:val="004C3CB0"/>
    <w:rsid w:val="004C7579"/>
    <w:rsid w:val="004D3BFD"/>
    <w:rsid w:val="004D45E4"/>
    <w:rsid w:val="004E2CCE"/>
    <w:rsid w:val="004E2F83"/>
    <w:rsid w:val="004E7C66"/>
    <w:rsid w:val="004F29AA"/>
    <w:rsid w:val="0053325E"/>
    <w:rsid w:val="005417AC"/>
    <w:rsid w:val="00577FF6"/>
    <w:rsid w:val="00596644"/>
    <w:rsid w:val="00597578"/>
    <w:rsid w:val="005C405A"/>
    <w:rsid w:val="00601708"/>
    <w:rsid w:val="00603465"/>
    <w:rsid w:val="006054D5"/>
    <w:rsid w:val="00612D54"/>
    <w:rsid w:val="00616627"/>
    <w:rsid w:val="006338CA"/>
    <w:rsid w:val="006747DB"/>
    <w:rsid w:val="0068105A"/>
    <w:rsid w:val="00690873"/>
    <w:rsid w:val="00692C9B"/>
    <w:rsid w:val="006A0235"/>
    <w:rsid w:val="006A0D49"/>
    <w:rsid w:val="006B4876"/>
    <w:rsid w:val="006D77EF"/>
    <w:rsid w:val="00731A3B"/>
    <w:rsid w:val="00731DD9"/>
    <w:rsid w:val="00744843"/>
    <w:rsid w:val="0076453C"/>
    <w:rsid w:val="00771DAC"/>
    <w:rsid w:val="00783F3E"/>
    <w:rsid w:val="007B0A3C"/>
    <w:rsid w:val="007C4329"/>
    <w:rsid w:val="007D0556"/>
    <w:rsid w:val="007F1A5C"/>
    <w:rsid w:val="007F2458"/>
    <w:rsid w:val="00801801"/>
    <w:rsid w:val="00811589"/>
    <w:rsid w:val="00813A47"/>
    <w:rsid w:val="008239DD"/>
    <w:rsid w:val="00824FCF"/>
    <w:rsid w:val="0085506E"/>
    <w:rsid w:val="00866369"/>
    <w:rsid w:val="00873246"/>
    <w:rsid w:val="00892849"/>
    <w:rsid w:val="00895AC3"/>
    <w:rsid w:val="00895EE0"/>
    <w:rsid w:val="008A1904"/>
    <w:rsid w:val="008A2035"/>
    <w:rsid w:val="008A7675"/>
    <w:rsid w:val="008B127C"/>
    <w:rsid w:val="008C3375"/>
    <w:rsid w:val="008C79F1"/>
    <w:rsid w:val="008F0FE8"/>
    <w:rsid w:val="008F55F9"/>
    <w:rsid w:val="008F589D"/>
    <w:rsid w:val="009029DF"/>
    <w:rsid w:val="00903C6E"/>
    <w:rsid w:val="0093304E"/>
    <w:rsid w:val="009339F4"/>
    <w:rsid w:val="00974CAD"/>
    <w:rsid w:val="009D3908"/>
    <w:rsid w:val="009F4065"/>
    <w:rsid w:val="00A20874"/>
    <w:rsid w:val="00A34786"/>
    <w:rsid w:val="00A46069"/>
    <w:rsid w:val="00A50190"/>
    <w:rsid w:val="00A718DD"/>
    <w:rsid w:val="00A846A6"/>
    <w:rsid w:val="00A950B6"/>
    <w:rsid w:val="00A9566A"/>
    <w:rsid w:val="00AA0768"/>
    <w:rsid w:val="00AA4DC3"/>
    <w:rsid w:val="00AC2394"/>
    <w:rsid w:val="00AD6506"/>
    <w:rsid w:val="00B10553"/>
    <w:rsid w:val="00B258CE"/>
    <w:rsid w:val="00B33402"/>
    <w:rsid w:val="00B35F0B"/>
    <w:rsid w:val="00B36163"/>
    <w:rsid w:val="00B40150"/>
    <w:rsid w:val="00B422F2"/>
    <w:rsid w:val="00B473C9"/>
    <w:rsid w:val="00B873E7"/>
    <w:rsid w:val="00B94A36"/>
    <w:rsid w:val="00BD6913"/>
    <w:rsid w:val="00BF194E"/>
    <w:rsid w:val="00C02C89"/>
    <w:rsid w:val="00C41E07"/>
    <w:rsid w:val="00C52D59"/>
    <w:rsid w:val="00C56722"/>
    <w:rsid w:val="00C62179"/>
    <w:rsid w:val="00C70C0B"/>
    <w:rsid w:val="00C728F7"/>
    <w:rsid w:val="00C7345D"/>
    <w:rsid w:val="00C87A0C"/>
    <w:rsid w:val="00C91EBA"/>
    <w:rsid w:val="00C927F1"/>
    <w:rsid w:val="00C9514B"/>
    <w:rsid w:val="00C96BE6"/>
    <w:rsid w:val="00CA009E"/>
    <w:rsid w:val="00CA2772"/>
    <w:rsid w:val="00CB7BF2"/>
    <w:rsid w:val="00CD2CA9"/>
    <w:rsid w:val="00CD7197"/>
    <w:rsid w:val="00CD73AA"/>
    <w:rsid w:val="00CF0E28"/>
    <w:rsid w:val="00CF17C1"/>
    <w:rsid w:val="00CF2A1F"/>
    <w:rsid w:val="00D04142"/>
    <w:rsid w:val="00D048A5"/>
    <w:rsid w:val="00D166A9"/>
    <w:rsid w:val="00D22827"/>
    <w:rsid w:val="00D272B9"/>
    <w:rsid w:val="00D30553"/>
    <w:rsid w:val="00D407BA"/>
    <w:rsid w:val="00D4646C"/>
    <w:rsid w:val="00D76A86"/>
    <w:rsid w:val="00D80CDC"/>
    <w:rsid w:val="00DC7BF6"/>
    <w:rsid w:val="00E15369"/>
    <w:rsid w:val="00E155EF"/>
    <w:rsid w:val="00E21FFC"/>
    <w:rsid w:val="00E27A35"/>
    <w:rsid w:val="00E43C9A"/>
    <w:rsid w:val="00E7467B"/>
    <w:rsid w:val="00E843F0"/>
    <w:rsid w:val="00E90A58"/>
    <w:rsid w:val="00E944A2"/>
    <w:rsid w:val="00EA51BC"/>
    <w:rsid w:val="00F0745C"/>
    <w:rsid w:val="00F1058F"/>
    <w:rsid w:val="00F1555E"/>
    <w:rsid w:val="00F23CA4"/>
    <w:rsid w:val="00F24283"/>
    <w:rsid w:val="00F3684D"/>
    <w:rsid w:val="00F47B11"/>
    <w:rsid w:val="00F71DFC"/>
    <w:rsid w:val="00F81ED5"/>
    <w:rsid w:val="00F84872"/>
    <w:rsid w:val="00FA5040"/>
    <w:rsid w:val="00FA63CE"/>
    <w:rsid w:val="00FB6DB3"/>
    <w:rsid w:val="00FC1888"/>
    <w:rsid w:val="00FD25C3"/>
    <w:rsid w:val="00FD2BAF"/>
    <w:rsid w:val="00FD2D40"/>
    <w:rsid w:val="00FF1A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BC16D5"/>
  <w14:defaultImageDpi w14:val="32767"/>
  <w15:chartTrackingRefBased/>
  <w15:docId w15:val="{552C6B71-4E48-904F-803B-931A84BE3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a">
    <w:name w:val="Normal"/>
    <w:qFormat/>
    <w:rsid w:val="008F55F9"/>
    <w:pPr>
      <w:widowControl w:val="0"/>
      <w:jc w:val="both"/>
    </w:pPr>
    <w:rPr>
      <w:kern w:val="2"/>
      <w:sz w:val="21"/>
      <w:szCs w:val="22"/>
      <w:lang w:val="en-GB"/>
    </w:rPr>
  </w:style>
  <w:style w:type="paragraph" w:styleId="1">
    <w:name w:val="heading 1"/>
    <w:basedOn w:val="a"/>
    <w:next w:val="a"/>
    <w:link w:val="10"/>
    <w:autoRedefine/>
    <w:uiPriority w:val="9"/>
    <w:qFormat/>
    <w:rsid w:val="002C2476"/>
    <w:pPr>
      <w:keepNext/>
      <w:keepLines/>
      <w:numPr>
        <w:numId w:val="4"/>
      </w:numPr>
      <w:spacing w:before="340" w:after="330" w:line="578" w:lineRule="auto"/>
      <w:jc w:val="center"/>
      <w:outlineLvl w:val="0"/>
    </w:pPr>
    <w:rPr>
      <w:rFonts w:eastAsia="FangSong"/>
      <w:b/>
      <w:bCs/>
      <w:kern w:val="44"/>
      <w:sz w:val="30"/>
      <w:szCs w:val="44"/>
      <w:lang w:val="en-US"/>
    </w:rPr>
  </w:style>
  <w:style w:type="paragraph" w:styleId="2">
    <w:name w:val="heading 2"/>
    <w:next w:val="a"/>
    <w:link w:val="20"/>
    <w:autoRedefine/>
    <w:rsid w:val="00C7345D"/>
    <w:pPr>
      <w:keepNext/>
      <w:keepLines/>
      <w:pBdr>
        <w:top w:val="nil"/>
        <w:left w:val="nil"/>
        <w:bottom w:val="nil"/>
        <w:right w:val="nil"/>
        <w:between w:val="nil"/>
        <w:bar w:val="nil"/>
      </w:pBdr>
      <w:spacing w:before="40"/>
      <w:outlineLvl w:val="1"/>
    </w:pPr>
    <w:rPr>
      <w:rFonts w:ascii="微软雅黑" w:eastAsia="FangSong" w:hAnsi="微软雅黑" w:cs="微软雅黑"/>
      <w:b/>
      <w:color w:val="000000" w:themeColor="text1"/>
      <w:sz w:val="26"/>
      <w:szCs w:val="26"/>
      <w:u w:color="2F5496"/>
      <w:bdr w:val="nil"/>
    </w:rPr>
  </w:style>
  <w:style w:type="paragraph" w:styleId="3">
    <w:name w:val="heading 3"/>
    <w:basedOn w:val="2"/>
    <w:next w:val="a"/>
    <w:link w:val="30"/>
    <w:autoRedefine/>
    <w:rsid w:val="00C7345D"/>
    <w:pPr>
      <w:outlineLvl w:val="2"/>
    </w:pPr>
    <w:rPr>
      <w:rFonts w:ascii="Microsoft YaHei Light" w:hAnsi="Microsoft YaHei Light" w:cs="Microsoft YaHei Light"/>
      <w:b w:val="0"/>
      <w:sz w:val="24"/>
      <w:szCs w:val="24"/>
      <w:u w:color="1F376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rsid w:val="002C2476"/>
    <w:rPr>
      <w:rFonts w:eastAsia="FangSong"/>
      <w:b/>
      <w:bCs/>
      <w:kern w:val="44"/>
      <w:sz w:val="30"/>
      <w:szCs w:val="44"/>
    </w:rPr>
  </w:style>
  <w:style w:type="character" w:customStyle="1" w:styleId="20">
    <w:name w:val="标题 2 字符"/>
    <w:link w:val="2"/>
    <w:rsid w:val="00C7345D"/>
    <w:rPr>
      <w:rFonts w:ascii="微软雅黑" w:eastAsia="FangSong" w:hAnsi="微软雅黑" w:cs="微软雅黑"/>
      <w:b/>
      <w:color w:val="000000" w:themeColor="text1"/>
      <w:sz w:val="26"/>
      <w:szCs w:val="26"/>
      <w:u w:color="2F5496"/>
      <w:bdr w:val="nil"/>
    </w:rPr>
  </w:style>
  <w:style w:type="character" w:customStyle="1" w:styleId="30">
    <w:name w:val="标题 3 字符"/>
    <w:link w:val="3"/>
    <w:rsid w:val="00C7345D"/>
    <w:rPr>
      <w:rFonts w:ascii="Microsoft YaHei Light" w:eastAsia="FangSong" w:hAnsi="Microsoft YaHei Light" w:cs="Microsoft YaHei Light"/>
      <w:color w:val="000000" w:themeColor="text1"/>
      <w:u w:color="1F3763"/>
      <w:bdr w:val="nil"/>
    </w:rPr>
  </w:style>
  <w:style w:type="paragraph" w:styleId="a3">
    <w:name w:val="caption"/>
    <w:basedOn w:val="a"/>
    <w:next w:val="a"/>
    <w:autoRedefine/>
    <w:uiPriority w:val="35"/>
    <w:unhideWhenUsed/>
    <w:qFormat/>
    <w:rsid w:val="002C2476"/>
    <w:pPr>
      <w:jc w:val="center"/>
    </w:pPr>
    <w:rPr>
      <w:rFonts w:ascii="Cambria" w:eastAsia="FangSong" w:hAnsi="Cambria" w:cs="Times New Roman"/>
      <w:sz w:val="24"/>
      <w:szCs w:val="20"/>
      <w:lang w:val="en-US"/>
    </w:rPr>
  </w:style>
  <w:style w:type="paragraph" w:styleId="a4">
    <w:name w:val="header"/>
    <w:basedOn w:val="a"/>
    <w:link w:val="a5"/>
    <w:uiPriority w:val="99"/>
    <w:unhideWhenUsed/>
    <w:rsid w:val="004136F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sid w:val="004136FF"/>
    <w:rPr>
      <w:kern w:val="2"/>
      <w:sz w:val="18"/>
      <w:szCs w:val="18"/>
      <w:lang w:val="en-GB"/>
    </w:rPr>
  </w:style>
  <w:style w:type="paragraph" w:styleId="a6">
    <w:name w:val="footer"/>
    <w:basedOn w:val="a"/>
    <w:link w:val="a7"/>
    <w:uiPriority w:val="99"/>
    <w:unhideWhenUsed/>
    <w:rsid w:val="004136FF"/>
    <w:pPr>
      <w:tabs>
        <w:tab w:val="center" w:pos="4153"/>
        <w:tab w:val="right" w:pos="8306"/>
      </w:tabs>
      <w:snapToGrid w:val="0"/>
      <w:jc w:val="left"/>
    </w:pPr>
    <w:rPr>
      <w:sz w:val="18"/>
      <w:szCs w:val="18"/>
    </w:rPr>
  </w:style>
  <w:style w:type="character" w:customStyle="1" w:styleId="a7">
    <w:name w:val="页脚 字符"/>
    <w:basedOn w:val="a0"/>
    <w:link w:val="a6"/>
    <w:uiPriority w:val="99"/>
    <w:rsid w:val="004136FF"/>
    <w:rPr>
      <w:kern w:val="2"/>
      <w:sz w:val="18"/>
      <w:szCs w:val="18"/>
      <w:lang w:val="en-GB"/>
    </w:rPr>
  </w:style>
  <w:style w:type="character" w:styleId="a8">
    <w:name w:val="annotation reference"/>
    <w:basedOn w:val="a0"/>
    <w:uiPriority w:val="99"/>
    <w:semiHidden/>
    <w:unhideWhenUsed/>
    <w:qFormat/>
    <w:rsid w:val="00F0745C"/>
    <w:rPr>
      <w:sz w:val="21"/>
      <w:szCs w:val="21"/>
    </w:rPr>
  </w:style>
  <w:style w:type="paragraph" w:styleId="a9">
    <w:name w:val="Balloon Text"/>
    <w:basedOn w:val="a"/>
    <w:link w:val="aa"/>
    <w:uiPriority w:val="99"/>
    <w:semiHidden/>
    <w:unhideWhenUsed/>
    <w:rsid w:val="003C7EED"/>
    <w:rPr>
      <w:rFonts w:ascii="宋体" w:eastAsia="宋体"/>
      <w:sz w:val="18"/>
      <w:szCs w:val="18"/>
    </w:rPr>
  </w:style>
  <w:style w:type="character" w:customStyle="1" w:styleId="aa">
    <w:name w:val="批注框文本 字符"/>
    <w:basedOn w:val="a0"/>
    <w:link w:val="a9"/>
    <w:uiPriority w:val="99"/>
    <w:semiHidden/>
    <w:rsid w:val="003C7EED"/>
    <w:rPr>
      <w:rFonts w:ascii="宋体" w:eastAsia="宋体"/>
      <w:kern w:val="2"/>
      <w:sz w:val="18"/>
      <w:szCs w:val="18"/>
      <w:lang w:val="en-GB"/>
    </w:rPr>
  </w:style>
  <w:style w:type="paragraph" w:styleId="ab">
    <w:name w:val="annotation text"/>
    <w:basedOn w:val="a"/>
    <w:link w:val="ac"/>
    <w:uiPriority w:val="99"/>
    <w:semiHidden/>
    <w:unhideWhenUsed/>
    <w:rsid w:val="00B33402"/>
    <w:pPr>
      <w:jc w:val="left"/>
    </w:pPr>
  </w:style>
  <w:style w:type="character" w:customStyle="1" w:styleId="ac">
    <w:name w:val="批注文字 字符"/>
    <w:basedOn w:val="a0"/>
    <w:link w:val="ab"/>
    <w:uiPriority w:val="99"/>
    <w:semiHidden/>
    <w:rsid w:val="00B33402"/>
    <w:rPr>
      <w:kern w:val="2"/>
      <w:sz w:val="21"/>
      <w:szCs w:val="22"/>
      <w:lang w:val="en-GB"/>
    </w:rPr>
  </w:style>
  <w:style w:type="paragraph" w:styleId="ad">
    <w:name w:val="annotation subject"/>
    <w:basedOn w:val="ab"/>
    <w:next w:val="ab"/>
    <w:link w:val="ae"/>
    <w:uiPriority w:val="99"/>
    <w:semiHidden/>
    <w:unhideWhenUsed/>
    <w:rsid w:val="00B33402"/>
    <w:rPr>
      <w:b/>
      <w:bCs/>
    </w:rPr>
  </w:style>
  <w:style w:type="character" w:customStyle="1" w:styleId="ae">
    <w:name w:val="批注主题 字符"/>
    <w:basedOn w:val="ac"/>
    <w:link w:val="ad"/>
    <w:uiPriority w:val="99"/>
    <w:semiHidden/>
    <w:rsid w:val="00B33402"/>
    <w:rPr>
      <w:b/>
      <w:bCs/>
      <w:kern w:val="2"/>
      <w:sz w:val="21"/>
      <w:szCs w:val="22"/>
      <w:lang w:val="en-GB"/>
    </w:rPr>
  </w:style>
  <w:style w:type="character" w:styleId="af">
    <w:name w:val="line number"/>
    <w:basedOn w:val="a0"/>
    <w:uiPriority w:val="99"/>
    <w:semiHidden/>
    <w:unhideWhenUsed/>
    <w:rsid w:val="008239DD"/>
  </w:style>
  <w:style w:type="character" w:styleId="af0">
    <w:name w:val="Hyperlink"/>
    <w:basedOn w:val="a0"/>
    <w:uiPriority w:val="99"/>
    <w:unhideWhenUsed/>
    <w:rsid w:val="00FC188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iyx828288@163.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00F929D-7CB5-304B-B1FD-452BDD6C3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1809</Words>
  <Characters>10316</Characters>
  <Application>Microsoft Office Word</Application>
  <DocSecurity>0</DocSecurity>
  <Lines>85</Lines>
  <Paragraphs>24</Paragraphs>
  <ScaleCrop>false</ScaleCrop>
  <Company/>
  <LinksUpToDate>false</LinksUpToDate>
  <CharactersWithSpaces>12101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Chao Huang</dc:creator>
  <cp:keywords/>
  <dc:description>NE.Rep</dc:description>
  <cp:lastModifiedBy>施 楠楠</cp:lastModifiedBy>
  <cp:revision>2</cp:revision>
  <dcterms:created xsi:type="dcterms:W3CDTF">2021-01-12T08:09:00Z</dcterms:created>
  <dcterms:modified xsi:type="dcterms:W3CDTF">2021-01-12T08:09:00Z</dcterms:modified>
</cp:coreProperties>
</file>